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76" w:rsidRDefault="00C22F76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Załącznik nr 5 do uchwały Nr …………………………..</w:t>
      </w:r>
    </w:p>
    <w:p w:rsidR="00C22F76" w:rsidRDefault="00C22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RADY MIASTA POZNANIA</w:t>
      </w:r>
    </w:p>
    <w:p w:rsidR="00C22F76" w:rsidRDefault="00C22F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 dnia ………..2018 r.    </w:t>
      </w:r>
    </w:p>
    <w:p w:rsidR="00C22F76" w:rsidRDefault="00C22F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F76" w:rsidRDefault="00C22F7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i zasady zarządzania lokalami i budynkami wchodzącymi w skład mieszkaniowego zasobu Miasta Poznania oraz przewidywane zmiany w zakresie zarządzania mieszkaniowym zasobem Miasta Poznania</w:t>
      </w:r>
    </w:p>
    <w:p w:rsidR="00C22F76" w:rsidRDefault="00C22F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Komunalnym zasobem Miasta Poznania zarządza spółka Zarząd Komunalnych Zasobów Lokalowych sp. z o.o., która wykonuje zadania właścicielskie w stosunku do zasobu lokali stanowiących własność lub pozostających w samoistnym posiadaniu Miasta Poznania oraz w stosunku do zasobu stanowiącego własność Zarządu Komunalnych Zasobów Lokalowych sp. z o.o.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Zasób komunalny obejmuje obecnie ponad 12 tysięcy lokali mieszkalnych i ponad 1700 lokali użytkowych. Łączna powierzchnia zasobu przekracza 900.000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Zasób ten jest niewystarczający do zaspokojenia potrzeb mieszkaniowych mieszkańców miasta wielkości Poznania, w związku z czym Spółka podejmuje sukcesywne działania związane z remontami pustostanów, przebudową lokali i inwestycjami budownictwa komunalnego.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komunalnym zasobem mieszkaniowym przez ZKZL sp. z o.o. należy postrzegać w kontekście wszystkich zadań realizowanych przez Spółkę. 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działalności Spółki jest:</w:t>
      </w:r>
    </w:p>
    <w:p w:rsidR="00C22F76" w:rsidRDefault="00C22F76" w:rsidP="000D5CB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680" w:hanging="680"/>
        <w:jc w:val="both"/>
      </w:pPr>
      <w:r>
        <w:rPr>
          <w:rFonts w:ascii="Times New Roman" w:hAnsi="Times New Roman" w:cs="Times New Roman"/>
          <w:sz w:val="24"/>
          <w:szCs w:val="24"/>
        </w:rPr>
        <w:t>wynajem i zarządzanie nieruchomościami własnymi i dzierżawionymi, takimi jak:</w:t>
      </w:r>
    </w:p>
    <w:p w:rsidR="00C22F76" w:rsidRDefault="00C22F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i lokale mieszkalne,</w:t>
      </w:r>
    </w:p>
    <w:p w:rsidR="00C22F76" w:rsidRDefault="00C22F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niemieszkalne,</w:t>
      </w:r>
    </w:p>
    <w:p w:rsidR="00C22F76" w:rsidRDefault="00C22F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garaże,</w:t>
      </w:r>
    </w:p>
    <w:p w:rsidR="00C22F76" w:rsidRDefault="00C22F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 i schrony,</w:t>
      </w:r>
    </w:p>
    <w:p w:rsidR="00C22F76" w:rsidRDefault="00C22F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ogródki przydomowe,</w:t>
      </w:r>
    </w:p>
    <w:p w:rsidR="00C22F76" w:rsidRDefault="00C22F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grunty;</w:t>
      </w:r>
    </w:p>
    <w:p w:rsidR="00C22F76" w:rsidRDefault="00C22F76" w:rsidP="000D5CB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inwestycji w zakresie gminnego budownictwa mieszkaniowego oraz nabywanie (aport) w tym celu nieruchomości;</w:t>
      </w:r>
    </w:p>
    <w:p w:rsidR="00C22F76" w:rsidRDefault="00C22F76" w:rsidP="000D5CB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eksploatacja, konserwacja i remonty budynków, budowli, lokali oraz związanej z nimi infrastruktury mające na celu utrzymanie ich w stanie niepogorszonym;</w:t>
      </w:r>
    </w:p>
    <w:p w:rsidR="00C22F76" w:rsidRDefault="00C22F76" w:rsidP="000D5CB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ogólnobudowlane służące realizacji zadań własnych Miasta Poznania;</w:t>
      </w:r>
    </w:p>
    <w:p w:rsidR="00C22F76" w:rsidRDefault="00C22F76" w:rsidP="000D5CB2">
      <w:pPr>
        <w:pStyle w:val="ListParagraph"/>
        <w:numPr>
          <w:ilvl w:val="0"/>
          <w:numId w:val="2"/>
        </w:numPr>
        <w:tabs>
          <w:tab w:val="clear" w:pos="720"/>
          <w:tab w:val="left" w:pos="142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ewidencjonowanie nieruchomości, budynków, budowli i lokali oraz związanej z nimi infrastruktury.</w:t>
      </w:r>
    </w:p>
    <w:p w:rsidR="00C22F76" w:rsidRDefault="00C22F76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Priorytetowym zadaniem ZKZL sp. z o.o. jest zaspokajanie zbiorowych potrzeb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tworzenia warunków mieszkaniowych oraz w zakresie miejskiego budownictwa mieszkaniowego. Za zasadę naczelną zarządzania zasobem uznaje się dbałość o wysoką jakość świadczonych usług poprzez terminowe i rzetelne realizowanie zadań. </w:t>
      </w:r>
    </w:p>
    <w:p w:rsidR="00C22F76" w:rsidRDefault="00C22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zasobem obejmuje czynności związane z: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prowadzeniem spraw związanych z administrowaniem zasobem;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prowadzeniem elektronicznej bazy zasobu;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sporządzaniem umów zamian lokali;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prowadzeniem spraw z zakresu księgowości;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prowadzeniem spraw z zakresu ubezpieczeń;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prowadzeniem spraw z zakresu windykacji;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remontami zasobu lub jego części;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prowadzeniem spraw związanych z przygotowywaniem nieruchomości do zbycia;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prowadzeniem spraw związanych z bieżącą eksploatacją nieruchomości;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obsługą techniczną – zapewnieniem pogotowia technicznego oraz konserwacji elementów zasobu;</w:t>
      </w:r>
    </w:p>
    <w:p w:rsidR="00C22F76" w:rsidRDefault="00C22F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obsługą klienta i korespondencji.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F76" w:rsidRDefault="00C22F7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Zarządzanie zasobem to podejmowanie decyzji i dokonywanie czynności mających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na celu w szczególności zapewnienie właściwej: gospodarki ekonomiczno-finansowej nieruchomości, bezpieczeństwa użytkowania, gospodarki energetycznej w rozumieniu przepisów Prawa energetycznego. Zarządzanie to właściwa eksploatacja nieruchomości, ich obsługa techniczna oraz bieżące administrowanie. Zarządzanie obejmuje czynności zmierzające do utrzymania nieruchomości w stanie niepogorszonym, zgodnie z ich przeznaczeniem, w zakresie uprawnień i obowiązków wynikających z przepisów ustawy </w:t>
      </w:r>
      <w:r>
        <w:rPr>
          <w:rFonts w:ascii="Times New Roman" w:hAnsi="Times New Roman" w:cs="Times New Roman"/>
          <w:sz w:val="24"/>
          <w:szCs w:val="24"/>
        </w:rPr>
        <w:br/>
        <w:t>o gospodarce nieruchomościami, odrębnych przepisów, w tym przepisów prawa miejscowego.</w:t>
      </w:r>
    </w:p>
    <w:p w:rsidR="00C22F76" w:rsidRDefault="00C22F7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zarządzanie zasobem obejmuje również wykonywanie czynności obsługi technicznej, tj.: pogotowia technicznego, czyli prowadzenie niezbędnych prac zabezpieczających istniejące instalacje i urządzenia techniczne, podejmowanie wszelkich koniecznych działań zmierzających do zahamowania występowania bezpośrednich następstw awarii i ich usunięcia. Obejmuje również konserwacje, czyli czynności polegające </w:t>
      </w:r>
      <w:r>
        <w:rPr>
          <w:rFonts w:ascii="Times New Roman" w:hAnsi="Times New Roman" w:cs="Times New Roman"/>
          <w:sz w:val="24"/>
          <w:szCs w:val="24"/>
        </w:rPr>
        <w:br/>
        <w:t xml:space="preserve">na naprawach bieżących, niezbędnych do utrzymania obiektu budowlanego i jego otoczenia </w:t>
      </w:r>
      <w:r>
        <w:rPr>
          <w:rFonts w:ascii="Times New Roman" w:hAnsi="Times New Roman" w:cs="Times New Roman"/>
          <w:sz w:val="24"/>
          <w:szCs w:val="24"/>
        </w:rPr>
        <w:br/>
        <w:t>w należytym stanie technicznym.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zleca firmom zewnętrznym czynności techniczne, takie jak: usługi pogotowia technicznego, konserwacje elementów zasobu w branżach – elektrycznej, wodno-kanalizacyjnej, centralnego ogrzewania i gazowej, stolarskiej, ślusarskiej i szklarskiej, ogólnobudowlanej oraz dekarskiej, sprzątanie powierzchni wspólnych i terenów zewnętrznych, pielęgnację zieleni, ochronę nieruchomości, wykonywanie przeglądów wymaganych ustawą Prawo budowlane, wywóz nieczystości ciekłych, opróżnianie lokali, remonty zasobu i inne. Pracownicy Spółki przygotowują postępowania, zlecenia i umowy </w:t>
      </w:r>
      <w:r>
        <w:rPr>
          <w:rFonts w:ascii="Times New Roman" w:hAnsi="Times New Roman" w:cs="Times New Roman"/>
          <w:sz w:val="24"/>
          <w:szCs w:val="24"/>
        </w:rPr>
        <w:br/>
        <w:t>w powyższym zakresie, nadzorują, odbierają i rozliczają zlecone prace, a także prowadzą dokumentację techniczną zarządzanych nieruchomości oraz prowadzą wszelkie czynności związane z bieżącym administrowaniem.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ZKZL sp. z o.o. przejęła z dniem 21 sierpnia 2017 roku zadanie bezpośredniego zarządzania zasobem powierzonym przez Miasto Poznań umową dzierżawy oraz zasobem będącym w użytkowaniu wieczystym Spółki.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spółka ZKZL zlecała zadanie zarządzania lokalami miejskimi firmom zewnętrznym. Na przestrzeni ostatnich 11 lat zadanie było realizowane przez trzy różne przedsiębiorstwa: w latach 2006-2009 przez Feroma Sp. z o.o.; w latach 2010-2013 przez Miejskie Przedsiębiorstwo Gospodarki Mieszkaniowej S.A i w latach 2014-2017 przez Zespół Zarządców Nieruchomości Sp. z o.o.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zmianie sposobu administrowania poprzedziły liczne analizy, z których wynikało, że dzięki własnym Punktom Obsługi Klienta Spółki obniżone zostaną koszty zarządzania nieruchomościami. Środki finansowe, wynikające z powyższych oszczędności, </w:t>
      </w:r>
      <w:r>
        <w:rPr>
          <w:rFonts w:ascii="Times New Roman" w:hAnsi="Times New Roman" w:cs="Times New Roman"/>
          <w:sz w:val="24"/>
          <w:szCs w:val="24"/>
        </w:rPr>
        <w:br/>
        <w:t xml:space="preserve">a dotychczas wydatkowane na zlecanie usług zewnętrznemu podmiotowi, będą mogły </w:t>
      </w:r>
      <w:r>
        <w:rPr>
          <w:rFonts w:ascii="Times New Roman" w:hAnsi="Times New Roman" w:cs="Times New Roman"/>
          <w:sz w:val="24"/>
          <w:szCs w:val="24"/>
        </w:rPr>
        <w:br/>
        <w:t xml:space="preserve">być przeznaczone na remonty budynków i lokali komunalnych. 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jednym z ważniejszych czynników decydujących o zmianie sposobu zarządzania było niezadowolenie mieszkańców z jakości dotychczas świadczonych usług. 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procesu przejęcia bezpośredniego zarządzania zasobem stwierdzono liczne nieprawidłowości i zaniedbania, będące skutkiem zarządzania zasobem przez firmy zewnętrzne i brakiem właściwego nadzoru nad zarządcą. Nieprawidłowości te wymagają kompleksowego podejścia i systemowych rozwiązań, mających na celu doprowadzenie nieruchomości do właściwego stanu technicznego, gwarantującego przede wszystkim bezpieczne użytkowanie lokali.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stwierdzone nieprawidłowości, wymagające bezzwłocznych działań naprawczych, to: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Rozbieżności w kryteriach, metodologii oraz zakresie danych dokumentacji technicznej budynków, w tym w książkach obiektów budowlanych. 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Błędne wpisy lub brak prowadzenia obowiązkowych Książek Obiektów Budowlanych.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protokołów z przeglądów wymaganych ustawą Prawo budowlane </w:t>
      </w:r>
      <w:r>
        <w:rPr>
          <w:rFonts w:ascii="Times New Roman" w:hAnsi="Times New Roman" w:cs="Times New Roman"/>
          <w:sz w:val="24"/>
          <w:szCs w:val="24"/>
        </w:rPr>
        <w:br/>
        <w:t>lub nieprawidłowości w protokołach z przeglądów.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Brak faktycznych odczytów urządzeń pomiarowych skutkujący nieprawidłowościami </w:t>
      </w:r>
      <w:r>
        <w:rPr>
          <w:rFonts w:ascii="Times New Roman" w:hAnsi="Times New Roman" w:cs="Times New Roman"/>
          <w:sz w:val="24"/>
          <w:szCs w:val="24"/>
        </w:rPr>
        <w:br/>
        <w:t>w rozliczaniu mediów.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Brak strategii zarządzania urządzeniami pomiarowymi, w tym przypadki braku wymiany urządzeń i rozliczenia mediów na podstawie urządzeń nieposiadających ważnej cechy legalizacyjnej.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Nieprawidłowości w rozliczaniu mediów związane z wcześniej obowiązującym regulaminem rozliczeń, w tym w szczególności zasadami rozliczeń </w:t>
      </w:r>
      <w:r>
        <w:rPr>
          <w:rFonts w:ascii="Times New Roman" w:hAnsi="Times New Roman" w:cs="Times New Roman"/>
          <w:sz w:val="24"/>
          <w:szCs w:val="24"/>
        </w:rPr>
        <w:br/>
        <w:t>tzw. „uchybu” i podgrzania wody oraz obciążania mieszkańców za montaż i ponowną legalizację urządzeń pomiarowych.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Uchybienia naruszające obowiązujące przepisy z zakresu bezpieczeństwa pożarowego </w:t>
      </w:r>
      <w:r>
        <w:rPr>
          <w:rFonts w:ascii="Times New Roman" w:hAnsi="Times New Roman" w:cs="Times New Roman"/>
          <w:sz w:val="24"/>
          <w:szCs w:val="24"/>
        </w:rPr>
        <w:br/>
        <w:t>w budynkach użyteczności publicznej.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Zaniedbania w zakresie prowadzenia polityki remontowej zasobu poprzez wykonywanie w zakresie niedostatecznym remontów dachów, stropów, izolacji pionowej i poziomej fundamentów, wymiany stolarki otworowej.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polityki przystosowania zasobu do obecnych przepisów z zakresu kontroli kominiarskiej – zły stan kominów i ław kominiarskich, uniemożliwiający wykonanie czyszczenia przewodów kominowych oraz zły stan zabezpieczeń klap włazowych i brak określenia możliwości poderwania ich przez wiatr przez wzrost ciśnienia na strychu bądź strącenia ich z dachu. 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Zły stan instalacji gazowych, elektrycznych, wodno-sanitarnych, centralnego ogrzewania i ciepłej wody użytkowej.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Zły stan techniczny budynków, w tym również liczne elementy zasobu wymagające pilnego zlecenia zarówno prac konserwacyjnych, zabezpieczających, jak i remontowych.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zintegrowania systemu informatycznego w zakresie wszystkich obszarów działań przedsiębiorstwa, tj. zarządzania finansami i księgowością, środkami trwałymi, marketingiem, sprzedażą i zakupami, serwisem oraz projektem.</w:t>
      </w:r>
    </w:p>
    <w:p w:rsidR="00C22F76" w:rsidRDefault="00C22F7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jednolitej ewidencji zasobu będącego w zarządzaniu Spółki. 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nieprawidłowości mogą doprowadzić do wyłączenia poszczególnych obiektów z użytkowania przez nadzór budowlany, a w konsekwencji do konieczności zapewnienia najemcom lokali zastępczych. Taki stan rzeczy może spowodować przede wszystkim zagrożenie życia i zdrowia użytkowników zasobu komunalnego.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Rezygnując z firm pośredniczących, Spółka ZKZL sp. z o.o. wprowadziła zmiany poprawiające jakość obsługi oraz przyśpieszające większość procedur. </w:t>
      </w:r>
    </w:p>
    <w:p w:rsidR="00C22F76" w:rsidRDefault="00C22F7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Usprawniona została obsługa zleceń dotyczących między innymi eksploatacji lokali, zgłaszania awarii, rozliczania mediów, sprawdzania stanu konta lub stanu zadłużenia lokalu. Wprowadzono jednolite standardy obsługi klientów spółki. 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pięciu dzielnicach Poznania (Wilda, Łazarz, Grunwald, Stare Miasto i Nowe Miasto)  uruchomione zostały nowe Punkty Obsługi Klienta (POK). Wprowadzone zmiany mają na celu poprawę jakości obsługi mieszkańców, w szczególności usprawnienie procedur poprzez skrócenie czasu ich realizacji. </w:t>
      </w:r>
    </w:p>
    <w:p w:rsidR="00C22F76" w:rsidRDefault="00C22F7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Zadania z zakresu zarządzania nieruchomościami powinny być wykonywane zgodnie z zasadami wynikającymi z przepisów prawa, ze szczególną starannością właściwą </w:t>
      </w:r>
      <w:r>
        <w:rPr>
          <w:rFonts w:ascii="Times New Roman" w:hAnsi="Times New Roman" w:cs="Times New Roman"/>
          <w:sz w:val="24"/>
          <w:szCs w:val="24"/>
        </w:rPr>
        <w:br/>
        <w:t xml:space="preserve">dla charakteru tych czynności. Przy ich wykonywaniu należy kierować się zasadą ochrony interesu osób, na rzecz których wykonywane są te czynności. Większość zarządzanych nieruchomości stanowią budynki, które w przeważającej części mają ponad 80 lat, co ma niewątpliwy wpływ na stan techniczny zarządzanych nieruchomości oraz zwiększone potrzeby remontowe. Z tego względu w perspektywie najbliższych lat Spółka zarządzająca zasobem komunalnym powinna podjąć działania zmierzające do zagwarantowania bezpieczeństwa jego użytkowania i właściwej eksploatacji. Aby doprowadzić do prawidłowego i racjonalnego gospodarowania nieruchomościami, należy przede wszystkim uporządkować dokumentację techniczną budynków i infrastruktury towarzyszącej oraz ewidencję nieruchomości wraz ze stopniem zużycia technicznego każdej z nich. Pozwoli to na planowanie wydatków na utrzymanie nie tylko poszczególnych nieruchomości, ale i całego zarządzanego zasobu w niepogorszonym stanie technicznym, a następnie na jego modernizację, częściowe i kompleksowe remonty, prace rewitalizacyjne </w:t>
      </w:r>
      <w:r>
        <w:rPr>
          <w:rFonts w:ascii="Times New Roman" w:hAnsi="Times New Roman" w:cs="Times New Roman"/>
          <w:sz w:val="24"/>
          <w:szCs w:val="24"/>
        </w:rPr>
        <w:br/>
        <w:t>i termomodernizacyjne.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prawidłowej eksploatacji nieruchomości Spółka podejmować będzie działania związane z:</w:t>
      </w:r>
    </w:p>
    <w:p w:rsidR="00C22F76" w:rsidRDefault="00C22F7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Inwentaryzacją instalacji i urządzeń pomiarowych.</w:t>
      </w:r>
    </w:p>
    <w:p w:rsidR="00C22F76" w:rsidRDefault="00C22F7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Sukcesywnym opomiarowaniem lokali i budynków.</w:t>
      </w:r>
    </w:p>
    <w:p w:rsidR="00C22F76" w:rsidRDefault="00C22F7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Wprowadzeniem rzeczywistych norm dla lokali nieopomiarowanych.</w:t>
      </w:r>
    </w:p>
    <w:p w:rsidR="00C22F76" w:rsidRDefault="00C22F7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Ograniczeniem dostępu do korzystania z mediów dla podmiotów gospodarczych </w:t>
      </w:r>
      <w:r>
        <w:rPr>
          <w:rFonts w:ascii="Times New Roman" w:hAnsi="Times New Roman" w:cs="Times New Roman"/>
          <w:sz w:val="24"/>
          <w:szCs w:val="24"/>
        </w:rPr>
        <w:br/>
        <w:t>z zadłużeniem czynszowym.</w:t>
      </w:r>
    </w:p>
    <w:p w:rsidR="00C22F76" w:rsidRDefault="00C22F7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Uporządkowaniem systemu informatycznego wraz z wprowadzeniem wszystkich kontrahentów oraz urządzeń pomiarowych do elektronicznej bazy danych.</w:t>
      </w:r>
    </w:p>
    <w:p w:rsidR="00C22F76" w:rsidRDefault="00C22F7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Rozdziałem instalacji w przypadku wspólnych węzłów cieplnych i przyłączy wodnych </w:t>
      </w:r>
      <w:r>
        <w:rPr>
          <w:rFonts w:ascii="Times New Roman" w:hAnsi="Times New Roman" w:cs="Times New Roman"/>
          <w:sz w:val="24"/>
          <w:szCs w:val="24"/>
        </w:rPr>
        <w:br/>
        <w:t>z innymi budynkami (jeżeli istnieje techniczna możliwość) i odrębnym opomiarowaniem nieruchomości komunalnych.</w:t>
      </w:r>
    </w:p>
    <w:p w:rsidR="00C22F76" w:rsidRDefault="00C22F7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Opomiarowaniem zużycia wody i energii cieplnej w lokalach komunalnych położonych </w:t>
      </w:r>
      <w:r>
        <w:rPr>
          <w:rFonts w:ascii="Times New Roman" w:hAnsi="Times New Roman" w:cs="Times New Roman"/>
          <w:sz w:val="24"/>
          <w:szCs w:val="24"/>
        </w:rPr>
        <w:br/>
        <w:t>w budynkach wspólnot mieszkaniowych – wnioskowaniem o wywołanie w tym zakresie uchwał wspólnot mieszkaniowych.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działania, a w dalszej kolejności systematyczne prowadzenie ewidencji budynków, instalacji i urządzeń, pozwolą na ograniczenie wydatkowania środków na zakup energii (mediów) niepodlegających odsprzedaży użytkownikom zasobu (kwalifikowanych </w:t>
      </w:r>
      <w:r>
        <w:rPr>
          <w:rFonts w:ascii="Times New Roman" w:hAnsi="Times New Roman" w:cs="Times New Roman"/>
          <w:sz w:val="24"/>
          <w:szCs w:val="24"/>
        </w:rPr>
        <w:br/>
        <w:t>w koszty eksploatacji).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działaniem jest program likwidacji zbiorników bezodpływowych w zasobie poprzez podłączenie nieruchomości do sieci kanalizacyjnej. W roku 2018 planowana jest likwidacja 50 szamb, w 2019 – 45, a w 2020 – 50. Prace te mają na celu poprawę jakości życia mieszkańców zasobu oraz ograniczenie negatywnego wpływu na środowisko.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również podjąć działania naprawcze, poprzez stworzenie procedur kontroli poprawności i kompletności dokumentacji technicznej nieruchomości wraz ze standaryzacją </w:t>
      </w:r>
      <w:r>
        <w:rPr>
          <w:rFonts w:ascii="Times New Roman" w:hAnsi="Times New Roman" w:cs="Times New Roman"/>
          <w:sz w:val="24"/>
          <w:szCs w:val="24"/>
        </w:rPr>
        <w:br/>
        <w:t>w całym zasobie komunalnym, wprowadzenie zasad bezpieczeństwa ppoż. we wszystkich obiektach, a w szczególności w budynkach użyteczności publicznej.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Właściwe prowadzenie dokumentacji technicznej nieruchomości, w tym szczegółowa analiza i ewidencjonowanie protokołów z okresowych przeglądów, pozwoli na szybkie reagowanie w sytuacjach zagrożenia katastrofą budowlaną, ale również planowanie prac </w:t>
      </w:r>
      <w:r>
        <w:rPr>
          <w:rFonts w:ascii="Times New Roman" w:hAnsi="Times New Roman" w:cs="Times New Roman"/>
          <w:sz w:val="24"/>
          <w:szCs w:val="24"/>
        </w:rPr>
        <w:br/>
        <w:t>i wydatków na konserwacje, remonty oraz bieżącą eksploatację nieruchomości.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 kolejnych latach konieczna jest zmiana sposobu finansowania remontów zasobu komunalnego. Przychody uzyskiwane przez Spółkę z tytułu czynszów najmu są niewystarczające, by utrzymać zasób w stanie niepogorszonym, gwarantującym bezpieczeństwo osób i mienia, jak również na działania mające na celu poprawienie warunków mieszkaniowych lokatorów i podnoszących standard zamieszkania, tym bardziej, że obecny sposób finansowania działań remontowych doprowadził do degradacji budynków </w:t>
      </w:r>
      <w:r>
        <w:rPr>
          <w:rFonts w:ascii="Times New Roman" w:hAnsi="Times New Roman" w:cs="Times New Roman"/>
          <w:sz w:val="24"/>
          <w:szCs w:val="24"/>
        </w:rPr>
        <w:br/>
        <w:t>i związanej z nimi infrastruktury. Spółka zakłada stały i systematyczny wzrost wydatków na cele remontowe. Aby ten cel osiągnąć, należy zaangażować nie tylko własne środki finansowe Spółki, ale również środki finansowe z budżetu Miasta Poznania oraz środki finansowe ze źródeł zewnętrznych.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latach kolejnych planowane jest również wprowadzanie (w miarę posiadanych środków finansowych) standaryzacji wyposażenia budynków komunalnych (drzwi, zamki, oświetlenie itp.). Szczególnie wprowadzenie na klatkach schodowych systemu oświetlenia wyposażonego w czujniki ruchu pozwoli ograniczyć wydatki na zakup energii elektrycznej </w:t>
      </w:r>
      <w:r>
        <w:rPr>
          <w:rFonts w:ascii="Times New Roman" w:hAnsi="Times New Roman" w:cs="Times New Roman"/>
          <w:sz w:val="24"/>
          <w:szCs w:val="24"/>
        </w:rPr>
        <w:br/>
        <w:t>w częściach wspólnych nieruchomości.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Podejmowane działania zmierzające do zachowania substancji budowlanej wraz </w:t>
      </w:r>
      <w:r>
        <w:rPr>
          <w:rFonts w:ascii="Times New Roman" w:hAnsi="Times New Roman" w:cs="Times New Roman"/>
          <w:sz w:val="24"/>
          <w:szCs w:val="24"/>
        </w:rPr>
        <w:br/>
        <w:t xml:space="preserve">ze wszystkimi instalacjami w dobrym stanie technicznym, umożliwiającym korzystanie </w:t>
      </w:r>
      <w:r>
        <w:rPr>
          <w:rFonts w:ascii="Times New Roman" w:hAnsi="Times New Roman" w:cs="Times New Roman"/>
          <w:sz w:val="24"/>
          <w:szCs w:val="24"/>
        </w:rPr>
        <w:br/>
        <w:t xml:space="preserve">z nieruchomości zgodnie z ich przeznaczeniem, pozwoli na spadek środków finansowych zaangażowanych w prace naprawcze i przeznaczenie ich, na przykład, na modernizację </w:t>
      </w:r>
      <w:r>
        <w:rPr>
          <w:rFonts w:ascii="Times New Roman" w:hAnsi="Times New Roman" w:cs="Times New Roman"/>
          <w:sz w:val="24"/>
          <w:szCs w:val="24"/>
        </w:rPr>
        <w:br/>
        <w:t>i ulepszenia.</w:t>
      </w:r>
    </w:p>
    <w:p w:rsidR="00C22F76" w:rsidRDefault="00C22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faktem, że zasób komunalny utrzymywany jest głównie z wpływów </w:t>
      </w:r>
      <w:r>
        <w:rPr>
          <w:rFonts w:ascii="Times New Roman" w:hAnsi="Times New Roman" w:cs="Times New Roman"/>
          <w:sz w:val="24"/>
          <w:szCs w:val="24"/>
        </w:rPr>
        <w:br/>
        <w:t>z tytułu czynszów, Spółka musi skoncentrować się na stworzeniu i wdrożeniu procedur windykacyjnych i systemowego podejścia do zadłużenia, w tym:</w:t>
      </w:r>
    </w:p>
    <w:p w:rsidR="00C22F76" w:rsidRDefault="00C22F76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wdrożenia zasady „indywidualnego” podejścia do każdego dłużnika;</w:t>
      </w:r>
    </w:p>
    <w:p w:rsidR="00C22F76" w:rsidRDefault="00C22F76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wdrożenia procedury „wczesnego reagowania” na pojawiające się zadłużenie.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Umiejętne i profesjonalne zarządzanie nieruchomościami z zastosowaniem kryteriów legalności, gospodarności i rzetelności, wpływa bezpośrednio na zapewnienie właściwej gospodarki ekonomiczno-finansowej budynków. Właściwa gospodarka ekonomiczno-finansowa pozwoli z kolei na utrzymanie zasobu w odpowiednim stanie technicznym, pozwalającym na zapewnienie bezpieczeństwa użytkowania i prawidłowej eksploatacji nieruchomości.</w:t>
      </w: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F76" w:rsidRDefault="00C2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F76" w:rsidRDefault="00C22F76" w:rsidP="004F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76" w:rsidRPr="004F4ECF" w:rsidRDefault="00C22F76" w:rsidP="004F4EC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F4ECF">
        <w:rPr>
          <w:rFonts w:ascii="Times New Roman" w:hAnsi="Times New Roman" w:cs="Times New Roman"/>
          <w:sz w:val="20"/>
          <w:szCs w:val="20"/>
          <w:u w:val="single"/>
        </w:rPr>
        <w:t>Załącznik opracował:</w:t>
      </w:r>
    </w:p>
    <w:p w:rsidR="00C22F76" w:rsidRPr="004F4ECF" w:rsidRDefault="00C22F76" w:rsidP="004F4EC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ECF">
        <w:rPr>
          <w:rFonts w:ascii="Times New Roman" w:hAnsi="Times New Roman" w:cs="Times New Roman"/>
          <w:sz w:val="20"/>
          <w:szCs w:val="20"/>
        </w:rPr>
        <w:t>Zarząd Komunalnych Zasobów Lokalowych sp. z o.o.</w:t>
      </w:r>
    </w:p>
    <w:p w:rsidR="00C22F76" w:rsidRDefault="00C22F76">
      <w:pPr>
        <w:spacing w:after="0" w:line="360" w:lineRule="auto"/>
        <w:ind w:firstLine="709"/>
        <w:jc w:val="both"/>
      </w:pPr>
      <w:bookmarkStart w:id="0" w:name="_GoBack"/>
      <w:bookmarkEnd w:id="0"/>
    </w:p>
    <w:sectPr w:rsidR="00C22F76" w:rsidSect="00BA6AB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76" w:rsidRDefault="00C22F76" w:rsidP="00262C7F">
      <w:pPr>
        <w:spacing w:after="0" w:line="240" w:lineRule="auto"/>
      </w:pPr>
      <w:r>
        <w:separator/>
      </w:r>
    </w:p>
  </w:endnote>
  <w:endnote w:type="continuationSeparator" w:id="0">
    <w:p w:rsidR="00C22F76" w:rsidRDefault="00C22F76" w:rsidP="0026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76" w:rsidRDefault="00C22F76">
    <w:pPr>
      <w:pStyle w:val="Footer"/>
      <w:jc w:val="center"/>
    </w:pPr>
    <w:fldSimple w:instr="PAGE">
      <w:r>
        <w:rPr>
          <w:noProof/>
        </w:rPr>
        <w:t>7</w:t>
      </w:r>
    </w:fldSimple>
  </w:p>
  <w:p w:rsidR="00C22F76" w:rsidRDefault="00C22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76" w:rsidRDefault="00C22F76" w:rsidP="00262C7F">
      <w:pPr>
        <w:spacing w:after="0" w:line="240" w:lineRule="auto"/>
      </w:pPr>
      <w:r>
        <w:separator/>
      </w:r>
    </w:p>
  </w:footnote>
  <w:footnote w:type="continuationSeparator" w:id="0">
    <w:p w:rsidR="00C22F76" w:rsidRDefault="00C22F76" w:rsidP="0026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6AF"/>
    <w:multiLevelType w:val="multilevel"/>
    <w:tmpl w:val="FFFFFFFF"/>
    <w:lvl w:ilvl="0">
      <w:start w:val="1"/>
      <w:numFmt w:val="decimal"/>
      <w:lvlText w:val="%1."/>
      <w:lvlJc w:val="left"/>
      <w:pPr>
        <w:ind w:left="1605" w:hanging="360"/>
      </w:p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57F664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E7F4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124C3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63E6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64F3149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92C6EA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C7F"/>
    <w:rsid w:val="000D14B0"/>
    <w:rsid w:val="000D5CB2"/>
    <w:rsid w:val="00262C7F"/>
    <w:rsid w:val="002E3E83"/>
    <w:rsid w:val="00410AFE"/>
    <w:rsid w:val="004F4ECF"/>
    <w:rsid w:val="00653A04"/>
    <w:rsid w:val="00A4379B"/>
    <w:rsid w:val="00B12CD7"/>
    <w:rsid w:val="00B20BE9"/>
    <w:rsid w:val="00B31AA0"/>
    <w:rsid w:val="00BA6AB1"/>
    <w:rsid w:val="00C218D1"/>
    <w:rsid w:val="00C22F76"/>
    <w:rsid w:val="00D77432"/>
    <w:rsid w:val="00E4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B0"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0D14B0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0D14B0"/>
    <w:rPr>
      <w:lang w:eastAsia="en-US"/>
    </w:rPr>
  </w:style>
  <w:style w:type="character" w:customStyle="1" w:styleId="FooterChar">
    <w:name w:val="Footer Char"/>
    <w:link w:val="Footer"/>
    <w:uiPriority w:val="99"/>
    <w:rsid w:val="000D14B0"/>
    <w:rPr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0D14B0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0D14B0"/>
    <w:rPr>
      <w:vertAlign w:val="superscript"/>
    </w:rPr>
  </w:style>
  <w:style w:type="character" w:customStyle="1" w:styleId="ListLabel1">
    <w:name w:val="ListLabel 1"/>
    <w:uiPriority w:val="99"/>
    <w:rsid w:val="00262C7F"/>
  </w:style>
  <w:style w:type="character" w:customStyle="1" w:styleId="ListLabel2">
    <w:name w:val="ListLabel 2"/>
    <w:uiPriority w:val="99"/>
    <w:rsid w:val="00262C7F"/>
  </w:style>
  <w:style w:type="character" w:customStyle="1" w:styleId="ListLabel3">
    <w:name w:val="ListLabel 3"/>
    <w:uiPriority w:val="99"/>
    <w:rsid w:val="00262C7F"/>
  </w:style>
  <w:style w:type="character" w:customStyle="1" w:styleId="ListLabel4">
    <w:name w:val="ListLabel 4"/>
    <w:uiPriority w:val="99"/>
    <w:rsid w:val="00262C7F"/>
  </w:style>
  <w:style w:type="character" w:customStyle="1" w:styleId="ListLabel5">
    <w:name w:val="ListLabel 5"/>
    <w:uiPriority w:val="99"/>
    <w:rsid w:val="00262C7F"/>
  </w:style>
  <w:style w:type="character" w:customStyle="1" w:styleId="ListLabel6">
    <w:name w:val="ListLabel 6"/>
    <w:uiPriority w:val="99"/>
    <w:rsid w:val="00262C7F"/>
  </w:style>
  <w:style w:type="character" w:customStyle="1" w:styleId="ListLabel7">
    <w:name w:val="ListLabel 7"/>
    <w:uiPriority w:val="99"/>
    <w:rsid w:val="00262C7F"/>
  </w:style>
  <w:style w:type="character" w:customStyle="1" w:styleId="ListLabel8">
    <w:name w:val="ListLabel 8"/>
    <w:uiPriority w:val="99"/>
    <w:rsid w:val="00262C7F"/>
  </w:style>
  <w:style w:type="character" w:customStyle="1" w:styleId="ListLabel9">
    <w:name w:val="ListLabel 9"/>
    <w:uiPriority w:val="99"/>
    <w:rsid w:val="00262C7F"/>
  </w:style>
  <w:style w:type="character" w:customStyle="1" w:styleId="ListLabel10">
    <w:name w:val="ListLabel 10"/>
    <w:uiPriority w:val="99"/>
    <w:rsid w:val="00262C7F"/>
  </w:style>
  <w:style w:type="character" w:customStyle="1" w:styleId="ListLabel11">
    <w:name w:val="ListLabel 11"/>
    <w:uiPriority w:val="99"/>
    <w:rsid w:val="00262C7F"/>
  </w:style>
  <w:style w:type="character" w:customStyle="1" w:styleId="ListLabel12">
    <w:name w:val="ListLabel 12"/>
    <w:uiPriority w:val="99"/>
    <w:rsid w:val="00262C7F"/>
  </w:style>
  <w:style w:type="character" w:customStyle="1" w:styleId="ListLabel13">
    <w:name w:val="ListLabel 13"/>
    <w:uiPriority w:val="99"/>
    <w:rsid w:val="00262C7F"/>
  </w:style>
  <w:style w:type="character" w:customStyle="1" w:styleId="ListLabel14">
    <w:name w:val="ListLabel 14"/>
    <w:uiPriority w:val="99"/>
    <w:rsid w:val="00262C7F"/>
  </w:style>
  <w:style w:type="character" w:customStyle="1" w:styleId="ListLabel15">
    <w:name w:val="ListLabel 15"/>
    <w:uiPriority w:val="99"/>
    <w:rsid w:val="00262C7F"/>
  </w:style>
  <w:style w:type="character" w:customStyle="1" w:styleId="ListLabel16">
    <w:name w:val="ListLabel 16"/>
    <w:uiPriority w:val="99"/>
    <w:rsid w:val="00262C7F"/>
  </w:style>
  <w:style w:type="character" w:customStyle="1" w:styleId="ListLabel17">
    <w:name w:val="ListLabel 17"/>
    <w:uiPriority w:val="99"/>
    <w:rsid w:val="00262C7F"/>
  </w:style>
  <w:style w:type="character" w:customStyle="1" w:styleId="ListLabel18">
    <w:name w:val="ListLabel 18"/>
    <w:uiPriority w:val="99"/>
    <w:rsid w:val="00262C7F"/>
  </w:style>
  <w:style w:type="character" w:customStyle="1" w:styleId="ListLabel19">
    <w:name w:val="ListLabel 19"/>
    <w:uiPriority w:val="99"/>
    <w:rsid w:val="00262C7F"/>
  </w:style>
  <w:style w:type="character" w:customStyle="1" w:styleId="ListLabel20">
    <w:name w:val="ListLabel 20"/>
    <w:uiPriority w:val="99"/>
    <w:rsid w:val="00262C7F"/>
  </w:style>
  <w:style w:type="character" w:customStyle="1" w:styleId="ListLabel21">
    <w:name w:val="ListLabel 21"/>
    <w:uiPriority w:val="99"/>
    <w:rsid w:val="00262C7F"/>
  </w:style>
  <w:style w:type="character" w:customStyle="1" w:styleId="ListLabel22">
    <w:name w:val="ListLabel 22"/>
    <w:uiPriority w:val="99"/>
    <w:rsid w:val="00262C7F"/>
  </w:style>
  <w:style w:type="character" w:customStyle="1" w:styleId="ListLabel23">
    <w:name w:val="ListLabel 23"/>
    <w:uiPriority w:val="99"/>
    <w:rsid w:val="00262C7F"/>
  </w:style>
  <w:style w:type="character" w:customStyle="1" w:styleId="ListLabel24">
    <w:name w:val="ListLabel 24"/>
    <w:uiPriority w:val="99"/>
    <w:rsid w:val="00262C7F"/>
  </w:style>
  <w:style w:type="character" w:customStyle="1" w:styleId="ListLabel25">
    <w:name w:val="ListLabel 25"/>
    <w:uiPriority w:val="99"/>
    <w:rsid w:val="00262C7F"/>
  </w:style>
  <w:style w:type="character" w:customStyle="1" w:styleId="ListLabel26">
    <w:name w:val="ListLabel 26"/>
    <w:uiPriority w:val="99"/>
    <w:rsid w:val="00262C7F"/>
  </w:style>
  <w:style w:type="character" w:customStyle="1" w:styleId="ListLabel27">
    <w:name w:val="ListLabel 27"/>
    <w:uiPriority w:val="99"/>
    <w:rsid w:val="00262C7F"/>
  </w:style>
  <w:style w:type="character" w:customStyle="1" w:styleId="ListLabel28">
    <w:name w:val="ListLabel 28"/>
    <w:uiPriority w:val="99"/>
    <w:rsid w:val="00262C7F"/>
  </w:style>
  <w:style w:type="character" w:customStyle="1" w:styleId="ListLabel29">
    <w:name w:val="ListLabel 29"/>
    <w:uiPriority w:val="99"/>
    <w:rsid w:val="00262C7F"/>
  </w:style>
  <w:style w:type="character" w:customStyle="1" w:styleId="ListLabel30">
    <w:name w:val="ListLabel 30"/>
    <w:uiPriority w:val="99"/>
    <w:rsid w:val="00262C7F"/>
  </w:style>
  <w:style w:type="character" w:customStyle="1" w:styleId="ListLabel31">
    <w:name w:val="ListLabel 31"/>
    <w:uiPriority w:val="99"/>
    <w:rsid w:val="00262C7F"/>
  </w:style>
  <w:style w:type="character" w:customStyle="1" w:styleId="ListLabel32">
    <w:name w:val="ListLabel 32"/>
    <w:uiPriority w:val="99"/>
    <w:rsid w:val="00262C7F"/>
  </w:style>
  <w:style w:type="character" w:customStyle="1" w:styleId="ListLabel33">
    <w:name w:val="ListLabel 33"/>
    <w:uiPriority w:val="99"/>
    <w:rsid w:val="00262C7F"/>
  </w:style>
  <w:style w:type="character" w:customStyle="1" w:styleId="ListLabel34">
    <w:name w:val="ListLabel 34"/>
    <w:uiPriority w:val="99"/>
    <w:rsid w:val="00262C7F"/>
  </w:style>
  <w:style w:type="character" w:customStyle="1" w:styleId="ListLabel35">
    <w:name w:val="ListLabel 35"/>
    <w:uiPriority w:val="99"/>
    <w:rsid w:val="00262C7F"/>
  </w:style>
  <w:style w:type="character" w:customStyle="1" w:styleId="ListLabel36">
    <w:name w:val="ListLabel 36"/>
    <w:uiPriority w:val="99"/>
    <w:rsid w:val="00262C7F"/>
  </w:style>
  <w:style w:type="character" w:customStyle="1" w:styleId="ListLabel37">
    <w:name w:val="ListLabel 37"/>
    <w:uiPriority w:val="99"/>
    <w:rsid w:val="00262C7F"/>
  </w:style>
  <w:style w:type="character" w:customStyle="1" w:styleId="ListLabel38">
    <w:name w:val="ListLabel 38"/>
    <w:uiPriority w:val="99"/>
    <w:rsid w:val="00262C7F"/>
  </w:style>
  <w:style w:type="character" w:customStyle="1" w:styleId="ListLabel39">
    <w:name w:val="ListLabel 39"/>
    <w:uiPriority w:val="99"/>
    <w:rsid w:val="00262C7F"/>
  </w:style>
  <w:style w:type="character" w:customStyle="1" w:styleId="ListLabel40">
    <w:name w:val="ListLabel 40"/>
    <w:uiPriority w:val="99"/>
    <w:rsid w:val="00262C7F"/>
  </w:style>
  <w:style w:type="character" w:customStyle="1" w:styleId="ListLabel41">
    <w:name w:val="ListLabel 41"/>
    <w:uiPriority w:val="99"/>
    <w:rsid w:val="00262C7F"/>
  </w:style>
  <w:style w:type="character" w:customStyle="1" w:styleId="ListLabel42">
    <w:name w:val="ListLabel 42"/>
    <w:uiPriority w:val="99"/>
    <w:rsid w:val="00262C7F"/>
  </w:style>
  <w:style w:type="character" w:customStyle="1" w:styleId="ListLabel43">
    <w:name w:val="ListLabel 43"/>
    <w:uiPriority w:val="99"/>
    <w:rsid w:val="00262C7F"/>
  </w:style>
  <w:style w:type="character" w:customStyle="1" w:styleId="ListLabel44">
    <w:name w:val="ListLabel 44"/>
    <w:uiPriority w:val="99"/>
    <w:rsid w:val="00262C7F"/>
  </w:style>
  <w:style w:type="character" w:customStyle="1" w:styleId="ListLabel45">
    <w:name w:val="ListLabel 45"/>
    <w:uiPriority w:val="99"/>
    <w:rsid w:val="00262C7F"/>
  </w:style>
  <w:style w:type="character" w:customStyle="1" w:styleId="ListLabel46">
    <w:name w:val="ListLabel 46"/>
    <w:uiPriority w:val="99"/>
    <w:rsid w:val="00262C7F"/>
  </w:style>
  <w:style w:type="character" w:customStyle="1" w:styleId="ListLabel47">
    <w:name w:val="ListLabel 47"/>
    <w:uiPriority w:val="99"/>
    <w:rsid w:val="00262C7F"/>
  </w:style>
  <w:style w:type="character" w:customStyle="1" w:styleId="ListLabel48">
    <w:name w:val="ListLabel 48"/>
    <w:uiPriority w:val="99"/>
    <w:rsid w:val="00262C7F"/>
  </w:style>
  <w:style w:type="character" w:customStyle="1" w:styleId="ListLabel49">
    <w:name w:val="ListLabel 49"/>
    <w:uiPriority w:val="99"/>
    <w:rsid w:val="00262C7F"/>
  </w:style>
  <w:style w:type="character" w:customStyle="1" w:styleId="ListLabel50">
    <w:name w:val="ListLabel 50"/>
    <w:uiPriority w:val="99"/>
    <w:rsid w:val="00262C7F"/>
  </w:style>
  <w:style w:type="character" w:customStyle="1" w:styleId="ListLabel51">
    <w:name w:val="ListLabel 51"/>
    <w:uiPriority w:val="99"/>
    <w:rsid w:val="00262C7F"/>
  </w:style>
  <w:style w:type="paragraph" w:styleId="Header">
    <w:name w:val="header"/>
    <w:basedOn w:val="Normal"/>
    <w:next w:val="BodyText"/>
    <w:link w:val="HeaderChar"/>
    <w:uiPriority w:val="99"/>
    <w:rsid w:val="000D14B0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262C7F"/>
    <w:pPr>
      <w:spacing w:after="140" w:line="288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00000A"/>
      <w:lang w:eastAsia="en-US"/>
    </w:rPr>
  </w:style>
  <w:style w:type="paragraph" w:styleId="List">
    <w:name w:val="List"/>
    <w:basedOn w:val="BodyText"/>
    <w:uiPriority w:val="99"/>
    <w:rsid w:val="00262C7F"/>
  </w:style>
  <w:style w:type="paragraph" w:styleId="Caption">
    <w:name w:val="caption"/>
    <w:basedOn w:val="Normal"/>
    <w:uiPriority w:val="99"/>
    <w:qFormat/>
    <w:rsid w:val="00262C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62C7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0D14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0D14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D14B0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color w:val="00000A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D14B0"/>
    <w:pPr>
      <w:spacing w:after="0" w:line="240" w:lineRule="auto"/>
    </w:pPr>
    <w:rPr>
      <w:color w:val="auto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Pr>
      <w:color w:val="00000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7</Pages>
  <Words>2177</Words>
  <Characters>13065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uchwały Nr LXIII/985/VI/2014</dc:title>
  <dc:subject/>
  <dc:creator>alipta</dc:creator>
  <cp:keywords/>
  <dc:description/>
  <cp:lastModifiedBy>ankolt</cp:lastModifiedBy>
  <cp:revision>7</cp:revision>
  <cp:lastPrinted>2018-05-04T11:20:00Z</cp:lastPrinted>
  <dcterms:created xsi:type="dcterms:W3CDTF">2018-05-23T08:11:00Z</dcterms:created>
  <dcterms:modified xsi:type="dcterms:W3CDTF">2018-06-04T13:59:00Z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