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31A895" w14:textId="77777777" w:rsidR="00680D70" w:rsidRPr="000F386E" w:rsidRDefault="00AE1B9B" w:rsidP="00680D70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70C0"/>
          <w:sz w:val="36"/>
          <w:szCs w:val="36"/>
          <w:lang w:eastAsia="pl-PL"/>
        </w:rPr>
      </w:pPr>
      <w:r w:rsidRPr="000F386E">
        <w:rPr>
          <w:rFonts w:ascii="Times New Roman" w:eastAsia="Times New Roman" w:hAnsi="Times New Roman" w:cs="Times New Roman"/>
          <w:b/>
          <w:bCs/>
          <w:color w:val="0070C0"/>
          <w:sz w:val="36"/>
          <w:szCs w:val="36"/>
          <w:lang w:eastAsia="pl-PL"/>
        </w:rPr>
        <w:t xml:space="preserve">Pomoc finansowa w tym zasiłek stały, zasiłek okresowy oraz </w:t>
      </w:r>
      <w:r w:rsidR="00680D70" w:rsidRPr="000F386E">
        <w:rPr>
          <w:rFonts w:ascii="Times New Roman" w:eastAsia="Times New Roman" w:hAnsi="Times New Roman" w:cs="Times New Roman"/>
          <w:b/>
          <w:bCs/>
          <w:color w:val="0070C0"/>
          <w:sz w:val="36"/>
          <w:szCs w:val="36"/>
          <w:lang w:eastAsia="pl-PL"/>
        </w:rPr>
        <w:t xml:space="preserve">zasiłek celowy i specjalny zasiłek celowy </w:t>
      </w:r>
    </w:p>
    <w:p w14:paraId="1A59A2D4" w14:textId="77777777" w:rsidR="00832B57" w:rsidRPr="000F386E" w:rsidRDefault="00832B57" w:rsidP="00335E50">
      <w:pPr>
        <w:pStyle w:val="NormalnyWeb"/>
        <w:spacing w:before="0" w:beforeAutospacing="0" w:after="0" w:afterAutospacing="0"/>
        <w:jc w:val="both"/>
        <w:rPr>
          <w:color w:val="0070C0"/>
        </w:rPr>
      </w:pPr>
    </w:p>
    <w:p w14:paraId="7BC87149" w14:textId="77777777" w:rsidR="00335E50" w:rsidRPr="00130C84" w:rsidRDefault="00335E50" w:rsidP="00335E50">
      <w:pPr>
        <w:pStyle w:val="NormalnyWeb"/>
        <w:spacing w:before="0" w:beforeAutospacing="0" w:after="0" w:afterAutospacing="0"/>
        <w:jc w:val="both"/>
        <w:rPr>
          <w:rStyle w:val="Pogrubienie"/>
          <w:color w:val="2E74B5" w:themeColor="accent1" w:themeShade="BF"/>
        </w:rPr>
      </w:pPr>
      <w:r w:rsidRPr="00130C84">
        <w:rPr>
          <w:rStyle w:val="Pogrubienie"/>
          <w:color w:val="2E74B5" w:themeColor="accent1" w:themeShade="BF"/>
        </w:rPr>
        <w:t>Pozostałe zasady:</w:t>
      </w:r>
    </w:p>
    <w:p w14:paraId="53AEE84B" w14:textId="77777777" w:rsidR="00335E50" w:rsidRPr="00130C84" w:rsidRDefault="00335E50" w:rsidP="00335E50">
      <w:pPr>
        <w:pStyle w:val="NormalnyWeb"/>
        <w:numPr>
          <w:ilvl w:val="0"/>
          <w:numId w:val="14"/>
        </w:numPr>
        <w:spacing w:before="0" w:beforeAutospacing="0" w:after="0" w:afterAutospacing="0"/>
        <w:jc w:val="both"/>
        <w:rPr>
          <w:color w:val="2E74B5" w:themeColor="accent1" w:themeShade="BF"/>
        </w:rPr>
      </w:pPr>
      <w:r w:rsidRPr="00130C84">
        <w:rPr>
          <w:color w:val="2E74B5" w:themeColor="accent1" w:themeShade="BF"/>
        </w:rPr>
        <w:t>osoby i rodziny korzystające z pomocy społecznej są obowiązane do współdziałania w rozwiązywaniu ich trudnej sytuacji życiowej. Brak tej współpracy skutkuje znacznym ograniczeniem, lub odmową udzielenia pomocy. Współpraca ta polega na ustalaniu wspólnych celów i zadań do realizacji przez obie strony tak, aby efektem pomocy było rozwiązanie wiodącego problemu osoby lub rodziny korzystającej z pomocy</w:t>
      </w:r>
    </w:p>
    <w:p w14:paraId="781258F0" w14:textId="77777777" w:rsidR="00335E50" w:rsidRPr="00130C84" w:rsidRDefault="00335E50" w:rsidP="00335E50">
      <w:pPr>
        <w:pStyle w:val="NormalnyWeb"/>
        <w:numPr>
          <w:ilvl w:val="0"/>
          <w:numId w:val="14"/>
        </w:numPr>
        <w:spacing w:before="0" w:beforeAutospacing="0" w:after="0" w:afterAutospacing="0"/>
        <w:jc w:val="both"/>
        <w:rPr>
          <w:color w:val="2E74B5" w:themeColor="accent1" w:themeShade="BF"/>
        </w:rPr>
      </w:pPr>
      <w:r w:rsidRPr="00130C84">
        <w:rPr>
          <w:color w:val="2E74B5" w:themeColor="accent1" w:themeShade="BF"/>
        </w:rPr>
        <w:t>prawo do świadczeń z pomocy społecznej uwarunkowane jest wykazaniem się własną aktywnością w zakresie zaspokajania swych potrzeb życiowych. Pomoc społeczna nie może stanowić stałego źródła utrzymania, zwłaszcza dla osób, które mają wszelkie warunki do tego, aby podjąć pracę</w:t>
      </w:r>
    </w:p>
    <w:p w14:paraId="72EAEB44" w14:textId="77777777" w:rsidR="00335E50" w:rsidRPr="00130C84" w:rsidRDefault="00335E50" w:rsidP="00335E50">
      <w:pPr>
        <w:pStyle w:val="NormalnyWeb"/>
        <w:numPr>
          <w:ilvl w:val="0"/>
          <w:numId w:val="14"/>
        </w:numPr>
        <w:spacing w:before="0" w:beforeAutospacing="0" w:after="0" w:afterAutospacing="0"/>
        <w:jc w:val="both"/>
        <w:rPr>
          <w:color w:val="2E74B5" w:themeColor="accent1" w:themeShade="BF"/>
        </w:rPr>
      </w:pPr>
      <w:r w:rsidRPr="00130C84">
        <w:rPr>
          <w:color w:val="2E74B5" w:themeColor="accent1" w:themeShade="BF"/>
        </w:rPr>
        <w:t>osobie odbywającej karę pozbawienia wolności nie przysługuje prawo do świadczeń z pomocy społecznej</w:t>
      </w:r>
    </w:p>
    <w:p w14:paraId="3950881D" w14:textId="77777777" w:rsidR="00335E50" w:rsidRPr="00130C84" w:rsidRDefault="00335E50" w:rsidP="00335E50">
      <w:pPr>
        <w:pStyle w:val="NormalnyWeb"/>
        <w:numPr>
          <w:ilvl w:val="0"/>
          <w:numId w:val="14"/>
        </w:numPr>
        <w:spacing w:before="0" w:beforeAutospacing="0" w:after="0" w:afterAutospacing="0"/>
        <w:jc w:val="both"/>
        <w:rPr>
          <w:color w:val="2E74B5" w:themeColor="accent1" w:themeShade="BF"/>
        </w:rPr>
      </w:pPr>
      <w:r w:rsidRPr="00130C84">
        <w:rPr>
          <w:color w:val="2E74B5" w:themeColor="accent1" w:themeShade="BF"/>
        </w:rPr>
        <w:t>osobie tymczasowo aresztowanej zawiesza się prawo do świadczeń z pomocy społecznej, a za okres tymczasowego aresztowania nie udziela się świadczeń.</w:t>
      </w:r>
    </w:p>
    <w:p w14:paraId="6182967A" w14:textId="77777777" w:rsidR="00335E50" w:rsidRPr="00130C84" w:rsidRDefault="00335E50" w:rsidP="00335E50">
      <w:pPr>
        <w:pStyle w:val="Nagwek2"/>
        <w:jc w:val="both"/>
        <w:rPr>
          <w:color w:val="2E74B5" w:themeColor="accent1" w:themeShade="BF"/>
          <w:sz w:val="24"/>
          <w:szCs w:val="24"/>
        </w:rPr>
      </w:pPr>
      <w:r w:rsidRPr="00130C84">
        <w:rPr>
          <w:rStyle w:val="Pogrubienie"/>
          <w:b/>
          <w:bCs/>
          <w:color w:val="2E74B5" w:themeColor="accent1" w:themeShade="BF"/>
          <w:sz w:val="24"/>
          <w:szCs w:val="24"/>
        </w:rPr>
        <w:t>KRYTERIUM DOCHODOWE W POMOCY SPOŁECZNEJ</w:t>
      </w:r>
    </w:p>
    <w:p w14:paraId="69D3AD45" w14:textId="77777777" w:rsidR="00335E50" w:rsidRPr="00130C84" w:rsidRDefault="00335E50" w:rsidP="00335E50">
      <w:pPr>
        <w:pStyle w:val="NormalnyWeb"/>
        <w:jc w:val="both"/>
        <w:rPr>
          <w:rStyle w:val="Pogrubienie"/>
          <w:color w:val="2E74B5" w:themeColor="accent1" w:themeShade="BF"/>
        </w:rPr>
      </w:pPr>
      <w:r w:rsidRPr="00130C84">
        <w:rPr>
          <w:rStyle w:val="Pogrubienie"/>
          <w:color w:val="2E74B5" w:themeColor="accent1" w:themeShade="BF"/>
        </w:rPr>
        <w:t>Prawo do świadczeń pieniężnych z pomocy społecznej przysługuje:</w:t>
      </w:r>
    </w:p>
    <w:p w14:paraId="78AB1FEE" w14:textId="26E82C7B" w:rsidR="00335E50" w:rsidRPr="00130C84" w:rsidRDefault="00335E50" w:rsidP="00335E50">
      <w:pPr>
        <w:pStyle w:val="NormalnyWeb"/>
        <w:numPr>
          <w:ilvl w:val="0"/>
          <w:numId w:val="13"/>
        </w:numPr>
        <w:jc w:val="both"/>
        <w:rPr>
          <w:color w:val="2E74B5" w:themeColor="accent1" w:themeShade="BF"/>
        </w:rPr>
      </w:pPr>
      <w:r w:rsidRPr="00130C84">
        <w:rPr>
          <w:color w:val="2E74B5" w:themeColor="accent1" w:themeShade="BF"/>
        </w:rPr>
        <w:t xml:space="preserve">osobie samotnie gospodarującej, której dochód nie przekracza kwoty </w:t>
      </w:r>
      <w:r w:rsidR="007D49B7" w:rsidRPr="00130C84">
        <w:rPr>
          <w:color w:val="2E74B5" w:themeColor="accent1" w:themeShade="BF"/>
        </w:rPr>
        <w:t>1010</w:t>
      </w:r>
      <w:r w:rsidRPr="00130C84">
        <w:rPr>
          <w:color w:val="2E74B5" w:themeColor="accent1" w:themeShade="BF"/>
        </w:rPr>
        <w:t xml:space="preserve"> zł </w:t>
      </w:r>
    </w:p>
    <w:p w14:paraId="57F4F4EE" w14:textId="3926A5A7" w:rsidR="00335E50" w:rsidRPr="00130C84" w:rsidRDefault="00335E50" w:rsidP="00335E50">
      <w:pPr>
        <w:pStyle w:val="NormalnyWeb"/>
        <w:numPr>
          <w:ilvl w:val="0"/>
          <w:numId w:val="13"/>
        </w:numPr>
        <w:jc w:val="both"/>
        <w:rPr>
          <w:color w:val="2E74B5" w:themeColor="accent1" w:themeShade="BF"/>
        </w:rPr>
      </w:pPr>
      <w:r w:rsidRPr="00130C84">
        <w:rPr>
          <w:color w:val="2E74B5" w:themeColor="accent1" w:themeShade="BF"/>
        </w:rPr>
        <w:t xml:space="preserve">osobie w rodzinie, w której dochód na osobę nie przekracza kwoty </w:t>
      </w:r>
      <w:r w:rsidR="007D49B7" w:rsidRPr="00130C84">
        <w:rPr>
          <w:color w:val="2E74B5" w:themeColor="accent1" w:themeShade="BF"/>
        </w:rPr>
        <w:t>823</w:t>
      </w:r>
      <w:r w:rsidRPr="00130C84">
        <w:rPr>
          <w:color w:val="2E74B5" w:themeColor="accent1" w:themeShade="BF"/>
        </w:rPr>
        <w:t xml:space="preserve"> zł </w:t>
      </w:r>
    </w:p>
    <w:p w14:paraId="6B6537E2" w14:textId="77777777" w:rsidR="00832B57" w:rsidRPr="00130C84" w:rsidRDefault="00335E50" w:rsidP="00832B57">
      <w:pPr>
        <w:pStyle w:val="NormalnyWeb"/>
        <w:numPr>
          <w:ilvl w:val="0"/>
          <w:numId w:val="13"/>
        </w:numPr>
        <w:jc w:val="both"/>
        <w:rPr>
          <w:color w:val="2E74B5" w:themeColor="accent1" w:themeShade="BF"/>
        </w:rPr>
      </w:pPr>
      <w:r w:rsidRPr="00130C84">
        <w:rPr>
          <w:color w:val="2E74B5" w:themeColor="accent1" w:themeShade="BF"/>
        </w:rPr>
        <w:t xml:space="preserve"> rodzinie, której dochód nie przekracza sumy kwot kryterium dochodowego na osobę w rodzinie.</w:t>
      </w:r>
    </w:p>
    <w:p w14:paraId="251DC8BF" w14:textId="77777777" w:rsidR="00335E50" w:rsidRPr="00130C84" w:rsidRDefault="00335E50" w:rsidP="00832B57">
      <w:pPr>
        <w:pStyle w:val="NormalnyWeb"/>
        <w:jc w:val="both"/>
        <w:rPr>
          <w:color w:val="2E74B5" w:themeColor="accent1" w:themeShade="BF"/>
        </w:rPr>
      </w:pPr>
      <w:r w:rsidRPr="00130C84">
        <w:rPr>
          <w:color w:val="2E74B5" w:themeColor="accent1" w:themeShade="BF"/>
        </w:rPr>
        <w:t>– przy jednoczesnym wystąpieniu co najmniej jednego z powodów wymienionych w art. 7 pkt 2-15 lub innych okoliczności uzasadniających udzielenie pomocy społecznej.</w:t>
      </w:r>
    </w:p>
    <w:p w14:paraId="02AB13BE" w14:textId="77777777" w:rsidR="00335E50" w:rsidRPr="00130C84" w:rsidRDefault="00832B57" w:rsidP="00832B5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color w:val="2E74B5" w:themeColor="accent1" w:themeShade="BF"/>
          <w:sz w:val="24"/>
          <w:szCs w:val="24"/>
          <w:lang w:eastAsia="pl-PL"/>
        </w:rPr>
      </w:pPr>
      <w:r w:rsidRPr="00130C84">
        <w:rPr>
          <w:rFonts w:ascii="Times New Roman" w:eastAsia="Times New Roman" w:hAnsi="Times New Roman" w:cs="Times New Roman"/>
          <w:b/>
          <w:color w:val="2E74B5" w:themeColor="accent1" w:themeShade="BF"/>
          <w:sz w:val="24"/>
          <w:szCs w:val="24"/>
          <w:lang w:eastAsia="pl-PL"/>
        </w:rPr>
        <w:t>Zasiłek stały</w:t>
      </w:r>
    </w:p>
    <w:p w14:paraId="78211705" w14:textId="77777777" w:rsidR="004F7FC0" w:rsidRPr="00130C84" w:rsidRDefault="004F7FC0" w:rsidP="004F7FC0">
      <w:pPr>
        <w:pStyle w:val="NormalnyWeb"/>
        <w:spacing w:before="0" w:beforeAutospacing="0" w:after="0" w:afterAutospacing="0"/>
        <w:jc w:val="both"/>
        <w:rPr>
          <w:b/>
          <w:color w:val="2E74B5" w:themeColor="accent1" w:themeShade="BF"/>
        </w:rPr>
      </w:pPr>
      <w:r w:rsidRPr="00130C84">
        <w:rPr>
          <w:rStyle w:val="Pogrubienie"/>
          <w:b w:val="0"/>
          <w:color w:val="2E74B5" w:themeColor="accent1" w:themeShade="BF"/>
        </w:rPr>
        <w:t>Przysługuje osobie pełnoletniej:</w:t>
      </w:r>
    </w:p>
    <w:p w14:paraId="287D0119" w14:textId="77777777" w:rsidR="004F7FC0" w:rsidRPr="00130C84" w:rsidRDefault="004F7FC0" w:rsidP="004F7FC0">
      <w:pPr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color w:val="2E74B5" w:themeColor="accent1" w:themeShade="BF"/>
          <w:sz w:val="24"/>
          <w:szCs w:val="24"/>
        </w:rPr>
      </w:pPr>
      <w:r w:rsidRPr="00130C84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 xml:space="preserve">Samotnie gospodarującej, całkowicie niezdolnej do pracy z powodu wieku lub niepełnosprawności, jeżeli jej dochód jest niższy od kryterium dochodowego wskazanego w ustawie o pomocy społecznej </w:t>
      </w:r>
    </w:p>
    <w:p w14:paraId="5E9FE43D" w14:textId="77777777" w:rsidR="004F7FC0" w:rsidRPr="00130C84" w:rsidRDefault="004F7FC0" w:rsidP="004F7FC0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color w:val="2E74B5" w:themeColor="accent1" w:themeShade="BF"/>
          <w:sz w:val="24"/>
          <w:szCs w:val="24"/>
        </w:rPr>
      </w:pPr>
      <w:r w:rsidRPr="00130C84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 xml:space="preserve">pozostającej w rodzinie, całkowicie niezdolnej do pracy z powodu wieku lub niepełnosprawności, jeżeli dochód tej osoby, jak również dochód na osobę w rodzinie jest niższy od kryterium dochodowego </w:t>
      </w:r>
    </w:p>
    <w:p w14:paraId="3703CEEE" w14:textId="77777777" w:rsidR="004F7FC0" w:rsidRPr="00130C84" w:rsidRDefault="004F7FC0" w:rsidP="004F7FC0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color w:val="2E74B5" w:themeColor="accent1" w:themeShade="BF"/>
          <w:sz w:val="24"/>
          <w:szCs w:val="24"/>
        </w:rPr>
      </w:pPr>
      <w:r w:rsidRPr="00130C84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>Całkowita niezdolność do pracy – oznacza zarówno całkowitą niezdolność do pracy w rozumieniu przepisów o emeryturach i rentach z Funduszu Ubezpieczeń Społecznych albo zaliczenie do I lub II grupy inwalidów lub legitymowanie się znacznym lub umiarkowanym stopniem niepełnosprawności w rozumieniu przepisów o rehabilitacji zawodowej i społecznej oraz zatrudnianiu osób niepełnosprawnych.</w:t>
      </w:r>
    </w:p>
    <w:p w14:paraId="282640FA" w14:textId="77777777" w:rsidR="00832B57" w:rsidRPr="00130C84" w:rsidRDefault="00832B57" w:rsidP="004F7FC0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color w:val="2E74B5" w:themeColor="accent1" w:themeShade="BF"/>
          <w:sz w:val="24"/>
          <w:szCs w:val="24"/>
        </w:rPr>
      </w:pPr>
    </w:p>
    <w:p w14:paraId="4AFD00BC" w14:textId="77777777" w:rsidR="00130C84" w:rsidRPr="00130C84" w:rsidRDefault="00130C84" w:rsidP="00130C84">
      <w:pPr>
        <w:jc w:val="both"/>
        <w:rPr>
          <w:rFonts w:ascii="Times New Roman" w:hAnsi="Times New Roman" w:cs="Times New Roman"/>
          <w:b/>
          <w:bCs/>
          <w:color w:val="2E74B5" w:themeColor="accent1" w:themeShade="BF"/>
          <w:sz w:val="24"/>
          <w:szCs w:val="24"/>
        </w:rPr>
      </w:pPr>
      <w:r w:rsidRPr="00130C84">
        <w:rPr>
          <w:rFonts w:ascii="Times New Roman" w:hAnsi="Times New Roman" w:cs="Times New Roman"/>
          <w:b/>
          <w:bCs/>
          <w:color w:val="2E74B5" w:themeColor="accent1" w:themeShade="BF"/>
          <w:sz w:val="24"/>
          <w:szCs w:val="24"/>
        </w:rPr>
        <w:lastRenderedPageBreak/>
        <w:t>Zasiłek stały ustala się w wysokości:</w:t>
      </w:r>
    </w:p>
    <w:p w14:paraId="67121651" w14:textId="77777777" w:rsidR="00130C84" w:rsidRPr="00130C84" w:rsidRDefault="00130C84" w:rsidP="00130C84">
      <w:pPr>
        <w:numPr>
          <w:ilvl w:val="0"/>
          <w:numId w:val="17"/>
        </w:numPr>
        <w:jc w:val="both"/>
        <w:rPr>
          <w:rFonts w:ascii="Times New Roman" w:hAnsi="Times New Roman" w:cs="Times New Roman"/>
          <w:color w:val="2E74B5" w:themeColor="accent1" w:themeShade="BF"/>
          <w:sz w:val="24"/>
          <w:szCs w:val="24"/>
        </w:rPr>
      </w:pPr>
      <w:r w:rsidRPr="00130C84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>w przypadku osoby samotnie gospodarującej - różnicy między kwotą stanowiącą 130% kryterium dochodowego osoby samotnie gospodarującej a dochodem tej osoby, z tym że kwota zasiłku nie może być wyższa niż 1229 zł miesięcznie;</w:t>
      </w:r>
    </w:p>
    <w:p w14:paraId="3BEF2274" w14:textId="77777777" w:rsidR="00130C84" w:rsidRPr="00130C84" w:rsidRDefault="00130C84" w:rsidP="00130C84">
      <w:pPr>
        <w:jc w:val="both"/>
        <w:rPr>
          <w:rFonts w:ascii="Times New Roman" w:hAnsi="Times New Roman" w:cs="Times New Roman"/>
          <w:color w:val="2E74B5" w:themeColor="accent1" w:themeShade="BF"/>
          <w:sz w:val="24"/>
          <w:szCs w:val="24"/>
        </w:rPr>
      </w:pPr>
      <w:r w:rsidRPr="00130C84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>130% aktualnego kryterium  dla osoby samotnie gospodarującej to kwota 1313 zł.</w:t>
      </w:r>
    </w:p>
    <w:p w14:paraId="60098DBC" w14:textId="77777777" w:rsidR="00130C84" w:rsidRPr="00130C84" w:rsidRDefault="00130C84" w:rsidP="00130C84">
      <w:pPr>
        <w:numPr>
          <w:ilvl w:val="0"/>
          <w:numId w:val="17"/>
        </w:numPr>
        <w:jc w:val="both"/>
        <w:rPr>
          <w:rFonts w:ascii="Times New Roman" w:hAnsi="Times New Roman" w:cs="Times New Roman"/>
          <w:color w:val="2E74B5" w:themeColor="accent1" w:themeShade="BF"/>
          <w:sz w:val="24"/>
          <w:szCs w:val="24"/>
        </w:rPr>
      </w:pPr>
      <w:r w:rsidRPr="00130C84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>w przypadku osoby w rodzinie - różnicy między kwotą stanowiącą 130% kryterium dochodowego na osobę w rodzinie  (aktualnie  130% to kwota 1069,90 zł) a dochodem na osobę w rodzinie.</w:t>
      </w:r>
    </w:p>
    <w:p w14:paraId="698F5E14" w14:textId="77777777" w:rsidR="00130C84" w:rsidRPr="00130C84" w:rsidRDefault="00130C84" w:rsidP="00130C84">
      <w:pPr>
        <w:jc w:val="both"/>
        <w:rPr>
          <w:rFonts w:ascii="Times New Roman" w:hAnsi="Times New Roman" w:cs="Times New Roman"/>
          <w:b/>
          <w:bCs/>
          <w:color w:val="2E74B5" w:themeColor="accent1" w:themeShade="BF"/>
          <w:sz w:val="24"/>
          <w:szCs w:val="24"/>
        </w:rPr>
      </w:pPr>
      <w:r w:rsidRPr="00130C84">
        <w:rPr>
          <w:rFonts w:ascii="Times New Roman" w:hAnsi="Times New Roman" w:cs="Times New Roman"/>
          <w:b/>
          <w:bCs/>
          <w:color w:val="2E74B5" w:themeColor="accent1" w:themeShade="BF"/>
          <w:sz w:val="24"/>
          <w:szCs w:val="24"/>
        </w:rPr>
        <w:t>Uwaga: obowiązują ogólne kryteria uprawniające do świadczeń z pomocy społecznej.</w:t>
      </w:r>
    </w:p>
    <w:p w14:paraId="3DBCA7FE" w14:textId="77777777" w:rsidR="004F7FC0" w:rsidRPr="00130C84" w:rsidRDefault="004F7FC0" w:rsidP="004F7FC0">
      <w:pPr>
        <w:pStyle w:val="NormalnyWeb"/>
        <w:jc w:val="both"/>
        <w:rPr>
          <w:color w:val="2E74B5" w:themeColor="accent1" w:themeShade="BF"/>
        </w:rPr>
      </w:pPr>
      <w:r w:rsidRPr="00130C84">
        <w:rPr>
          <w:color w:val="2E74B5" w:themeColor="accent1" w:themeShade="BF"/>
        </w:rPr>
        <w:t>W przypadku zbiegu uprawnień do zasiłku stałego i renty socjalnej, świadczenia pielęgnacyjnego lub dodatku z tytułu samotnego wychowywania dziecka i utraty prawa do zasiłku dla bezrobotnych na skutek upływu ustawowego okresu jego pobierania, zasiłek stały nie przysługuje.</w:t>
      </w:r>
    </w:p>
    <w:p w14:paraId="098583A8" w14:textId="240DD03B" w:rsidR="004F7FC0" w:rsidRPr="00130C84" w:rsidRDefault="004F7FC0" w:rsidP="004F7FC0">
      <w:pPr>
        <w:pStyle w:val="NormalnyWeb"/>
        <w:jc w:val="both"/>
        <w:rPr>
          <w:color w:val="2E74B5" w:themeColor="accent1" w:themeShade="BF"/>
        </w:rPr>
      </w:pPr>
      <w:r w:rsidRPr="00130C84">
        <w:rPr>
          <w:color w:val="2E74B5" w:themeColor="accent1" w:themeShade="BF"/>
        </w:rPr>
        <w:t xml:space="preserve">Wysokość przyznanego zasiłku stałego nie może być niższa niż </w:t>
      </w:r>
      <w:r w:rsidR="007D49B7" w:rsidRPr="00130C84">
        <w:rPr>
          <w:color w:val="2E74B5" w:themeColor="accent1" w:themeShade="BF"/>
        </w:rPr>
        <w:t>100</w:t>
      </w:r>
      <w:r w:rsidRPr="00130C84">
        <w:rPr>
          <w:color w:val="2E74B5" w:themeColor="accent1" w:themeShade="BF"/>
        </w:rPr>
        <w:t xml:space="preserve"> zł.</w:t>
      </w:r>
    </w:p>
    <w:p w14:paraId="62188957" w14:textId="77777777" w:rsidR="006B636C" w:rsidRPr="00130C84" w:rsidRDefault="006B636C" w:rsidP="006B636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color w:val="2E74B5" w:themeColor="accent1" w:themeShade="BF"/>
          <w:sz w:val="24"/>
          <w:szCs w:val="24"/>
          <w:lang w:eastAsia="pl-PL"/>
        </w:rPr>
      </w:pPr>
      <w:r w:rsidRPr="00130C84">
        <w:rPr>
          <w:rFonts w:ascii="Times New Roman" w:eastAsia="Times New Roman" w:hAnsi="Times New Roman" w:cs="Times New Roman"/>
          <w:b/>
          <w:color w:val="2E74B5" w:themeColor="accent1" w:themeShade="BF"/>
          <w:sz w:val="24"/>
          <w:szCs w:val="24"/>
          <w:lang w:eastAsia="pl-PL"/>
        </w:rPr>
        <w:t>Zasiłek okresowy</w:t>
      </w:r>
    </w:p>
    <w:p w14:paraId="6259A91E" w14:textId="77777777" w:rsidR="006B636C" w:rsidRPr="00130C84" w:rsidRDefault="006B636C" w:rsidP="006B636C">
      <w:pPr>
        <w:spacing w:after="0" w:line="240" w:lineRule="auto"/>
        <w:jc w:val="both"/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  <w:lang w:eastAsia="pl-PL"/>
        </w:rPr>
      </w:pPr>
      <w:r w:rsidRPr="00130C84"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  <w:lang w:eastAsia="pl-PL"/>
        </w:rPr>
        <w:t>Zasiłek okresowy przysługuje w szczególności ze względu na długotrwałą chorobę, niepełnosprawność, bezrobocie, możliwość utrzymania lub nabycia uprawnień do świadczeń z innych systemów zabezpieczenia społecznego:</w:t>
      </w:r>
    </w:p>
    <w:p w14:paraId="24B9CDED" w14:textId="77777777" w:rsidR="006B636C" w:rsidRPr="00130C84" w:rsidRDefault="006B636C" w:rsidP="006B636C">
      <w:pPr>
        <w:spacing w:after="0" w:line="240" w:lineRule="auto"/>
        <w:jc w:val="both"/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  <w:lang w:eastAsia="pl-PL"/>
        </w:rPr>
      </w:pPr>
      <w:r w:rsidRPr="00130C84"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  <w:lang w:eastAsia="pl-PL"/>
        </w:rPr>
        <w:t xml:space="preserve">- osobie samotnie gospodarującej, której dochód jest niższy od kryterium dochodowego </w:t>
      </w:r>
    </w:p>
    <w:p w14:paraId="071DB167" w14:textId="77777777" w:rsidR="006B636C" w:rsidRPr="00130C84" w:rsidRDefault="006B636C" w:rsidP="006B636C">
      <w:pPr>
        <w:spacing w:after="0" w:line="240" w:lineRule="auto"/>
        <w:jc w:val="both"/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  <w:lang w:eastAsia="pl-PL"/>
        </w:rPr>
      </w:pPr>
      <w:r w:rsidRPr="00130C84"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  <w:lang w:eastAsia="pl-PL"/>
        </w:rPr>
        <w:t xml:space="preserve">- rodzinie, której dochód jest niższy od kryterium dochodowego rodziny </w:t>
      </w:r>
    </w:p>
    <w:p w14:paraId="192B67A7" w14:textId="77777777" w:rsidR="006B636C" w:rsidRPr="00130C84" w:rsidRDefault="006B636C" w:rsidP="006B636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  <w:lang w:eastAsia="pl-PL"/>
        </w:rPr>
      </w:pPr>
      <w:r w:rsidRPr="00130C84"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  <w:lang w:eastAsia="pl-PL"/>
        </w:rPr>
        <w:t>Okres, na jaki przyznaje się zasiłek okresowy ustala MOPR na podstawie okoliczności sprawy.</w:t>
      </w:r>
    </w:p>
    <w:p w14:paraId="61FC32DA" w14:textId="77777777" w:rsidR="00130C84" w:rsidRPr="00130C84" w:rsidRDefault="00130C84" w:rsidP="00130C84">
      <w:pPr>
        <w:jc w:val="both"/>
        <w:rPr>
          <w:rFonts w:ascii="Times New Roman" w:hAnsi="Times New Roman" w:cs="Times New Roman"/>
          <w:color w:val="2E74B5" w:themeColor="accent1" w:themeShade="BF"/>
          <w:sz w:val="24"/>
          <w:szCs w:val="24"/>
        </w:rPr>
      </w:pPr>
      <w:r w:rsidRPr="00130C84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 xml:space="preserve">Zasiłek okresowy ustala się do wysokości: </w:t>
      </w:r>
    </w:p>
    <w:p w14:paraId="2337BCD3" w14:textId="77777777" w:rsidR="00130C84" w:rsidRPr="00130C84" w:rsidRDefault="00130C84" w:rsidP="00130C84">
      <w:pPr>
        <w:jc w:val="both"/>
        <w:rPr>
          <w:rFonts w:ascii="Times New Roman" w:hAnsi="Times New Roman" w:cs="Times New Roman"/>
          <w:color w:val="2E74B5" w:themeColor="accent1" w:themeShade="BF"/>
          <w:sz w:val="24"/>
          <w:szCs w:val="24"/>
        </w:rPr>
      </w:pPr>
      <w:r w:rsidRPr="00130C84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 xml:space="preserve">- </w:t>
      </w:r>
      <w:r w:rsidRPr="00130C84">
        <w:rPr>
          <w:rFonts w:ascii="Times New Roman" w:hAnsi="Times New Roman" w:cs="Times New Roman"/>
          <w:b/>
          <w:bCs/>
          <w:color w:val="2E74B5" w:themeColor="accent1" w:themeShade="BF"/>
          <w:sz w:val="24"/>
          <w:szCs w:val="24"/>
        </w:rPr>
        <w:t>w przypadku osoby samotnie gospodarującej</w:t>
      </w:r>
      <w:r w:rsidRPr="00130C84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 xml:space="preserve"> – różnicy między kryterium dochodowym osoby samotnie gospodarującej  określonym w ustawie o pomocy społecznej tj. 1010 zł, a faktycznym dochodem tej osoby. Kwota zasiłku nie może być niższa niż 50% różnicy między kryterium dochodowym osoby samotnie gospodarującej tj. 1010 zł a dochodem tej osoby. Miesięczna kwota zasiłku nie może być wyższa niż kwota kryterium dochodowego na osobę w rodzinie tj. 823 zł.</w:t>
      </w:r>
    </w:p>
    <w:p w14:paraId="2C53A626" w14:textId="77777777" w:rsidR="00130C84" w:rsidRPr="00130C84" w:rsidRDefault="00130C84" w:rsidP="00130C84">
      <w:pPr>
        <w:jc w:val="both"/>
        <w:rPr>
          <w:rFonts w:ascii="Times New Roman" w:hAnsi="Times New Roman" w:cs="Times New Roman"/>
          <w:color w:val="2E74B5" w:themeColor="accent1" w:themeShade="BF"/>
          <w:sz w:val="24"/>
          <w:szCs w:val="24"/>
        </w:rPr>
      </w:pPr>
      <w:r w:rsidRPr="00130C84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 xml:space="preserve">- </w:t>
      </w:r>
      <w:r w:rsidRPr="00130C84">
        <w:rPr>
          <w:rFonts w:ascii="Times New Roman" w:hAnsi="Times New Roman" w:cs="Times New Roman"/>
          <w:b/>
          <w:bCs/>
          <w:color w:val="2E74B5" w:themeColor="accent1" w:themeShade="BF"/>
          <w:sz w:val="24"/>
          <w:szCs w:val="24"/>
        </w:rPr>
        <w:t>w przypadku rodziny</w:t>
      </w:r>
      <w:r w:rsidRPr="00130C84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 xml:space="preserve"> – różnicy między kryterium dochodowym rodziny zgodnie z ustawą o pomocy społecznej tj. 823 zł na osobę w rodzinie, a faktycznie posiadanym dochodem rodziny. Kwota zasiłku nie może być niższa niż 50% różnicy między kryterium dochodowym rodziny a jej dochodem.</w:t>
      </w:r>
    </w:p>
    <w:p w14:paraId="2019BBD3" w14:textId="77777777" w:rsidR="00130C84" w:rsidRPr="00130C84" w:rsidRDefault="00130C84" w:rsidP="00130C84">
      <w:pPr>
        <w:jc w:val="both"/>
        <w:rPr>
          <w:rFonts w:ascii="Times New Roman" w:hAnsi="Times New Roman" w:cs="Times New Roman"/>
          <w:b/>
          <w:bCs/>
          <w:color w:val="2E74B5" w:themeColor="accent1" w:themeShade="BF"/>
          <w:sz w:val="24"/>
          <w:szCs w:val="24"/>
        </w:rPr>
      </w:pPr>
      <w:r w:rsidRPr="00130C84">
        <w:rPr>
          <w:rFonts w:ascii="Times New Roman" w:hAnsi="Times New Roman" w:cs="Times New Roman"/>
          <w:b/>
          <w:bCs/>
          <w:color w:val="2E74B5" w:themeColor="accent1" w:themeShade="BF"/>
          <w:sz w:val="24"/>
          <w:szCs w:val="24"/>
        </w:rPr>
        <w:t xml:space="preserve">Kwota zasiłku okresowego nie może być niższa niż 20 zł miesięcznie. </w:t>
      </w:r>
    </w:p>
    <w:p w14:paraId="16475416" w14:textId="77777777" w:rsidR="00130C84" w:rsidRPr="00130C84" w:rsidRDefault="00130C84" w:rsidP="00130C84">
      <w:pPr>
        <w:jc w:val="both"/>
        <w:rPr>
          <w:color w:val="2E74B5" w:themeColor="accent1" w:themeShade="BF"/>
          <w:sz w:val="24"/>
          <w:szCs w:val="24"/>
        </w:rPr>
      </w:pPr>
    </w:p>
    <w:p w14:paraId="6E1B0DA7" w14:textId="77777777" w:rsidR="00130C84" w:rsidRPr="00130C84" w:rsidRDefault="00130C84" w:rsidP="006B636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2E74B5" w:themeColor="accent1" w:themeShade="BF"/>
          <w:sz w:val="24"/>
          <w:szCs w:val="24"/>
          <w:lang w:eastAsia="pl-PL"/>
        </w:rPr>
      </w:pPr>
    </w:p>
    <w:p w14:paraId="3860064C" w14:textId="77777777" w:rsidR="00130C84" w:rsidRPr="00130C84" w:rsidRDefault="00130C84" w:rsidP="006B636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2E74B5" w:themeColor="accent1" w:themeShade="BF"/>
          <w:sz w:val="24"/>
          <w:szCs w:val="24"/>
          <w:lang w:eastAsia="pl-PL"/>
        </w:rPr>
      </w:pPr>
    </w:p>
    <w:p w14:paraId="2ED8406C" w14:textId="77777777" w:rsidR="00130C84" w:rsidRPr="00130C84" w:rsidRDefault="00130C84" w:rsidP="006B636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2E74B5" w:themeColor="accent1" w:themeShade="BF"/>
          <w:sz w:val="24"/>
          <w:szCs w:val="24"/>
          <w:lang w:eastAsia="pl-PL"/>
        </w:rPr>
      </w:pPr>
    </w:p>
    <w:p w14:paraId="72F94FB3" w14:textId="77777777" w:rsidR="00130C84" w:rsidRPr="00130C84" w:rsidRDefault="00130C84" w:rsidP="006B636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2E74B5" w:themeColor="accent1" w:themeShade="BF"/>
          <w:sz w:val="24"/>
          <w:szCs w:val="24"/>
          <w:lang w:eastAsia="pl-PL"/>
        </w:rPr>
      </w:pPr>
    </w:p>
    <w:p w14:paraId="2773F84D" w14:textId="77777777" w:rsidR="006B636C" w:rsidRPr="00130C84" w:rsidRDefault="00680D70" w:rsidP="00335E5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color w:val="2E74B5" w:themeColor="accent1" w:themeShade="BF"/>
          <w:sz w:val="24"/>
          <w:szCs w:val="24"/>
          <w:lang w:eastAsia="pl-PL"/>
        </w:rPr>
      </w:pPr>
      <w:r w:rsidRPr="00130C84">
        <w:rPr>
          <w:rFonts w:ascii="Times New Roman" w:eastAsia="Times New Roman" w:hAnsi="Times New Roman" w:cs="Times New Roman"/>
          <w:b/>
          <w:color w:val="2E74B5" w:themeColor="accent1" w:themeShade="BF"/>
          <w:sz w:val="24"/>
          <w:szCs w:val="24"/>
          <w:lang w:eastAsia="pl-PL"/>
        </w:rPr>
        <w:t xml:space="preserve">Zasiłek celowy </w:t>
      </w:r>
      <w:r w:rsidR="00335E50" w:rsidRPr="00130C84">
        <w:rPr>
          <w:rFonts w:ascii="Times New Roman" w:eastAsia="Times New Roman" w:hAnsi="Times New Roman" w:cs="Times New Roman"/>
          <w:b/>
          <w:color w:val="2E74B5" w:themeColor="accent1" w:themeShade="BF"/>
          <w:sz w:val="24"/>
          <w:szCs w:val="24"/>
          <w:lang w:eastAsia="pl-PL"/>
        </w:rPr>
        <w:t>i specjalny zasiłek celowy:</w:t>
      </w:r>
    </w:p>
    <w:p w14:paraId="2709749F" w14:textId="161AB603" w:rsidR="00680D70" w:rsidRPr="00130C84" w:rsidRDefault="00335E50" w:rsidP="00335E5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  <w:lang w:eastAsia="pl-PL"/>
        </w:rPr>
      </w:pPr>
      <w:r w:rsidRPr="00130C84"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  <w:lang w:eastAsia="pl-PL"/>
        </w:rPr>
        <w:t>M</w:t>
      </w:r>
      <w:r w:rsidR="00680D70" w:rsidRPr="00130C84"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  <w:lang w:eastAsia="pl-PL"/>
        </w:rPr>
        <w:t>oże być przyznany w szczególności na pokrycie części lub całości kosztów żywności, leków</w:t>
      </w:r>
      <w:r w:rsidR="007D49B7" w:rsidRPr="00130C84"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  <w:lang w:eastAsia="pl-PL"/>
        </w:rPr>
        <w:t>, środków specjalnego przeznaczenia żywieniowego, wyrobów medycznych</w:t>
      </w:r>
      <w:r w:rsidR="00680D70" w:rsidRPr="00130C84"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  <w:lang w:eastAsia="pl-PL"/>
        </w:rPr>
        <w:t xml:space="preserve"> i leczenia, remontu mieszkania, </w:t>
      </w:r>
      <w:r w:rsidR="00CA7CB6" w:rsidRPr="00130C84"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  <w:lang w:eastAsia="pl-PL"/>
        </w:rPr>
        <w:t xml:space="preserve">ogrzewania, w tym </w:t>
      </w:r>
      <w:r w:rsidR="00680D70" w:rsidRPr="00130C84"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  <w:lang w:eastAsia="pl-PL"/>
        </w:rPr>
        <w:t>opału i odzieży, niezbędnych przedmiotów użytku domowego, drobnych remontów i napraw w mieszkaniu, a także kosztów pogrzebu. Osobom bezdomnym i innym osobom niemającym dochodu oraz możliwości uzyskania świadczeń na podstawie przepisów o powszechnym ubezpieczeniu w NFZ może być przyznany zasiłek celowy na pokrycie części lub całości wydatków na świadczenia zdrowotne. Zasiłek celowy może być również przyznany osobie i rodzinie, które poniosły straty w wyniku klęski żywiołowej, ekologicznej i zdarzenia losowego. W tych przypadkach zasiłek ten może być przyznany niezależnie od wysokości dochodów osoby lub rodziny i może nie podlegać zwrotowi.</w:t>
      </w:r>
    </w:p>
    <w:p w14:paraId="30CBB8A7" w14:textId="77777777" w:rsidR="00680D70" w:rsidRPr="00130C84" w:rsidRDefault="00680D70" w:rsidP="00335E5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  <w:lang w:eastAsia="pl-PL"/>
        </w:rPr>
      </w:pPr>
      <w:r w:rsidRPr="00130C84"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  <w:lang w:eastAsia="pl-PL"/>
        </w:rPr>
        <w:t>W szczególnie uzasadnionych przypadkach osobie lub rodzinie o dochodach przekraczających kryterium dochodowe może być przyznany specjalny zasiłek celowy w wysokości nieprzekraczającej odpowiednio kryterium dochodowego osoby samotnie gospodarującej lub rodz</w:t>
      </w:r>
      <w:r w:rsidR="00335E50" w:rsidRPr="00130C84"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  <w:lang w:eastAsia="pl-PL"/>
        </w:rPr>
        <w:t xml:space="preserve">iny, który nie podlega zwrotowi lub zasiłek pod warunkiem zwrotu części lub całości kwoty zasiłku. </w:t>
      </w:r>
    </w:p>
    <w:p w14:paraId="77301390" w14:textId="47B0C86B" w:rsidR="00AB2163" w:rsidRPr="00130C84" w:rsidRDefault="007152BD" w:rsidP="000F386E">
      <w:pPr>
        <w:spacing w:after="0" w:line="240" w:lineRule="auto"/>
        <w:jc w:val="both"/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  <w:lang w:eastAsia="pl-PL"/>
        </w:rPr>
      </w:pPr>
      <w:r w:rsidRPr="00130C84"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  <w:lang w:eastAsia="pl-PL"/>
        </w:rPr>
        <w:t xml:space="preserve">Odpłatność ustalana jest w oparciu o zdiagnozowaną sytuację osoby ubiegającej się </w:t>
      </w:r>
      <w:r w:rsidRPr="00130C84">
        <w:rPr>
          <w:rFonts w:ascii="Times New Roman" w:eastAsia="Times New Roman" w:hAnsi="Times New Roman" w:cs="Times New Roman"/>
          <w:color w:val="2E74B5" w:themeColor="accent1" w:themeShade="BF"/>
          <w:sz w:val="24"/>
          <w:szCs w:val="24"/>
          <w:lang w:eastAsia="pl-PL"/>
        </w:rPr>
        <w:br/>
        <w:t xml:space="preserve">o przyznanie pomocy, na podstawie </w:t>
      </w:r>
      <w:r w:rsidR="00DD4DEE" w:rsidRPr="00130C84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>U</w:t>
      </w:r>
      <w:r w:rsidR="00AB2163" w:rsidRPr="00130C84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>chwały Nr LXII/957/VI/2014 Rady Miasta Poznania z dnia 28 stycznia 2014 roku w sprawie zasad zwrotu wydatków za posiłki oraz zasiłki okresowe i zasiłki celowe, przyznane pod warunkiem zwrotu, będące w zakresie zadań własnych gminy</w:t>
      </w:r>
      <w:r w:rsidR="00417EE3" w:rsidRPr="00130C84">
        <w:rPr>
          <w:rFonts w:ascii="Times New Roman" w:hAnsi="Times New Roman" w:cs="Times New Roman"/>
          <w:color w:val="2E74B5" w:themeColor="accent1" w:themeShade="BF"/>
          <w:sz w:val="24"/>
          <w:szCs w:val="24"/>
        </w:rPr>
        <w:t xml:space="preserve"> (i zmiany).</w:t>
      </w:r>
    </w:p>
    <w:p w14:paraId="35925016" w14:textId="65022342" w:rsidR="00335E50" w:rsidRPr="00332B28" w:rsidRDefault="006708C7" w:rsidP="00335E50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color w:val="00B0F0"/>
          <w:sz w:val="24"/>
          <w:szCs w:val="24"/>
        </w:rPr>
      </w:pPr>
      <w:hyperlink r:id="rId5" w:history="1">
        <w:r w:rsidRPr="00332B28">
          <w:rPr>
            <w:rStyle w:val="Hipercze"/>
            <w:rFonts w:ascii="Times New Roman" w:hAnsi="Times New Roman" w:cs="Times New Roman"/>
            <w:color w:val="00B0F0"/>
            <w:sz w:val="24"/>
            <w:szCs w:val="24"/>
          </w:rPr>
          <w:t>Link do uchwały</w:t>
        </w:r>
      </w:hyperlink>
      <w:r w:rsidR="00417EE3" w:rsidRPr="00332B28">
        <w:rPr>
          <w:rFonts w:ascii="Times New Roman" w:hAnsi="Times New Roman" w:cs="Times New Roman"/>
          <w:color w:val="00B0F0"/>
          <w:sz w:val="24"/>
          <w:szCs w:val="24"/>
        </w:rPr>
        <w:t xml:space="preserve"> (</w:t>
      </w:r>
      <w:r w:rsidR="00332B28" w:rsidRPr="00332B28">
        <w:rPr>
          <w:rFonts w:ascii="Times New Roman" w:eastAsia="Times New Roman" w:hAnsi="Times New Roman" w:cs="Times New Roman"/>
          <w:color w:val="00B0F0"/>
          <w:sz w:val="24"/>
          <w:szCs w:val="24"/>
          <w:lang w:eastAsia="pl-PL"/>
        </w:rPr>
        <w:t>https://bip.poznan.pl/bip/uchwaly/lxxxi-1469-viii-2023,90370/</w:t>
      </w:r>
    </w:p>
    <w:p w14:paraId="49173D8C" w14:textId="77777777" w:rsidR="00632FD8" w:rsidRPr="00832B57" w:rsidRDefault="00632FD8">
      <w:pPr>
        <w:rPr>
          <w:rFonts w:ascii="Times New Roman" w:hAnsi="Times New Roman" w:cs="Times New Roman"/>
          <w:sz w:val="24"/>
          <w:szCs w:val="24"/>
        </w:rPr>
      </w:pPr>
    </w:p>
    <w:sectPr w:rsidR="00632FD8" w:rsidRPr="00832B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E1E26"/>
    <w:multiLevelType w:val="multilevel"/>
    <w:tmpl w:val="BD5A9D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733A37"/>
    <w:multiLevelType w:val="multilevel"/>
    <w:tmpl w:val="1332E5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1E0654B"/>
    <w:multiLevelType w:val="multilevel"/>
    <w:tmpl w:val="5F40986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B0F48EA"/>
    <w:multiLevelType w:val="multilevel"/>
    <w:tmpl w:val="01E4D2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1A27789"/>
    <w:multiLevelType w:val="multilevel"/>
    <w:tmpl w:val="2842CB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531151D"/>
    <w:multiLevelType w:val="hybridMultilevel"/>
    <w:tmpl w:val="3EBE599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C35E2D"/>
    <w:multiLevelType w:val="multilevel"/>
    <w:tmpl w:val="519EB1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B7D5F49"/>
    <w:multiLevelType w:val="multilevel"/>
    <w:tmpl w:val="802A4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5BD1ED9"/>
    <w:multiLevelType w:val="hybridMultilevel"/>
    <w:tmpl w:val="AB9AE6C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55698D"/>
    <w:multiLevelType w:val="multilevel"/>
    <w:tmpl w:val="0804D8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EEF7FB1"/>
    <w:multiLevelType w:val="hybridMultilevel"/>
    <w:tmpl w:val="8A20789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7101F5"/>
    <w:multiLevelType w:val="multilevel"/>
    <w:tmpl w:val="951A96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FB26F49"/>
    <w:multiLevelType w:val="multilevel"/>
    <w:tmpl w:val="24206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E115AAE"/>
    <w:multiLevelType w:val="hybridMultilevel"/>
    <w:tmpl w:val="570CF7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EF87A2F"/>
    <w:multiLevelType w:val="multilevel"/>
    <w:tmpl w:val="592087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16C0628"/>
    <w:multiLevelType w:val="hybridMultilevel"/>
    <w:tmpl w:val="CBD082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3E6304"/>
    <w:multiLevelType w:val="multilevel"/>
    <w:tmpl w:val="DEDC478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84938960">
    <w:abstractNumId w:val="7"/>
  </w:num>
  <w:num w:numId="2" w16cid:durableId="726879607">
    <w:abstractNumId w:val="14"/>
  </w:num>
  <w:num w:numId="3" w16cid:durableId="1985506220">
    <w:abstractNumId w:val="11"/>
  </w:num>
  <w:num w:numId="4" w16cid:durableId="1130443763">
    <w:abstractNumId w:val="1"/>
  </w:num>
  <w:num w:numId="5" w16cid:durableId="43844301">
    <w:abstractNumId w:val="12"/>
  </w:num>
  <w:num w:numId="6" w16cid:durableId="720666087">
    <w:abstractNumId w:val="9"/>
  </w:num>
  <w:num w:numId="7" w16cid:durableId="135270267">
    <w:abstractNumId w:val="0"/>
  </w:num>
  <w:num w:numId="8" w16cid:durableId="449595307">
    <w:abstractNumId w:val="6"/>
  </w:num>
  <w:num w:numId="9" w16cid:durableId="2084789432">
    <w:abstractNumId w:val="4"/>
  </w:num>
  <w:num w:numId="10" w16cid:durableId="1253320409">
    <w:abstractNumId w:val="3"/>
  </w:num>
  <w:num w:numId="11" w16cid:durableId="1871601560">
    <w:abstractNumId w:val="5"/>
  </w:num>
  <w:num w:numId="12" w16cid:durableId="1590037794">
    <w:abstractNumId w:val="15"/>
  </w:num>
  <w:num w:numId="13" w16cid:durableId="592472526">
    <w:abstractNumId w:val="8"/>
  </w:num>
  <w:num w:numId="14" w16cid:durableId="523254583">
    <w:abstractNumId w:val="10"/>
  </w:num>
  <w:num w:numId="15" w16cid:durableId="433742903">
    <w:abstractNumId w:val="16"/>
  </w:num>
  <w:num w:numId="16" w16cid:durableId="1782065578">
    <w:abstractNumId w:val="2"/>
  </w:num>
  <w:num w:numId="17" w16cid:durableId="176576649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0D70"/>
    <w:rsid w:val="00092E52"/>
    <w:rsid w:val="000F386E"/>
    <w:rsid w:val="00102746"/>
    <w:rsid w:val="00130C84"/>
    <w:rsid w:val="00134B3A"/>
    <w:rsid w:val="00220986"/>
    <w:rsid w:val="00260E9A"/>
    <w:rsid w:val="002901D1"/>
    <w:rsid w:val="002A4676"/>
    <w:rsid w:val="002A7BC9"/>
    <w:rsid w:val="002C7798"/>
    <w:rsid w:val="002D0FB3"/>
    <w:rsid w:val="00332B28"/>
    <w:rsid w:val="00335E50"/>
    <w:rsid w:val="003F586D"/>
    <w:rsid w:val="00417EE3"/>
    <w:rsid w:val="004345F6"/>
    <w:rsid w:val="00495F73"/>
    <w:rsid w:val="004F7FC0"/>
    <w:rsid w:val="00570813"/>
    <w:rsid w:val="00585025"/>
    <w:rsid w:val="00632FD8"/>
    <w:rsid w:val="00640F3F"/>
    <w:rsid w:val="00647FFA"/>
    <w:rsid w:val="006708C7"/>
    <w:rsid w:val="00680D70"/>
    <w:rsid w:val="006B636C"/>
    <w:rsid w:val="007152BD"/>
    <w:rsid w:val="00715AC4"/>
    <w:rsid w:val="007D49B7"/>
    <w:rsid w:val="00832B57"/>
    <w:rsid w:val="00832D0E"/>
    <w:rsid w:val="0087003D"/>
    <w:rsid w:val="008E6AC5"/>
    <w:rsid w:val="00950AA5"/>
    <w:rsid w:val="00983F7C"/>
    <w:rsid w:val="009C17F3"/>
    <w:rsid w:val="009C4672"/>
    <w:rsid w:val="00AB2163"/>
    <w:rsid w:val="00AC66C8"/>
    <w:rsid w:val="00AE1B9B"/>
    <w:rsid w:val="00CA7CB6"/>
    <w:rsid w:val="00CC1F66"/>
    <w:rsid w:val="00D33DE6"/>
    <w:rsid w:val="00D36F73"/>
    <w:rsid w:val="00D84EB1"/>
    <w:rsid w:val="00DA5304"/>
    <w:rsid w:val="00DD4DEE"/>
    <w:rsid w:val="00E26836"/>
    <w:rsid w:val="00F04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0BACDB"/>
  <w15:chartTrackingRefBased/>
  <w15:docId w15:val="{54899807-19B2-49E2-9630-FF077769DE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80D7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80D7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agwek3">
    <w:name w:val="heading 3"/>
    <w:basedOn w:val="Normalny"/>
    <w:link w:val="Nagwek3Znak"/>
    <w:uiPriority w:val="9"/>
    <w:qFormat/>
    <w:rsid w:val="00680D7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paragraph" w:styleId="Nagwek4">
    <w:name w:val="heading 4"/>
    <w:basedOn w:val="Normalny"/>
    <w:link w:val="Nagwek4Znak"/>
    <w:uiPriority w:val="9"/>
    <w:qFormat/>
    <w:rsid w:val="00680D7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80D70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80D70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680D70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680D70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NormalnyWeb">
    <w:name w:val="Normal (Web)"/>
    <w:basedOn w:val="Normalny"/>
    <w:uiPriority w:val="99"/>
    <w:unhideWhenUsed/>
    <w:rsid w:val="00680D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680D70"/>
    <w:rPr>
      <w:color w:val="0000FF"/>
      <w:u w:val="single"/>
    </w:rPr>
  </w:style>
  <w:style w:type="character" w:styleId="Pogrubienie">
    <w:name w:val="Strong"/>
    <w:basedOn w:val="Domylnaczcionkaakapitu"/>
    <w:uiPriority w:val="22"/>
    <w:qFormat/>
    <w:rsid w:val="00680D70"/>
    <w:rPr>
      <w:b/>
      <w:bCs/>
    </w:rPr>
  </w:style>
  <w:style w:type="paragraph" w:styleId="Akapitzlist">
    <w:name w:val="List Paragraph"/>
    <w:basedOn w:val="Normalny"/>
    <w:uiPriority w:val="34"/>
    <w:qFormat/>
    <w:rsid w:val="00F04C6B"/>
    <w:pPr>
      <w:ind w:left="720"/>
      <w:contextualSpacing/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B2163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17EE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443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68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2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86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9909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96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837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3694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010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08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325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501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900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0457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70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5919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731272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0152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3459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7925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5589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13947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98813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0211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77899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37727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201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23055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09983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3432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6767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96927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832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248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784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7115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8533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405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3596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901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file:///C:\Users\adakeg\Downloads\Link%20do%20uchwa&#322;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915</Words>
  <Characters>5492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 Grocholska</dc:creator>
  <cp:keywords/>
  <dc:description/>
  <cp:lastModifiedBy>Adam Kegel</cp:lastModifiedBy>
  <cp:revision>2</cp:revision>
  <dcterms:created xsi:type="dcterms:W3CDTF">2025-03-11T13:04:00Z</dcterms:created>
  <dcterms:modified xsi:type="dcterms:W3CDTF">2025-03-11T13:04:00Z</dcterms:modified>
</cp:coreProperties>
</file>