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8E182B">
        <w:fldChar w:fldCharType="begin"/>
      </w:r>
      <w:r w:rsidR="008E182B">
        <w:instrText xml:space="preserve"> DOCVARIABLE  AktNr  \* MERGEFORMAT </w:instrText>
      </w:r>
      <w:r w:rsidR="008E182B">
        <w:fldChar w:fldCharType="separate"/>
      </w:r>
      <w:r w:rsidR="00EF6998">
        <w:t>XXIV/450/VIII/2020</w:t>
      </w:r>
      <w:r w:rsidR="008E182B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EF6998">
        <w:rPr>
          <w:b/>
          <w:sz w:val="28"/>
        </w:rPr>
        <w:t>10 marca 2020</w:t>
      </w:r>
      <w:r w:rsidR="00566DB3">
        <w:rPr>
          <w:b/>
          <w:sz w:val="28"/>
        </w:rPr>
        <w:t xml:space="preserve"> </w:t>
      </w:r>
      <w:bookmarkStart w:id="1" w:name="_GoBack"/>
      <w:bookmarkEnd w:id="1"/>
      <w:r w:rsidR="00EF6998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8E182B">
        <w:tc>
          <w:tcPr>
            <w:tcW w:w="1368" w:type="dxa"/>
            <w:shd w:val="clear" w:color="auto" w:fill="auto"/>
          </w:tcPr>
          <w:p w:rsidR="00565809" w:rsidRPr="008E182B" w:rsidRDefault="0039598D" w:rsidP="008E182B">
            <w:pPr>
              <w:spacing w:line="360" w:lineRule="auto"/>
              <w:rPr>
                <w:sz w:val="24"/>
                <w:szCs w:val="24"/>
              </w:rPr>
            </w:pPr>
            <w:r w:rsidRPr="008E182B">
              <w:rPr>
                <w:sz w:val="24"/>
                <w:szCs w:val="24"/>
              </w:rPr>
              <w:t>w</w:t>
            </w:r>
            <w:r w:rsidR="00565809" w:rsidRPr="008E182B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8E182B" w:rsidRDefault="00565809" w:rsidP="008E18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E182B">
              <w:rPr>
                <w:b/>
                <w:sz w:val="24"/>
                <w:szCs w:val="24"/>
              </w:rPr>
              <w:fldChar w:fldCharType="begin"/>
            </w:r>
            <w:r w:rsidRPr="008E182B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8E182B">
              <w:rPr>
                <w:b/>
                <w:sz w:val="24"/>
                <w:szCs w:val="24"/>
              </w:rPr>
              <w:fldChar w:fldCharType="separate"/>
            </w:r>
            <w:r w:rsidR="00EF6998" w:rsidRPr="008E182B">
              <w:rPr>
                <w:b/>
                <w:sz w:val="24"/>
                <w:szCs w:val="24"/>
              </w:rPr>
              <w:t>miejscowego planu zagospodarowania przestrzennego obszaru „Morasko – Radojewo – Umultowo” w rejonie Strumienia Różanego i ul. Bożydara w Poznaniu.</w:t>
            </w:r>
            <w:r w:rsidRPr="008E182B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EF6998" w:rsidP="00EF699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F6998">
        <w:rPr>
          <w:color w:val="000000"/>
          <w:sz w:val="24"/>
          <w:szCs w:val="24"/>
        </w:rPr>
        <w:t>Na podstawie art. 18 ust. 2 pkt 5 ustawy z dnia 8 marca 1990 r. o samorządzie gminnym (Dz. U. z 2019 r. poz. 506, poz. 1309, poz. 1571, poz. 1696 i poz. 1815) oraz art. 20 ust. 1 ustawy z</w:t>
      </w:r>
      <w:r w:rsidR="00CD1935">
        <w:rPr>
          <w:color w:val="000000"/>
          <w:sz w:val="24"/>
          <w:szCs w:val="24"/>
        </w:rPr>
        <w:t> </w:t>
      </w:r>
      <w:r w:rsidRPr="00EF6998">
        <w:rPr>
          <w:color w:val="000000"/>
          <w:sz w:val="24"/>
          <w:szCs w:val="24"/>
        </w:rPr>
        <w:t>dnia 27 marca 2003 r. o planowaniu i zagospodarowaniu przestrzennym (Dz. U. z 2020 r. poz. 293) uchwala się, co następuje:</w:t>
      </w:r>
    </w:p>
    <w:p w:rsidR="00EF6998" w:rsidRDefault="00EF6998" w:rsidP="00EF6998">
      <w:pPr>
        <w:spacing w:line="360" w:lineRule="auto"/>
        <w:jc w:val="both"/>
        <w:rPr>
          <w:sz w:val="24"/>
          <w:szCs w:val="24"/>
        </w:rPr>
      </w:pPr>
    </w:p>
    <w:p w:rsidR="00EF6998" w:rsidRDefault="00EF6998" w:rsidP="00EF699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EF6998" w:rsidRDefault="00EF6998" w:rsidP="00EF6998">
      <w:pPr>
        <w:keepNext/>
        <w:spacing w:line="360" w:lineRule="auto"/>
        <w:rPr>
          <w:color w:val="000000"/>
          <w:sz w:val="24"/>
          <w:szCs w:val="24"/>
        </w:rPr>
      </w:pPr>
    </w:p>
    <w:p w:rsidR="00EF6998" w:rsidRPr="00EF6998" w:rsidRDefault="00EF6998" w:rsidP="00EF699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F6998">
        <w:rPr>
          <w:color w:val="000000"/>
          <w:sz w:val="24"/>
          <w:szCs w:val="24"/>
        </w:rPr>
        <w:t>1. Po stwierdzeniu zgodności z ustaleniami „Studium uwarunkowań i kierunków zagospodarowania przestrzennego miasta Poznania” (uchwała Nr LXXII/1137/VI/2014 Rady Miasta Poznania z dnia 23 września 2014 r.), uchwala się miejscowy plan zagospodarowania przestrzennego obszaru „Morasko – Radojewo – Umultowo” w rejonie Strumienia Różanego i ul. Bożydara w Poznaniu, zwany dalej „planem”.</w:t>
      </w:r>
    </w:p>
    <w:p w:rsidR="00EF6998" w:rsidRPr="00EF6998" w:rsidRDefault="00EF6998" w:rsidP="00EF699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F6998">
        <w:rPr>
          <w:color w:val="000000"/>
          <w:sz w:val="24"/>
          <w:szCs w:val="24"/>
        </w:rPr>
        <w:t>2. Integralnymi częściami uchwały są:</w:t>
      </w:r>
    </w:p>
    <w:p w:rsidR="00EF6998" w:rsidRPr="00EF6998" w:rsidRDefault="00EF6998" w:rsidP="00EF69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6998">
        <w:rPr>
          <w:color w:val="000000"/>
          <w:sz w:val="24"/>
          <w:szCs w:val="24"/>
        </w:rPr>
        <w:t>1) załącznik nr 1 – stanowiący część graficzną planu, zwany „rysunkiem planu”, opracowany w skali 1:2000 i zatytułowany: Miejscowy plan zagospodarowania przestrzennego obszaru „Morasko – Radojewo – Umultowo” w rejonie Strumienia Różanego i ul. Bożydara w Poznaniu;</w:t>
      </w:r>
    </w:p>
    <w:p w:rsidR="00EF6998" w:rsidRPr="00EF6998" w:rsidRDefault="00EF6998" w:rsidP="00EF69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6998">
        <w:rPr>
          <w:color w:val="000000"/>
          <w:sz w:val="24"/>
          <w:szCs w:val="24"/>
        </w:rPr>
        <w:t>2) załącznik nr 2 – stanowiący rozstrzygnięcie Rady Miasta Poznania o sposobie rozpatrzenia uwag wniesionych do projektu planu;</w:t>
      </w:r>
    </w:p>
    <w:p w:rsidR="00EF6998" w:rsidRPr="00EF6998" w:rsidRDefault="00EF6998" w:rsidP="00EF69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6998">
        <w:rPr>
          <w:color w:val="000000"/>
          <w:sz w:val="24"/>
          <w:szCs w:val="24"/>
        </w:rPr>
        <w:t>3) załącznik nr 3 – stanowiący rozstrzygnięcie Rady Miasta Poznania o sposobie realizacji zapisanych w planie inwestycji z zakresu infrastruktury technicznej, które należą do zadań własnych gminy, oraz zasadach ich finansowania.</w:t>
      </w:r>
    </w:p>
    <w:p w:rsidR="00EF6998" w:rsidRDefault="00EF6998" w:rsidP="00EF699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F6998">
        <w:rPr>
          <w:color w:val="000000"/>
          <w:sz w:val="24"/>
          <w:szCs w:val="24"/>
        </w:rPr>
        <w:lastRenderedPageBreak/>
        <w:t>3. Granice obszaru objętego planem określa rysunek planu.</w:t>
      </w:r>
    </w:p>
    <w:p w:rsidR="00EF6998" w:rsidRDefault="00EF6998" w:rsidP="00EF6998">
      <w:pPr>
        <w:spacing w:line="360" w:lineRule="auto"/>
        <w:jc w:val="both"/>
        <w:rPr>
          <w:color w:val="000000"/>
          <w:sz w:val="24"/>
          <w:szCs w:val="24"/>
        </w:rPr>
      </w:pPr>
    </w:p>
    <w:p w:rsidR="00EF6998" w:rsidRDefault="00EF6998" w:rsidP="00EF699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EF6998" w:rsidRDefault="00EF6998" w:rsidP="00EF6998">
      <w:pPr>
        <w:keepNext/>
        <w:spacing w:line="360" w:lineRule="auto"/>
        <w:rPr>
          <w:color w:val="000000"/>
          <w:sz w:val="24"/>
          <w:szCs w:val="24"/>
        </w:rPr>
      </w:pPr>
    </w:p>
    <w:p w:rsidR="00EF6998" w:rsidRPr="00EF6998" w:rsidRDefault="00EF6998" w:rsidP="00EF699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F6998">
        <w:rPr>
          <w:color w:val="000000"/>
          <w:sz w:val="24"/>
          <w:szCs w:val="24"/>
        </w:rPr>
        <w:t>Ilekroć w niniejszej uchwale jest mowa o:</w:t>
      </w:r>
    </w:p>
    <w:p w:rsidR="00EF6998" w:rsidRPr="00EF6998" w:rsidRDefault="00EF6998" w:rsidP="00EF69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6998">
        <w:rPr>
          <w:color w:val="000000"/>
          <w:sz w:val="24"/>
          <w:szCs w:val="24"/>
        </w:rPr>
        <w:t>1) klinie zieleni – należy przez to rozumieć fragment systemu zieleni miasta Poznania, chroniący walory krajobrazowe lasów, łąk, terenów rolniczych i wód, pełniący w</w:t>
      </w:r>
      <w:r w:rsidR="00CD1935">
        <w:rPr>
          <w:color w:val="000000"/>
          <w:sz w:val="24"/>
          <w:szCs w:val="24"/>
        </w:rPr>
        <w:t> </w:t>
      </w:r>
      <w:r w:rsidRPr="00EF6998">
        <w:rPr>
          <w:color w:val="000000"/>
          <w:sz w:val="24"/>
          <w:szCs w:val="24"/>
        </w:rPr>
        <w:t>strukturze przestrzennej miasta funkcje ekologiczne i klimatyczne;</w:t>
      </w:r>
    </w:p>
    <w:p w:rsidR="00EF6998" w:rsidRPr="00EF6998" w:rsidRDefault="00EF6998" w:rsidP="00EF69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6998">
        <w:rPr>
          <w:color w:val="000000"/>
          <w:sz w:val="24"/>
          <w:szCs w:val="24"/>
        </w:rPr>
        <w:t>2) ogrodzeniu ażurowym – należy przez to rozumieć ogrodzenie, w którym część ażurowa stanowi nie mniej niż 60% powierzchni całkowitej ogrodzenia;</w:t>
      </w:r>
    </w:p>
    <w:p w:rsidR="00EF6998" w:rsidRPr="00EF6998" w:rsidRDefault="00EF6998" w:rsidP="00EF69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6998">
        <w:rPr>
          <w:color w:val="000000"/>
          <w:sz w:val="24"/>
          <w:szCs w:val="24"/>
        </w:rPr>
        <w:t>3) szyldzie – należy przez to rozumieć oznaczenie jednostki organizacyjnej lub przedsiębiorcy, ich siedziby lub miejsca wykonywania działalności;</w:t>
      </w:r>
    </w:p>
    <w:p w:rsidR="00EF6998" w:rsidRPr="00EF6998" w:rsidRDefault="00EF6998" w:rsidP="00EF69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6998">
        <w:rPr>
          <w:color w:val="000000"/>
          <w:sz w:val="24"/>
          <w:szCs w:val="24"/>
        </w:rPr>
        <w:t>4) tablicy informacyjnej – należy przez to rozumieć element informacji turystycznej, przyrodniczej lub porządkowej;</w:t>
      </w:r>
    </w:p>
    <w:p w:rsidR="00EF6998" w:rsidRPr="00EF6998" w:rsidRDefault="00EF6998" w:rsidP="00EF69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6998">
        <w:rPr>
          <w:color w:val="000000"/>
          <w:sz w:val="24"/>
          <w:szCs w:val="24"/>
        </w:rPr>
        <w:t>5) urządzeniu reklamowym – należy przez to rozumieć nośnik informacji w jakiejkolwiek materialnej formie wraz z elementami konstrukcyjnymi i zamocowaniami, niebędący szyldem lub tablicą informacyjną;</w:t>
      </w:r>
    </w:p>
    <w:p w:rsidR="00EF6998" w:rsidRDefault="00EF6998" w:rsidP="00EF699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6998">
        <w:rPr>
          <w:color w:val="000000"/>
          <w:sz w:val="24"/>
          <w:szCs w:val="24"/>
        </w:rPr>
        <w:t>6) zieleni wysokiej – należy przez to rozumieć zadrzewienia o wysokości powyżej 2,0 m.</w:t>
      </w:r>
    </w:p>
    <w:p w:rsidR="00EF6998" w:rsidRDefault="00EF6998" w:rsidP="00EF6998">
      <w:pPr>
        <w:spacing w:line="360" w:lineRule="auto"/>
        <w:jc w:val="both"/>
        <w:rPr>
          <w:color w:val="000000"/>
          <w:sz w:val="24"/>
          <w:szCs w:val="24"/>
        </w:rPr>
      </w:pPr>
    </w:p>
    <w:p w:rsidR="00EF6998" w:rsidRDefault="00EF6998" w:rsidP="00EF699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EF6998" w:rsidRDefault="00EF6998" w:rsidP="00EF6998">
      <w:pPr>
        <w:keepNext/>
        <w:spacing w:line="360" w:lineRule="auto"/>
        <w:rPr>
          <w:color w:val="000000"/>
          <w:sz w:val="24"/>
          <w:szCs w:val="24"/>
        </w:rPr>
      </w:pPr>
    </w:p>
    <w:p w:rsidR="00EF6998" w:rsidRDefault="00EF6998" w:rsidP="00EF699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F6998">
        <w:rPr>
          <w:color w:val="000000"/>
          <w:sz w:val="24"/>
          <w:szCs w:val="24"/>
        </w:rPr>
        <w:t xml:space="preserve">W zakresie przeznaczenia terenu ustala się teren zieleni nieurządzonej, oznaczony na rysunku planu symbolem </w:t>
      </w:r>
      <w:r w:rsidRPr="00EF6998">
        <w:rPr>
          <w:b/>
          <w:bCs/>
          <w:color w:val="000000"/>
          <w:sz w:val="24"/>
          <w:szCs w:val="24"/>
        </w:rPr>
        <w:t>ZO</w:t>
      </w:r>
      <w:r w:rsidRPr="00EF6998">
        <w:rPr>
          <w:color w:val="000000"/>
          <w:sz w:val="24"/>
          <w:szCs w:val="24"/>
        </w:rPr>
        <w:t>.</w:t>
      </w:r>
    </w:p>
    <w:p w:rsidR="00EF6998" w:rsidRDefault="00EF6998" w:rsidP="00EF6998">
      <w:pPr>
        <w:spacing w:line="360" w:lineRule="auto"/>
        <w:jc w:val="both"/>
        <w:rPr>
          <w:color w:val="000000"/>
          <w:sz w:val="24"/>
          <w:szCs w:val="24"/>
        </w:rPr>
      </w:pPr>
    </w:p>
    <w:p w:rsidR="00EF6998" w:rsidRDefault="00EF6998" w:rsidP="00EF699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EF6998" w:rsidRDefault="00EF6998" w:rsidP="00EF6998">
      <w:pPr>
        <w:keepNext/>
        <w:spacing w:line="360" w:lineRule="auto"/>
        <w:rPr>
          <w:color w:val="000000"/>
          <w:sz w:val="24"/>
          <w:szCs w:val="24"/>
        </w:rPr>
      </w:pPr>
    </w:p>
    <w:p w:rsidR="00EF6998" w:rsidRPr="00EF6998" w:rsidRDefault="00EF6998" w:rsidP="00EF699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F6998">
        <w:rPr>
          <w:color w:val="000000"/>
          <w:sz w:val="24"/>
          <w:szCs w:val="24"/>
        </w:rPr>
        <w:t>W zakresie zasad ochrony i kształtowania ładu przestrzennego ustala się:</w:t>
      </w:r>
    </w:p>
    <w:p w:rsidR="00EF6998" w:rsidRPr="00EF6998" w:rsidRDefault="00EF6998" w:rsidP="00EF69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6998">
        <w:rPr>
          <w:color w:val="000000"/>
          <w:sz w:val="24"/>
          <w:szCs w:val="24"/>
        </w:rPr>
        <w:t>1) wprowadzenie nowych nasadzeń zieleni, w tym zieleni wysokiej;</w:t>
      </w:r>
    </w:p>
    <w:p w:rsidR="00EF6998" w:rsidRPr="00EF6998" w:rsidRDefault="00EF6998" w:rsidP="00EF69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6998">
        <w:rPr>
          <w:color w:val="000000"/>
          <w:sz w:val="24"/>
          <w:szCs w:val="24"/>
        </w:rPr>
        <w:t>2) zakaz lokalizacji:</w:t>
      </w:r>
    </w:p>
    <w:p w:rsidR="00EF6998" w:rsidRPr="00EF6998" w:rsidRDefault="00EF6998" w:rsidP="00EF69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F6998">
        <w:rPr>
          <w:color w:val="000000"/>
          <w:sz w:val="24"/>
          <w:szCs w:val="24"/>
        </w:rPr>
        <w:t>a) urządzeń reklamowych,</w:t>
      </w:r>
    </w:p>
    <w:p w:rsidR="00EF6998" w:rsidRPr="00EF6998" w:rsidRDefault="00EF6998" w:rsidP="00EF69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F6998">
        <w:rPr>
          <w:color w:val="000000"/>
          <w:sz w:val="24"/>
          <w:szCs w:val="24"/>
        </w:rPr>
        <w:t>b) szyldów,</w:t>
      </w:r>
    </w:p>
    <w:p w:rsidR="00EF6998" w:rsidRPr="00EF6998" w:rsidRDefault="00EF6998" w:rsidP="00EF69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F6998">
        <w:rPr>
          <w:color w:val="000000"/>
          <w:sz w:val="24"/>
          <w:szCs w:val="24"/>
        </w:rPr>
        <w:t>c) tymczasowych obiektów budowlanych,</w:t>
      </w:r>
    </w:p>
    <w:p w:rsidR="00EF6998" w:rsidRPr="00EF6998" w:rsidRDefault="00EF6998" w:rsidP="00EF69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F6998">
        <w:rPr>
          <w:color w:val="000000"/>
          <w:sz w:val="24"/>
          <w:szCs w:val="24"/>
        </w:rPr>
        <w:t>d) nowych napowietrznych sieci infrastruktury technicznej,</w:t>
      </w:r>
    </w:p>
    <w:p w:rsidR="00EF6998" w:rsidRPr="00EF6998" w:rsidRDefault="00EF6998" w:rsidP="00EF69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F6998">
        <w:rPr>
          <w:color w:val="000000"/>
          <w:sz w:val="24"/>
          <w:szCs w:val="24"/>
        </w:rPr>
        <w:t>e) ogrodzeń;</w:t>
      </w:r>
    </w:p>
    <w:p w:rsidR="00EF6998" w:rsidRPr="00EF6998" w:rsidRDefault="00EF6998" w:rsidP="00EF69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6998">
        <w:rPr>
          <w:color w:val="000000"/>
          <w:sz w:val="24"/>
          <w:szCs w:val="24"/>
        </w:rPr>
        <w:lastRenderedPageBreak/>
        <w:t>3) dopuszczenie lokalizacji:</w:t>
      </w:r>
    </w:p>
    <w:p w:rsidR="00EF6998" w:rsidRPr="00EF6998" w:rsidRDefault="00EF6998" w:rsidP="00EF69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F6998">
        <w:rPr>
          <w:color w:val="000000"/>
          <w:sz w:val="24"/>
          <w:szCs w:val="24"/>
        </w:rPr>
        <w:t>a) ogrodzeń ażurowych towarzyszących obiektom infrastruktury technicznej, placom zabaw lub plenerowym urządzeniom sportowo-rekreacyjnym,</w:t>
      </w:r>
    </w:p>
    <w:p w:rsidR="00EF6998" w:rsidRPr="00EF6998" w:rsidRDefault="00EF6998" w:rsidP="00EF69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F6998">
        <w:rPr>
          <w:color w:val="000000"/>
          <w:sz w:val="24"/>
          <w:szCs w:val="24"/>
        </w:rPr>
        <w:t>b) obiektów małej architektury,</w:t>
      </w:r>
    </w:p>
    <w:p w:rsidR="00EF6998" w:rsidRPr="00EF6998" w:rsidRDefault="00EF6998" w:rsidP="00EF69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F6998">
        <w:rPr>
          <w:color w:val="000000"/>
          <w:sz w:val="24"/>
          <w:szCs w:val="24"/>
        </w:rPr>
        <w:t>c) tablic informacyjnych, z wyjątkiem tablic z wykorzystaniem ekranów plazmowych lub typu LED,</w:t>
      </w:r>
    </w:p>
    <w:p w:rsidR="00EF6998" w:rsidRDefault="00EF6998" w:rsidP="00EF6998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F6998">
        <w:rPr>
          <w:color w:val="000000"/>
          <w:sz w:val="24"/>
          <w:szCs w:val="24"/>
        </w:rPr>
        <w:t>d) sieci infrastruktury technicznej.</w:t>
      </w:r>
    </w:p>
    <w:p w:rsidR="00EF6998" w:rsidRDefault="00EF6998" w:rsidP="00EF6998">
      <w:pPr>
        <w:spacing w:line="360" w:lineRule="auto"/>
        <w:jc w:val="both"/>
        <w:rPr>
          <w:color w:val="000000"/>
          <w:sz w:val="24"/>
          <w:szCs w:val="24"/>
        </w:rPr>
      </w:pPr>
    </w:p>
    <w:p w:rsidR="00EF6998" w:rsidRDefault="00EF6998" w:rsidP="00EF699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EF6998" w:rsidRDefault="00EF6998" w:rsidP="00EF6998">
      <w:pPr>
        <w:keepNext/>
        <w:spacing w:line="360" w:lineRule="auto"/>
        <w:rPr>
          <w:color w:val="000000"/>
          <w:sz w:val="24"/>
          <w:szCs w:val="24"/>
        </w:rPr>
      </w:pPr>
    </w:p>
    <w:p w:rsidR="00EF6998" w:rsidRPr="00EF6998" w:rsidRDefault="00EF6998" w:rsidP="00EF699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F6998">
        <w:rPr>
          <w:color w:val="000000"/>
          <w:sz w:val="24"/>
          <w:szCs w:val="24"/>
        </w:rPr>
        <w:t>W zakresie zasad ochrony środowiska, przyrody i krajobrazu kulturowego ustala się:</w:t>
      </w:r>
    </w:p>
    <w:p w:rsidR="00EF6998" w:rsidRPr="00EF6998" w:rsidRDefault="00EF6998" w:rsidP="00EF69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6998">
        <w:rPr>
          <w:color w:val="000000"/>
          <w:sz w:val="24"/>
          <w:szCs w:val="24"/>
        </w:rPr>
        <w:t>1) ochronę walorów krajobrazowych wyznaczonych na rysunku planu obszarów cennych przyrodniczo, stanowiących element klina zieleni, poprzez utrzymanie istniejącego użytkowania, w tym ochronę wód powierzchniowych oraz towarzyszących im naturalnych zbiorowisk roślinnych, z uwzględnieniem pozostałych ustaleń planu;</w:t>
      </w:r>
    </w:p>
    <w:p w:rsidR="00EF6998" w:rsidRPr="00EF6998" w:rsidRDefault="00EF6998" w:rsidP="00EF69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6998">
        <w:rPr>
          <w:color w:val="000000"/>
          <w:sz w:val="24"/>
          <w:szCs w:val="24"/>
        </w:rPr>
        <w:t>2) zagospodarowanie zielenią wszystkich powierzchni wolnych od utwardzenia;</w:t>
      </w:r>
    </w:p>
    <w:p w:rsidR="00EF6998" w:rsidRDefault="00EF6998" w:rsidP="00EF699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6998">
        <w:rPr>
          <w:color w:val="000000"/>
          <w:sz w:val="24"/>
          <w:szCs w:val="24"/>
        </w:rPr>
        <w:t>3) zapewnienie dostępu do wód powierzchniowych na potrzeby wykonywania robót konserwacyjnych i hydrotechnicznych.</w:t>
      </w:r>
    </w:p>
    <w:p w:rsidR="00EF6998" w:rsidRDefault="00EF6998" w:rsidP="00EF6998">
      <w:pPr>
        <w:spacing w:line="360" w:lineRule="auto"/>
        <w:jc w:val="both"/>
        <w:rPr>
          <w:color w:val="000000"/>
          <w:sz w:val="24"/>
          <w:szCs w:val="24"/>
        </w:rPr>
      </w:pPr>
    </w:p>
    <w:p w:rsidR="00EF6998" w:rsidRDefault="00EF6998" w:rsidP="00EF699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</w:t>
      </w:r>
    </w:p>
    <w:p w:rsidR="00EF6998" w:rsidRDefault="00EF6998" w:rsidP="00EF6998">
      <w:pPr>
        <w:keepNext/>
        <w:spacing w:line="360" w:lineRule="auto"/>
        <w:rPr>
          <w:color w:val="000000"/>
          <w:sz w:val="24"/>
          <w:szCs w:val="24"/>
        </w:rPr>
      </w:pPr>
    </w:p>
    <w:p w:rsidR="00EF6998" w:rsidRPr="00EF6998" w:rsidRDefault="00EF6998" w:rsidP="00EF699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EF6998">
        <w:rPr>
          <w:color w:val="000000"/>
          <w:sz w:val="24"/>
          <w:szCs w:val="24"/>
        </w:rPr>
        <w:t>W zakresie szczególnych warunków zagospodarowania terenów oraz ograniczeń w ich użytkowaniu, w tym zakazu zabudowy, ustala się:</w:t>
      </w:r>
    </w:p>
    <w:p w:rsidR="00EF6998" w:rsidRPr="00EF6998" w:rsidRDefault="00EF6998" w:rsidP="00EF69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6998">
        <w:rPr>
          <w:color w:val="000000"/>
          <w:sz w:val="24"/>
          <w:szCs w:val="24"/>
        </w:rPr>
        <w:t>1) uwzględnienie w zagospodarowaniu terenów wymagań i ograniczeń wynikających z</w:t>
      </w:r>
      <w:r w:rsidR="00CD1935">
        <w:rPr>
          <w:color w:val="000000"/>
          <w:sz w:val="24"/>
          <w:szCs w:val="24"/>
        </w:rPr>
        <w:t> </w:t>
      </w:r>
      <w:r w:rsidRPr="00EF6998">
        <w:rPr>
          <w:color w:val="000000"/>
          <w:sz w:val="24"/>
          <w:szCs w:val="24"/>
        </w:rPr>
        <w:t>przebiegu istniejących i projektowanych sieci infrastruktury technicznej, w tym wskazanych na rysunku planu kolektora sanitarnego i deszczowego;</w:t>
      </w:r>
    </w:p>
    <w:p w:rsidR="00EF6998" w:rsidRPr="00EF6998" w:rsidRDefault="00EF6998" w:rsidP="00EF69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6998">
        <w:rPr>
          <w:color w:val="000000"/>
          <w:sz w:val="24"/>
          <w:szCs w:val="24"/>
        </w:rPr>
        <w:t>2) uwzględnienie w zagospodarowaniu terenów wymagań i ograniczeń wynikających z</w:t>
      </w:r>
      <w:r w:rsidR="00CD1935">
        <w:rPr>
          <w:color w:val="000000"/>
          <w:sz w:val="24"/>
          <w:szCs w:val="24"/>
        </w:rPr>
        <w:t> </w:t>
      </w:r>
      <w:r w:rsidRPr="00EF6998">
        <w:rPr>
          <w:color w:val="000000"/>
          <w:sz w:val="24"/>
          <w:szCs w:val="24"/>
        </w:rPr>
        <w:t>sąsiedztwa terenów kolejowych;</w:t>
      </w:r>
    </w:p>
    <w:p w:rsidR="00EF6998" w:rsidRPr="00EF6998" w:rsidRDefault="00EF6998" w:rsidP="00EF69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6998">
        <w:rPr>
          <w:color w:val="000000"/>
          <w:sz w:val="24"/>
          <w:szCs w:val="24"/>
        </w:rPr>
        <w:t>3) zachowanie ciągłości istniejącego systemu melioracyjnego, z dopuszczeniem jego przebudowy, rozbudowy i zmiany przebiegu w granicach terenu;</w:t>
      </w:r>
    </w:p>
    <w:p w:rsidR="00EF6998" w:rsidRDefault="00EF6998" w:rsidP="00EF699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6998">
        <w:rPr>
          <w:color w:val="000000"/>
          <w:sz w:val="24"/>
          <w:szCs w:val="24"/>
        </w:rPr>
        <w:t>4) zakaz lokalizacji budynków.</w:t>
      </w:r>
    </w:p>
    <w:p w:rsidR="00EF6998" w:rsidRDefault="00EF6998" w:rsidP="00EF6998">
      <w:pPr>
        <w:spacing w:line="360" w:lineRule="auto"/>
        <w:jc w:val="both"/>
        <w:rPr>
          <w:color w:val="000000"/>
          <w:sz w:val="24"/>
          <w:szCs w:val="24"/>
        </w:rPr>
      </w:pPr>
    </w:p>
    <w:p w:rsidR="00EF6998" w:rsidRDefault="00EF6998" w:rsidP="00EF699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7</w:t>
      </w:r>
    </w:p>
    <w:p w:rsidR="00EF6998" w:rsidRDefault="00EF6998" w:rsidP="00EF6998">
      <w:pPr>
        <w:keepNext/>
        <w:spacing w:line="360" w:lineRule="auto"/>
        <w:rPr>
          <w:color w:val="000000"/>
          <w:sz w:val="24"/>
          <w:szCs w:val="24"/>
        </w:rPr>
      </w:pPr>
    </w:p>
    <w:p w:rsidR="00EF6998" w:rsidRPr="00EF6998" w:rsidRDefault="00EF6998" w:rsidP="00EF699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EF6998">
        <w:rPr>
          <w:color w:val="000000"/>
          <w:sz w:val="24"/>
          <w:szCs w:val="24"/>
        </w:rPr>
        <w:t>W zakresie zasad modernizacji, rozbudowy i budowy systemów infrastruktury technicznej ustala się:</w:t>
      </w:r>
    </w:p>
    <w:p w:rsidR="00EF6998" w:rsidRPr="00EF6998" w:rsidRDefault="00EF6998" w:rsidP="00EF69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6998">
        <w:rPr>
          <w:color w:val="000000"/>
          <w:sz w:val="24"/>
          <w:szCs w:val="24"/>
        </w:rPr>
        <w:t>1) powiązanie sieci infrastruktury technicznej z układem zewnętrznym oraz zapewnienie dostępu do sieci;</w:t>
      </w:r>
    </w:p>
    <w:p w:rsidR="00EF6998" w:rsidRDefault="00EF6998" w:rsidP="00EF699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6998">
        <w:rPr>
          <w:color w:val="000000"/>
          <w:sz w:val="24"/>
          <w:szCs w:val="24"/>
        </w:rPr>
        <w:t>2) dopuszczenie robót budowlanych w zakresie sieci infrastruktury technicznej, w tym w</w:t>
      </w:r>
      <w:r w:rsidR="00CD1935">
        <w:rPr>
          <w:color w:val="000000"/>
          <w:sz w:val="24"/>
          <w:szCs w:val="24"/>
        </w:rPr>
        <w:t> </w:t>
      </w:r>
      <w:r w:rsidRPr="00EF6998">
        <w:rPr>
          <w:color w:val="000000"/>
          <w:sz w:val="24"/>
          <w:szCs w:val="24"/>
        </w:rPr>
        <w:t>zakresie sieci teletransmisyjnej, systemu monitoringu wizyjnego oraz systemu służb ratowniczych i bezpieczeństwa publicznego.</w:t>
      </w:r>
    </w:p>
    <w:p w:rsidR="00EF6998" w:rsidRDefault="00EF6998" w:rsidP="00EF6998">
      <w:pPr>
        <w:spacing w:line="360" w:lineRule="auto"/>
        <w:jc w:val="both"/>
        <w:rPr>
          <w:color w:val="000000"/>
          <w:sz w:val="24"/>
          <w:szCs w:val="24"/>
        </w:rPr>
      </w:pPr>
    </w:p>
    <w:p w:rsidR="00EF6998" w:rsidRDefault="00EF6998" w:rsidP="00EF699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8</w:t>
      </w:r>
    </w:p>
    <w:p w:rsidR="00EF6998" w:rsidRDefault="00EF6998" w:rsidP="00EF6998">
      <w:pPr>
        <w:keepNext/>
        <w:spacing w:line="360" w:lineRule="auto"/>
        <w:rPr>
          <w:color w:val="000000"/>
          <w:sz w:val="24"/>
          <w:szCs w:val="24"/>
        </w:rPr>
      </w:pPr>
    </w:p>
    <w:p w:rsidR="00EF6998" w:rsidRPr="00EF6998" w:rsidRDefault="00EF6998" w:rsidP="00EF699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EF6998">
        <w:rPr>
          <w:color w:val="000000"/>
          <w:sz w:val="24"/>
          <w:szCs w:val="24"/>
        </w:rPr>
        <w:t xml:space="preserve">W zakresie parametrów i wskaźników kształtowania zabudowy oraz zagospodarowania terenu oznaczonego na rysunku planu symbolem </w:t>
      </w:r>
      <w:r w:rsidRPr="00EF6998">
        <w:rPr>
          <w:b/>
          <w:bCs/>
          <w:color w:val="000000"/>
          <w:sz w:val="24"/>
          <w:szCs w:val="24"/>
        </w:rPr>
        <w:t>ZO</w:t>
      </w:r>
      <w:r w:rsidRPr="00EF6998">
        <w:rPr>
          <w:color w:val="000000"/>
          <w:sz w:val="24"/>
          <w:szCs w:val="24"/>
        </w:rPr>
        <w:t xml:space="preserve"> ustala się:</w:t>
      </w:r>
    </w:p>
    <w:p w:rsidR="00EF6998" w:rsidRPr="00EF6998" w:rsidRDefault="00EF6998" w:rsidP="00EF69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6998">
        <w:rPr>
          <w:color w:val="000000"/>
          <w:sz w:val="24"/>
          <w:szCs w:val="24"/>
        </w:rPr>
        <w:t>1) powierzchnię biologicznie czynną nie mniejszą niż 70% powierzchni danego terenu;</w:t>
      </w:r>
    </w:p>
    <w:p w:rsidR="00EF6998" w:rsidRPr="00EF6998" w:rsidRDefault="00EF6998" w:rsidP="00EF69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6998">
        <w:rPr>
          <w:color w:val="000000"/>
          <w:sz w:val="24"/>
          <w:szCs w:val="24"/>
        </w:rPr>
        <w:t>2) zachowanie cieku jako otwartego;</w:t>
      </w:r>
    </w:p>
    <w:p w:rsidR="00EF6998" w:rsidRPr="00EF6998" w:rsidRDefault="00EF6998" w:rsidP="00EF69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6998">
        <w:rPr>
          <w:color w:val="000000"/>
          <w:sz w:val="24"/>
          <w:szCs w:val="24"/>
        </w:rPr>
        <w:t>3) dopuszczenie lokalizacji:</w:t>
      </w:r>
    </w:p>
    <w:p w:rsidR="00EF6998" w:rsidRPr="00EF6998" w:rsidRDefault="00EF6998" w:rsidP="00EF69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F6998">
        <w:rPr>
          <w:color w:val="000000"/>
          <w:sz w:val="24"/>
          <w:szCs w:val="24"/>
        </w:rPr>
        <w:t>a) ciągów pieszych lub rowerowych wyłącznie o nawierzchni przepuszczalnej,</w:t>
      </w:r>
    </w:p>
    <w:p w:rsidR="00EF6998" w:rsidRPr="00EF6998" w:rsidRDefault="00EF6998" w:rsidP="00EF69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F6998">
        <w:rPr>
          <w:color w:val="000000"/>
          <w:sz w:val="24"/>
          <w:szCs w:val="24"/>
        </w:rPr>
        <w:t>b) przepustów lub obiektów mostowych,</w:t>
      </w:r>
    </w:p>
    <w:p w:rsidR="00EF6998" w:rsidRPr="00EF6998" w:rsidRDefault="00EF6998" w:rsidP="00EF69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F6998">
        <w:rPr>
          <w:color w:val="000000"/>
          <w:sz w:val="24"/>
          <w:szCs w:val="24"/>
        </w:rPr>
        <w:t>c) budowli hydrotechnicznych i urządzeń melioracji wodnych,</w:t>
      </w:r>
    </w:p>
    <w:p w:rsidR="00EF6998" w:rsidRPr="00EF6998" w:rsidRDefault="00EF6998" w:rsidP="00EF69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F6998">
        <w:rPr>
          <w:color w:val="000000"/>
          <w:sz w:val="24"/>
          <w:szCs w:val="24"/>
        </w:rPr>
        <w:t>d) zbiorników retencyjnych,</w:t>
      </w:r>
    </w:p>
    <w:p w:rsidR="00EF6998" w:rsidRPr="00EF6998" w:rsidRDefault="00EF6998" w:rsidP="00EF69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F6998">
        <w:rPr>
          <w:color w:val="000000"/>
          <w:sz w:val="24"/>
          <w:szCs w:val="24"/>
        </w:rPr>
        <w:t>e) obiektów służących ochronie przyrody,</w:t>
      </w:r>
    </w:p>
    <w:p w:rsidR="00EF6998" w:rsidRPr="00EF6998" w:rsidRDefault="00EF6998" w:rsidP="00EF69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F6998">
        <w:rPr>
          <w:color w:val="000000"/>
          <w:sz w:val="24"/>
          <w:szCs w:val="24"/>
        </w:rPr>
        <w:t>f) placów zabaw lub plenerowych urządzeń sportowo-rekreacyjnych;</w:t>
      </w:r>
    </w:p>
    <w:p w:rsidR="00EF6998" w:rsidRDefault="00EF6998" w:rsidP="00EF699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6998">
        <w:rPr>
          <w:color w:val="000000"/>
          <w:sz w:val="24"/>
          <w:szCs w:val="24"/>
        </w:rPr>
        <w:t>4) zakaz lokalizacji miejsc postojowych dla samochodów.</w:t>
      </w:r>
    </w:p>
    <w:p w:rsidR="00EF6998" w:rsidRDefault="00EF6998" w:rsidP="00EF6998">
      <w:pPr>
        <w:spacing w:line="360" w:lineRule="auto"/>
        <w:jc w:val="both"/>
        <w:rPr>
          <w:color w:val="000000"/>
          <w:sz w:val="24"/>
          <w:szCs w:val="24"/>
        </w:rPr>
      </w:pPr>
    </w:p>
    <w:p w:rsidR="00EF6998" w:rsidRDefault="00EF6998" w:rsidP="00EF699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9</w:t>
      </w:r>
    </w:p>
    <w:p w:rsidR="00EF6998" w:rsidRDefault="00EF6998" w:rsidP="00EF6998">
      <w:pPr>
        <w:keepNext/>
        <w:spacing w:line="360" w:lineRule="auto"/>
        <w:rPr>
          <w:color w:val="000000"/>
          <w:sz w:val="24"/>
          <w:szCs w:val="24"/>
        </w:rPr>
      </w:pPr>
    </w:p>
    <w:p w:rsidR="00EF6998" w:rsidRDefault="00EF6998" w:rsidP="00EF6998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EF6998">
        <w:rPr>
          <w:color w:val="000000"/>
          <w:sz w:val="24"/>
          <w:szCs w:val="24"/>
        </w:rPr>
        <w:t>Ustala się stawkę, o której mowa w art. 36 ust. 4 ustawy z dnia 27 marca 2003 r. o</w:t>
      </w:r>
      <w:r w:rsidR="00CD1935">
        <w:rPr>
          <w:color w:val="000000"/>
          <w:sz w:val="24"/>
          <w:szCs w:val="24"/>
        </w:rPr>
        <w:t> </w:t>
      </w:r>
      <w:r w:rsidRPr="00EF6998">
        <w:rPr>
          <w:color w:val="000000"/>
          <w:sz w:val="24"/>
          <w:szCs w:val="24"/>
        </w:rPr>
        <w:t>planowaniu i zagospodarowaniu przestrzennym, w wysokości 30%.</w:t>
      </w:r>
    </w:p>
    <w:p w:rsidR="00EF6998" w:rsidRDefault="00EF6998" w:rsidP="00EF6998">
      <w:pPr>
        <w:spacing w:line="360" w:lineRule="auto"/>
        <w:jc w:val="both"/>
        <w:rPr>
          <w:color w:val="000000"/>
          <w:sz w:val="24"/>
          <w:szCs w:val="24"/>
        </w:rPr>
      </w:pPr>
    </w:p>
    <w:p w:rsidR="00EF6998" w:rsidRDefault="00EF6998" w:rsidP="00EF699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10</w:t>
      </w:r>
    </w:p>
    <w:p w:rsidR="00EF6998" w:rsidRDefault="00EF6998" w:rsidP="00EF6998">
      <w:pPr>
        <w:keepNext/>
        <w:spacing w:line="360" w:lineRule="auto"/>
        <w:rPr>
          <w:color w:val="000000"/>
          <w:sz w:val="24"/>
          <w:szCs w:val="24"/>
        </w:rPr>
      </w:pPr>
    </w:p>
    <w:p w:rsidR="00EF6998" w:rsidRDefault="00EF6998" w:rsidP="00EF6998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EF6998">
        <w:rPr>
          <w:color w:val="000000"/>
          <w:sz w:val="24"/>
          <w:szCs w:val="24"/>
        </w:rPr>
        <w:t>Wykonanie niniejszej uchwały powierza się Prezydentowi Miasta Poznania.</w:t>
      </w:r>
    </w:p>
    <w:p w:rsidR="00EF6998" w:rsidRDefault="00EF6998" w:rsidP="00EF6998">
      <w:pPr>
        <w:spacing w:line="360" w:lineRule="auto"/>
        <w:jc w:val="both"/>
        <w:rPr>
          <w:color w:val="000000"/>
          <w:sz w:val="24"/>
          <w:szCs w:val="24"/>
        </w:rPr>
      </w:pPr>
    </w:p>
    <w:p w:rsidR="00EF6998" w:rsidRDefault="00EF6998" w:rsidP="00EF699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11</w:t>
      </w:r>
    </w:p>
    <w:p w:rsidR="00EF6998" w:rsidRDefault="00EF6998" w:rsidP="00EF6998">
      <w:pPr>
        <w:keepNext/>
        <w:spacing w:line="360" w:lineRule="auto"/>
        <w:rPr>
          <w:color w:val="000000"/>
          <w:sz w:val="24"/>
          <w:szCs w:val="24"/>
        </w:rPr>
      </w:pPr>
    </w:p>
    <w:p w:rsidR="00EF6998" w:rsidRDefault="00EF6998" w:rsidP="00EF6998">
      <w:pPr>
        <w:spacing w:line="360" w:lineRule="auto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EF6998">
        <w:rPr>
          <w:color w:val="000000"/>
          <w:sz w:val="24"/>
          <w:szCs w:val="24"/>
        </w:rPr>
        <w:t>Uchwała wchodzi w życie po upływie 30 dni od daty jej ogłoszenia w Dzienniku Urzędowym Województwa Wielkopolskiego.</w:t>
      </w:r>
    </w:p>
    <w:p w:rsidR="00EF6998" w:rsidRDefault="00EF6998" w:rsidP="00EF6998">
      <w:pPr>
        <w:spacing w:line="360" w:lineRule="auto"/>
        <w:jc w:val="both"/>
        <w:rPr>
          <w:color w:val="000000"/>
          <w:sz w:val="24"/>
          <w:szCs w:val="24"/>
        </w:rPr>
      </w:pPr>
    </w:p>
    <w:p w:rsidR="00EF6998" w:rsidRDefault="00EF6998" w:rsidP="00EF6998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EF6998" w:rsidRPr="00EF6998" w:rsidRDefault="00EF6998" w:rsidP="00EF6998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EF6998" w:rsidRPr="00EF6998" w:rsidSect="00EF699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82B" w:rsidRDefault="008E182B">
      <w:r>
        <w:separator/>
      </w:r>
    </w:p>
  </w:endnote>
  <w:endnote w:type="continuationSeparator" w:id="0">
    <w:p w:rsidR="008E182B" w:rsidRDefault="008E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82B" w:rsidRDefault="008E182B">
      <w:r>
        <w:separator/>
      </w:r>
    </w:p>
  </w:footnote>
  <w:footnote w:type="continuationSeparator" w:id="0">
    <w:p w:rsidR="008E182B" w:rsidRDefault="008E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marca 2020r."/>
    <w:docVar w:name="AktNr" w:val="XXIV/450/VIII/2020"/>
    <w:docVar w:name="Sprawa" w:val="miejscowego planu zagospodarowania przestrzennego obszaru „Morasko – Radojewo – Umultowo” w rejonie Strumienia Różanego i ul. Bożydara w Poznaniu."/>
  </w:docVars>
  <w:rsids>
    <w:rsidRoot w:val="00EF6998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66DB3"/>
    <w:rsid w:val="005B6DD0"/>
    <w:rsid w:val="005C6BB7"/>
    <w:rsid w:val="005E453F"/>
    <w:rsid w:val="0065477E"/>
    <w:rsid w:val="00701C48"/>
    <w:rsid w:val="00757A79"/>
    <w:rsid w:val="00853287"/>
    <w:rsid w:val="00860838"/>
    <w:rsid w:val="008E182B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1935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EF6998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5E2E5"/>
  <w15:chartTrackingRefBased/>
  <w15:docId w15:val="{0BC16C00-D32E-4994-956F-28DA2B8F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5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2020-03-17T11:07:00Z</dcterms:created>
  <dcterms:modified xsi:type="dcterms:W3CDTF">2020-03-17T11:10:00Z</dcterms:modified>
</cp:coreProperties>
</file>