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BC" w:rsidRDefault="002D38BC" w:rsidP="002D38BC">
      <w:pPr>
        <w:jc w:val="center"/>
        <w:rPr>
          <w:b/>
          <w:sz w:val="22"/>
          <w:szCs w:val="22"/>
        </w:rPr>
      </w:pPr>
      <w:r w:rsidRPr="002D38BC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</w:p>
    <w:p w:rsidR="00832FFA" w:rsidRDefault="00FF7085" w:rsidP="002D38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</w:t>
      </w:r>
    </w:p>
    <w:p w:rsidR="00832FFA" w:rsidRDefault="00832FFA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832FFA" w:rsidRDefault="00FF708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dostarczy i zainstaluje TOWAR, dla Zespołu Szkół Gastronomicznych im. Karola Libelta w Poznaniu, 60-326 Poznań ul. Podkomorska 49 . TOWAR ten zostanie przekazany wyżej wymienionemu użytkownikowi Projektu pn. „Wyposażenie placówek oświatowych w nowoczesny i wysokospecjalistyczny sprzęt technologiczny na terenie MOF Poznania”. Dostarczony TOWAR będzie spełniał niżej wymienione wymogi:</w:t>
      </w:r>
    </w:p>
    <w:p w:rsidR="00832FFA" w:rsidRDefault="00832FFA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4"/>
        <w:gridCol w:w="786"/>
        <w:gridCol w:w="827"/>
        <w:gridCol w:w="10552"/>
        <w:gridCol w:w="692"/>
      </w:tblGrid>
      <w:tr w:rsidR="00C8166B" w:rsidTr="002662EB">
        <w:trPr>
          <w:trHeight w:val="51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8166B" w:rsidRDefault="00C8166B" w:rsidP="002662E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8166B" w:rsidRDefault="00C8166B" w:rsidP="002662E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:rsidR="00C8166B" w:rsidRDefault="00C8166B" w:rsidP="00266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idx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:rsidR="00C8166B" w:rsidRDefault="00C8166B" w:rsidP="002662E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Nr na rysunku</w:t>
            </w:r>
          </w:p>
        </w:tc>
        <w:tc>
          <w:tcPr>
            <w:tcW w:w="10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8166B" w:rsidRDefault="00C8166B" w:rsidP="002662E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8166B" w:rsidRDefault="00C8166B" w:rsidP="002662E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4-elementowy komplet w składzie: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Stół grzewczy z drzwiami suwanymi. Wykonany z blachy o grubości min. 1mm ze stali nierdzewnej AISI 304. Wymiar 1200x700x900mm. Drzwi przesuwne wykonane w formie puszki (podwójne ściany) o grubości 20mm, zawieszone są na prowadnicy rolkowej wykonanej ze stali nierdzewnej, a w dolnej części prowadzone na trzpieniu, uchwyty na drzwiach wykonane w formie przetłoczenia. Półka przestawna. Moc urządzenia 2kW.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Nadstawka pojedyncza grzewcza z oświetleniem na blat.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Moowanie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do stołu grzewczego poz. 1. Wykonana z blachy o grubości min. 1mm ze stali nierdzewnej  AISI 304. Wymiar 1200x300x400mm. Moc urządzenia 0,6kW. Wyposażona w 3x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halotermy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o mocy min 0,2kW. Mocowanie do stołu grzewczego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Dystrybutor grzewczy do talerzy. Wykonany z blachy o grubości min. 1mm ze stali nierdzewnej AISI 304. Wymiar 550x500x900mm. Koła Ø100 z bieżnią z pełnej gumy jasne. 2x koła wyposażone w hamulec. Załadunek 50x talerzy 260-330mm, grzanie 30-60°C. Moc: 0,8kW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Wózek 2-półkowy. Wózek 2-półkowy spawany wykonany z blachy o grubości min. 1mm ze stali nierdzewnej AISI 304.  Wymiar 800x500x850mm. Koła Ø100 z bieżnią z pełnej gumy jasne. 2x koła wyposażone w hamulec. Na krótszych bokach uchwyty ze stali nierdzewnej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Zestaw 4 regałów gastronomiczno-magazynowych wraz z roletą bufetową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Regał magazynowy 6-półkowy. Wymiar 900x500x2000mm (szer./gł./wys.). Wykonany z blachy o grubości min. 1mm ze stali nierdzewnej AISI 304. 6 półek (4x regulowane). Regał spawany.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Roleta bufetowa. Zwijana materiał aluminium kolor brązowy lakierowany proszkowo. Napęd elektryczny i ręczny. Wymiar 3000mm długość i 2000mm wysokość. Opuszczana do blatu bufetowego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9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Zestaw 4 zmywarek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Zmywarka kapturowa z rekuperacją. Pełna podwójna konstrukcja z izolowanym kapturem wykonanym z jednego elementu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- wysokość otworu wsadowego min 465 mm, umożliwiająca mycie talerzy i szkła do 440mm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- wyposażona w kosz o wym. min 500x500mm i umożliwiająca mycie tac w standardzie GN 1/1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- wyposażona w jednostkę rekuperacyjną bez konieczności podłączenia do wentylacji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- wanna zmywarki tłoczona wyposażona w nierdzewne filtry powierzchniowe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- wyposażona w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thermostop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– gwarantowanie odpowiedniej temperatury wyparzania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- wyposażona w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SoftStart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– płynna prędkość ramion myjących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- pompę wspomagającą płukanie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- czytelny wyświetlacz obrazujący stan zmywarki poprzez zmianę koloru całego wyświetlacza umiejscowionego na górze kaptura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- Wyświetlacz pokazujący temp wody w wannie oraz bojlerze a także ilości cykli i kody błędów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- pompa myjąca wyposażona w dwa niezależne wyjścia na dolne oraz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gorne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ramie myjące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- pojemność wanny 20-25 litrów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- pojemność bojlera 5-8 litrów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- zmywarka wyposażona w min. trzy programy czasowe oraz programy specjalne - dedykowane do różnych zabrudzeń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Zmywarka do naczyń. Zdejmowany blat. Podłączenie do ciepłej wody. Front, panel i maskownica ze stali szlachetnej. Zewnętrzny panel sterowania. Szerokość [cm]60, Wysokość [cm]85, Głębokość [cm] do 65. Programy zmywania: min. 4 szt. Temperatury zmywania [stopnie C] min. 45/50/60/70. Sterowanie elektroniczne, Wyświetlacz elektroniczny, Wskaźnik braku soli, Wskaźnik braku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nabłyszczacza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>, Opóźnienie startu pracy, Trzecia szuflada górna na sztućce, Kosz górny, Składane uchwyty na filiżanki, Kosz dolny, składane stojaki na naczynia, Zmywarka wolnostojąca.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Zestaw 4 schładzarko-zamrażarek szokowych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Schładzarko-zamrażarka szokowa, pojemność: 5x GN 1/1 gł. 65 mm lub 5x EN 600 x 400 (piekarnicze), wykonanie: stal nierdzewna AISI 304, schładzanie - min. 25 kg /cykl, zamrażanie - min. 15 kg /cykl, panel dotykowy min 9”, 3 intuicyjne ustawienia menu: gastronomia / piekarnictwo / cukiernictwo, sonda potrawy: 4-punktowa,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schładzanie szokowe, zamrażanie szokowe do -40°C, sterowane rozmrażanie utrzymywanie - chłodzenie i zamrażanie, HACCP real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- graficzne zobrazowanie danych na wyświetlaczu i zapisanie ich do pamięci urządzenia, wizualizacja aktualnego zużycia energii, system autodiagnostyki błędów, wbudowane porty USB i SD służące do ściągania i wgrywania przepisów, danych, HACCP i aktualizacji oprogramowania, regulowana prędkość wentylatora i temperatury, funkcja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multilevel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- umożliwia nastawienie czasu obróbki dla każdej półki z osobna, karta SD z filmami instruktażowymi, oświetlenie komory roboczej diodami LED, filtr siateczkowy wykonany ze stali nierdzewnej umożliwiający szybkie czyszczenie kondensatora - mocowanie typu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Click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Clack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>, moc: 0,578kW, zasilanie: 230V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Schładzarko-zamrażarka szokowa, pojemność 5x GN 1/1 lub 5x EN 600x400. Wykonanie ze stali nierdzewnej. Dodatkowo obudowa pokryta specjalną powłoką antykorozyjną. Automatyczne chłodzenie i szokowe mrożenie. Możliwy manualny tryb pracy. Sonda 1-punktowa w zestawie. Dotykowy panel sterujący z wyświetlaczem LED. Port USB do ściągania danych HACCP. Czynnik chłodniczy R452a. Moc: 0.45kW. Wymiary: 760x700x850mm.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2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Zestaw 4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piecy</w:t>
            </w:r>
            <w:proofErr w:type="spellEnd"/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Piec cukierniczy - pojemność 5x blach 600x400. Blachy wsuwane poprzecznie.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Kolorowy wyświetlacz - przekątna ekranu 3,2'', odporny na środki do mycia szkła, oleje i tłuszcze, ekran można obsługiwać również w cienkich rękawiczkach. 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Łatwość dopasowania do potrzeb różnych grup użytkowników dzięki prostemu zarządzaniu uprawnieniami użytkowników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Oświetlenie wewnętrzne LED.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Autostart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Możliwość sterowania z wentylatorami prawo- 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lewobieżnymi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>, zapewniającymi równomierne efekty pieczenia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Zaparowanie rurowe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Chłodne drzwi zewnętrzne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32 programy, po 20 kroków każdy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Filtr wody do podtrzymania wydajności elementów systemu zaparowania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Moc: 7-9kW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2 prędkości wentylatora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 zestawie 5 blach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Piec piekarniczy 4x 600x400 z płynnym naparowaniem.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Moc min 6kW 400V.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Możliwość ustawienia stopnia naparowania.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Komora ogrzewana za pomocą wysoko wydajnych nierdzewnych grzałek (INCILOY).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Komora ze stali nierdzewnej AISI 304 z zaokrąglonymi narożnikami.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Wewnętrzne oświetlenie.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Drzwi wentylowane z podwójną szybą otwieraną dla łatwego czyszczenia.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Regulowane nóżki.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Trzy prędkości wentylatora.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Odległość między półkami 74mm.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99 programów po 9 kroków każdy.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Automatyczny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przedgrzew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Drzwi otwierane w dół zawiasy na dole uchwyt na górze.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Zestaw szaf chłodniczych 1-drzwiowych</w:t>
            </w:r>
          </w:p>
        </w:tc>
        <w:tc>
          <w:tcPr>
            <w:tcW w:w="786" w:type="dxa"/>
            <w:vAlign w:val="center"/>
          </w:tcPr>
          <w:p w:rsidR="00C8166B" w:rsidRDefault="002662E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81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Szafa chłodnicza GN 2/1. Poj. 700l. Wym. 730x845x2130mm. Obudowa oraz wnętrze w całości wykonane z blachy nierdzewnej. Automatyczne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odrszranianie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i odparowanie skroplin. 3x półki rusztowe GN 2/1 (metalowe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plastyfikowane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>). Moc 0.22kW. Chłodzenie nawiewowe (wymuszone wentylatorem). Zamek drzwi na klucz. Czynnik chłodniczy R600a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Szafa chłodnicza GN 2/1. Poj. 570l. Wym. 777x695x1895. Moc 0.13kW. Chłodzenie dynamiczne. Zamek drzwi. Czynnik chłodniczy R600a. Obudowa i drzwi ze stali nierdzewnej. 4x ruszt GN 2/1.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Szafa chłodnicza GN 2/1. Poj. 570l. Wym. 777x695x1895. Moc 0.13kW. Chłodzenie dynamiczne. Zamek drzwi. Czynnik chłodniczy R290. Drzwi przeszklone. 4x ruszt GN 2/1..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Zestaw szaf chłodniczych z witrynami chłodniczymi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  <w:shd w:val="clear" w:color="FFFFCC" w:fill="FFFFFF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FFFFCC" w:fill="FFFFFF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Szafa chłodnicza 2-drzwiowa. Szafa chłodnicza musi być wykonana z blachy nierdzewnej w wewnątrz i na zewnątrz. Sterowanie cyfrowe z wyświetlaczem temperatury. Wyłącznik wentylatora po otwarciu drzwi. Chłodzenie nawiewowe. Automatyczne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odszranianie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i odparowanie skroplin. Półki rusztowe GN2/1. Czynnik chłodniczy R600a. Wymiary: 1318x845x2130mm. Moc: 0.35kW. Regulowane nogi. Pojemność 1400l. 6x ruszt w zestawie. Temperatura 2-8'C.</w:t>
            </w:r>
          </w:p>
        </w:tc>
        <w:tc>
          <w:tcPr>
            <w:tcW w:w="692" w:type="dxa"/>
            <w:shd w:val="clear" w:color="FFFFCC" w:fill="FFFFFF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Witryna chłodnicza na blat. Wymiary 702x568x686mm, poj. 120l, wykonanie: szkło + stal nierdzewna  + oświetlenie LED. Regulacja temperatury: 0-12'C. 2x półka.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Zestaw 4 okapów do pieców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FFFFCC" w:fill="FFFFFF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Okap zintegrowany z piecem poz.22  . Do okapu nie jest wymagane podłączenie do wentylacji. Okap posiada wbudowany kondensator pary.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FFFFCC" w:fill="FFFFFF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Okap zintegrowany z piecem poz.11  . Do okapu nie jest wymagane podłączenie do wentylacji. Okap posiada wbudowany kondensator pary.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Wymiary 1200x1000x450mm (szer./gł./wys.). Kształt prostokątny. Wykonany z blachy o grubości min. 1mm ze stali nierdzewnej AISI 304. Posiada filtry kabinowe i oświetlenie (lampy schowane za zabudową z szybą odporną na wysoką temperaturę). W okapie wbudowany wentylator o wydajności min. 1800m3/h. W zakresie podłączenie okapu rurą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spiro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ocynkowaną do bieżącej instalacji.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Okap centralny wyciągowy z filtrami i oświetleniem. Wymiary 3200x2000x450mm (szer./gł./wys.). Kształt prostokątny. Wykonany z blachy o grubości min. 1mm ze stali nierdzewnej AISI 304. Posiada filtry kabinowe i oświetlenie (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lamby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schowane za zabudową z szybą odporną na wysoką temperaturę). Okap wykonany z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dwóćh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części. Zabudowa ze stali nierdzewnej od górnej krawędzi okapu do sufitu. Zabudowa wykonana z identycznej blachy i szlifu jak przy okapie. Wyposażony w króćce przyłączeniowe 2x  Ø315 rozłożone symetrycznie. Poprowadzony wyciąg z okapu składający się z rur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spiro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ze stali ocynkowanej. Na dachu zamontowany szczelnie wentylator o wyciągu 3400m3/h (Jednofazowy (230V, 50Hz, IP54, klasa izolacji F, efektywny odciąg oparów z kuchni przemysłowych w obiektach gastronomicznych, możliwość zastosowania we wszelkich instalacjach odciągowych do przetłaczania powietrza o podwyższonej temperaturze w zakresie od 40-120 °C). Do wentylatora regulator wielostopniowy. W zakresie usunięcie starej instalacji wentylacyjnej i montaż wentylatora wraz z wyrzutnikiem, niezbędne prace dekarskie i wykonanie daszku wentylacyjnego.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Stół roboczy ze stali nierdzewnej - Mobilny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Stół mobilny ze stali nierdzewnej. Wymiar stołu 1000x600x900 (szer./gł./wys.). Stół wykonany z blachy o grubości min. 1mm ze stali nierdzewnej AISI 304. Blat podklejony płytą laminowaną białą gładką, krawędzie zabezpieczone profilem metalowym, grubość blatu 40mm. Podstawa wykonana w formie szkieletowej z półką. Koła Ø100 z bieżnią z pełnej gumy. Stół w formie centralnej bez rantów. 2 koła wyposażone w hamulec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Szafy magazynowe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Szafa magazynowa z drzwiami ze stali nierdzewnej. Wymiar 900x700x2000mm (szer./gł./wys.). Wykonana z blachy o grubości min. 1mm ze stali nierdzewnej AISI 304. Na środku stała przegroda, wyposażona w 4x regulowane półki, drzwi skrzydłowe wykonane w formie puszki (podwójne ściany) o grubości 20mm.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Metalowa szafa magazynowa z drzwiami szklanymi. Wykonanie z metalu, front przeszklony. W zestawie 4 półki metalowe. Wymiary: 800x435x1800 mm.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magazynowo-biurowa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>. Szafa wykonana z płyty meblowej. 2x drzwi. W zestawie 4 półki. Wymiary: 800x420x1800 mm.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Szafa magazynowa typu regał. Wymiar 1000x700x2000mm (szer./gł./wys.). Wykonana z blachy o grubości min. 1mm ze stali nierdzewnej  AISI 304. 6 półek (4x regulowane). Regał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spawany.Zabudowany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z 3-stron.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5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Piec konwekcyjno-parowy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Piec konwekcyjno-parowy o pojemności 6 x 1/1 GN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Wzdłużny układ prowadnic odpowiedni dla pojemników GN 1/1, 1/2, 2/3, 1/3, 2/8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Minimum 5 poziomów garowania, programowane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Programowanie automatycznego startu urządzenia z uwzględnieniem daty i czasu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Funkcja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cool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-down do szybkiego schładzania komory urządzenia za pomocą wirnika wentylatora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Transfer danych HACCP/aktualizacje oprogramowania za pośrednictwem zintegrowanego złącza Ethernet lub USB.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Zintegrowany hamulec wirnika wentylatora.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Sterowanie urządzeniem za pomocą oprogramowania i mobilnej aplikacji.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Graficzny podgląd aktualnego klimatu w komorze, przewidywanego przebiegu przyrządzania potraw, możliwość spojrzenia wstecz i wprzód.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Samodzielnie konfigurowalny, dostosowany do użytkownika wyświetlacz obsługi (obrazy teksty itd.)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Niezależny od ciśnienia wody w sieci, automatyczny system myjąco-pielęgnacyjny komory i generatora pary.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Automatyczne mycie i odkamienianie generatora pary.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Automatyczne wezwanie do czyszczenia z informacją o rodzaju mycia i ilości chemii w zależności od stopnia zabrudzenia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Drzwi urządzenia z wentylowaną potrójną szybą i dwoma odchylanymi szybami wewnętrznymi (łatwe czyszczenie) z powłoką odbijającą ciepło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Diody LED oświetlające komorę i załadunek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Zarządzanie klimatem - pomiar, ustawianie i regulacja wilgotności z dokładnością do 1%.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Pamięć minimum 100 programów gotowania po minimum 10 etapów każdy 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Generator pary z automatycznym odkamienianiem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Zintegrowany, nie wymagający konserwacji system odprowadzania tłuszczu, bez filtra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Osobne zawory magnetyczne do wody zwykłej i zmiękczonej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5x kompletów chemii myjącej i pielęgnacyjnej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Zestaw profesjonalnych wysp gastronomicznych</w:t>
            </w: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Cała wyspa o wymiarach 3400x1200x900 ,Wszystkie elementy wyspy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łaczone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ze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soba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na włos  Blat powierzchnia płaska, wykonany w całości ze stali grubości 1,5mm. 4x wspawane komory 400x400x250mm z otworami pod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baterię,Stół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centralny  Blat w okolicach komór bez płyty laminowanej, w pozostałych miejscach płyta laminowana dwustronnie niechłonąca wilgoci. Blat przykręcany do podstaw. Meble w skład wyspy wykonane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odzielnie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łaczeniem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całośc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na włos tworząc cały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monoblock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  podstawy z półkami,. W podstawę wbudowane 2 piekarniki pozycja 34 i 2 kuchnie pozycja 35. Podstawa z bokami zamkniętymi/maskującymi boki piekarników. Dolne półki na wysokości 200mm od posadzki. Całość wykonana z stali AISI 304. Do wyspy należy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dostosowaći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doprowadzić przyłącza el. 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wod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-kan. Na środku blatu należy zamontować blachę grubości min 1,5mm która będzie przeprowadzona przez środek wyspy (tworząc przepierzenie miedzy stanowiskami)  zaczynając od zlewów na wymiar 2800 długość i 600 wysokość z możliwością demontowania. Mocowanie blachy do ściany i do stołu w formie słupka , mocowanie musi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byc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tak skonstruowane aby blacha zachowała odpowiednią sztywność. W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balcie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wyspy zamontowane 2x kuchnie 4x palnikowe z pozycji 35. W zabudowie 2x piekarniki pozycja 34.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Stół ze zlewem 2-komorowym - Całość wykonana z stali AISI 304, wspawane 2x komory 400x400x250mm z otworami pod baterię, blat stołu wykonany z min 1,5 grubości. stali, dolna półka na wysokości 200mm od posadzki, blat stołu przygotowany do skręcenia "na włos" z pozostałymi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częsciami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wyspy tworząc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monoblock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. Do zlewów bateria kuchenna z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gietki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kran ze sprężyną, sterowanie dźwigniowe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wysokośc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baterii min 400mm , zasięg wylewki min 250mm. Wymiary stołu  1000x600x900mm. Tylny rant h=40 (blacha na rancie zawinięta w dół żeby zniwelować ostre krawędzie) przygotowany do podtrzymania blachy oddzielającej stanowiska na wyspie.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Stół centralny wymiary 1200x1200x900. Blat stołu przygotowany do skręcenia "na włos" z pozostałymi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częsciami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wyspy tworząc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monoblock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>. na środku stołu rant h=40 (blacha na rancie zawinięta w dół żeby zniwelować ostre krawędzie) przygotowany do podtrzymania blachy oddzielającej stanowiska na wyspie.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Stół centralny wymiary 1200x1200x900. Blat stołu przygotowany do skręcenia "na włos" z pozostałymi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częsciami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wyspy tworząc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monoblock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częśc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stołu przygotowana na montaż w blacie 2x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35. Część stołu przygotowana pod montaż 2x piekarników (pozycja 34) z bokami zamkniętymi/maskującymi boki piekarników. Na blacie stabilny słupek do zamontowania przepierzenia z blachy.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Nadstawka w wymiarze 2000x300x1400 (szer./gł./wys.). wykonana z blachy o grubości min. 1mm ze stali nierdzewnej AISI 304 Nadstawka ustawiona będzie na wyspie pomiędzy urządzeniami grzewczymi, górna i dolna półka zlicowana z korpusem. Półka dolna z gr. 1,5mm a górna 1mm. Powierzchnia dolna półki na wymiarze 965 mm od podłogi (powierzchnia robocza zlicowana z górna krawędzią rantów na urządzeniach grzewczych na wyspie).Na krótszym boku zamontowane 2x gniazda 230V podtynkowe zamontowane w  hermetycznej  puszce. Półki wzmacniane omegami. Nóżki regulowane. Jeden krótki bok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zabudowny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od dolnej półki do nóżek (panelem ze stali nierdzewnej). Na środku nadstawki zainstalowana bateria z zimną wodą (wys. ramienia 700mm,obrotowa kolumna, obrotowa wylewka). W zakresie doprowadzenie zimnej wody do powyższej baterii, oraz doprowadzenie instalacji elektrycznej do gniazd elektrycznych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Stół z drzwiami suwanymi i rzędem 2x szuflad. Wymiar stołu 1700x700x900 (szer./gł./wys.) .Stół wykonany z blachy o grubości min. 1mm ze stali nierdzewne AISI 304. Blat  podklejony płytą laminowaną białą gładką, krawędzie zabezpieczone profilem metalowym, przód i  boki blatu zakończone promieniem R10, grubość blatu 40mm, nie posiada tylnego rantu. Drzwi przesuwne wykonane w formie puszki (podwójne ściany) o grubości 20mm, zawieszone są na prowadnicy rolkowej wykonanej ze stali nierdzewnej, a w dolnej części prowadzone na trzpieniu, uchwyty na drzwiach wykonane w formie przetłoczenia. Korpus stołu o głębokości 690mm,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szerokośc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dopasowana do korpusu urządzeń grzewczych na wyspie. Szuflady po prawej stronie, w formie nakładanych na korpus, dostosowane do pojemników GN 1/1, uchwyty na szufladach wykonane w formie przetłoczenia. Dno szafki znajduje się 150mm od podłoża. Nóżki regulowane. Stół z przodu i po bokach wyposażony w cokół ze stali nierdzewnej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2662E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Stół mobilny ze stali nierdzewnej. Wymiar stołu 1200x600x900 (szer./gł./wys.). Stół wykonany z blachy o grubości min. 1mm ze stali nierdzewnej AISI 304. Blat podklejony płytą laminowaną białą gładką, krawędzie zabezpieczone profilem metalowym, grubość blatu 40mm. Podstawa wykonana w formie szkieletowej z półką. Koła Ø100 z bieżnią z pełnej gumy. Stół w formie centralnej bez rantów. 2 koła wyposażone w hamulec. Stół posiada półkę dolną oraz środkową. Środkowa półka regulowana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2662E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81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Stół mobilny. Wykonany z blachy o grubości min. 1mm ze stali nierdzewnej AISI 304. Koła Ø100 z bieżnią z pełnej gumy. 2 koła wyposażone w hamulec. Na górze regału blat roboczy. 2x rząd prowadnic na GN 1/1. Blat zakończony wypustami pasującymi do pieca z poz. 11. Wymiar 845x724x900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Stół mobilny. Wykonany z blachy o grubości min. 1mm ze stali nierdzewnej AISI 304. Koła Ø100 z bieżnią z pełnej gumy. 2 koła wyposażone w hamulec. Na górze regału blat roboczy. 2x rząd prowadnic na EN 600x400. Wymiar 940x700x900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Stół mobilny. Wykonany z blachy o grubości min. 1mm ze stali nierdzewnej AISI 304. Koła Ø100 z bieżnią z pełnej gumy. 2 koła wyposażone w hamulec. Na górze regału blat roboczy. 2x rząd prowadnic na GN 1/1. Wymiar 830x700x900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Bemar wodny jezdny 3x GN 1/1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wymiar 1145x600x900 (szer./gł./wys.).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wykonany z blachy o grubości min.  1mm ze stali nierdzewnej AISI 304.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Każda komora z niezależnym sterowaniem, grzałki pod komorami.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Na krótkich bokach uchwyty nierdzewne, przewód zasilający elastyczny.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Koła Ø100 z bieżnią z pełnej gumy - białe.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2x koła wyposażone w hamulec.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Półka 150mm od posadzki.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Stół przyścienny z 6 szufladami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Wymiar stołu 800x600x900 (szer./gł./wys.)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Stół wykonany z blachy o grubości min. 1mm ze stali nierdzewnej AISI 304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Blat podklejony płytą laminowaną gładką, krawędzie zabezpieczone profilem metalowym, rant tylny.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Szuflady w formie nakładanych na korpus, uchwyty na szufladach wykonane w formie przetłoczenia.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Dno szafki znajduje się 150mm od podłoża.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Nóżki regulowane.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Płyta gazowa 4-palnikowa do zabudowy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Wymiary: szer. 55-60cm, gł. 50-55cm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Kolor płyty grzewczej: czarny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Napięcie zasilania: 230V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Pola grzewcze: 4 palniki gazowe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Ruszt płyty grzewczej: dwuczęściowy żeliwny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Zapalarka gazu: automatyczna w pokrętle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Sterowanie płyty grzewczej mechaniczne - pokrętło na płycie grzewczej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Wykonanie płyty grzewczej szklane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Zabezpieczenie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przeciwwypływowe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gazu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Rodzaj obsługiwanego gazu 3B/P (propan-butan), E (GZ-50)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W zestawie: okap wyspowy z filtrami węglowymi i zabudową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od górnej części okapu do sufitu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Cechy okapu: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Wykonanie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br/>
              <w:t>Wskaźnik nasycenia filtra tłuszczowego i filtra węglowego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min 4x lampa LED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Max. wydajność: min 700m3/h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Recyrkulacja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Piekarnik do zabudowy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elektryczno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parowy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Klasa energetyczna max 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Moc przyłączeniowa [kW]: min. 2.9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Napięcie zasilania [V] 220-240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Pojemność min 70l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Wentylator chłodzący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Typ prowadnic w piekarniku - drabinkowe + 1 poziom prowadnic teleskopowych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Wykonanie wnętrza piekarnika: powłoka katalityczna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</w:r>
            <w:r w:rsidRPr="000964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Opuszczana grzałka grilla (opiekacza)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Czyszczenie piekarnika: katalityczne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Timer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br/>
              <w:t>Sterowanie elektroniczne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Grill (opiekacz)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Termosonda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Termoobieg</w:t>
            </w:r>
            <w:proofErr w:type="spellEnd"/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i 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Kuchnia 4-palnikowa z piekarnikiem gazowym wraz z dostosowaniem przyłączy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tłoczona górna płyta ze stali nierdzewnej AISI 304 o grubości min. 2 mm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łatwo wyjmowane nierdzewne wanny pod palnikami w celu zapewnienia maksymalnej higieny oraz dostępu serwisowego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nierdzewny (prętowy) ruszt - umożliwiający pracę na małych naczyniach bez stosowania redukcji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pokrętła pyłoszczelne 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bryzgoszczelne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 klasie min IPX 5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potrójny żeliwny kominek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min. moc palników: 1x3,5kW, 3x5,5kW, 2x7,5kW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łączenie "na włos"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stała świeczka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wymiary 1200x700x900mm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 zakresie przewód gazowy, przyłączenie i dostosowanie bieżącej instalacji gazowej do wyspy grzewczej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Dodatkowo urządzenie wyposażone w cokół ze stali nierdzewnej na przedniej części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2662E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52" w:type="dxa"/>
            <w:shd w:val="clear" w:color="FFFFCC" w:fill="FFFFFF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Płyta ryflowana grillowa elektryczna z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dostosowanniem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przyłączy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tłoczona górna płyta ze stali nierdzewnej AISI 304 o grubości 2 mm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płyta robocza wykonana z trudnościeralnej stali o grubości min 14mm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szuflada na tłuszcz i resztki z systemem "przeciw falowym" oraz otworem przelewowym wskazująca na konieczność opróżnienia szuflady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pokrętła pyłoszczelne 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bryzgoszczelne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 klasie min IPX 5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podwójny żeliwny kominek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moc min 9 kW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łączenie "na włos"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regulacja temperatury w zakresie min 50 - 300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692" w:type="dxa"/>
            <w:shd w:val="clear" w:color="FFFFCC" w:fill="FFFFFF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i 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Kuchnia gazowa 6-palnikowa wraz z dostosowaniem przyłączy gazowych i podłączeniem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tłoczona górna płyta ze stali nierdzewnej AISI 304 o grubości min. 2 mm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łatwo wyjmowane nierdzewne wanny pod palnikami w celu zapewnienia maksymalnej higieny oraz dostępu serwisowego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nierdzewny (prętowy) ruszt - umożliwiający pracę na małych naczyniach bez stosowania redukcji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pokrętła pyłoszczelne 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bryzgoszczelne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 klasie min IPX 5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potrójny żeliwny kominek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min. moc palników: 1x3,5kW, 3x5,5kW, 2x7,5kW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łączenie "na włos"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stała świeczka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wymiary 1200x700x900mm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 zakresie przewód gazowy, przyłączenie i dostosowanie bieżącej instalacji gazowej do wyspy grzewczej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Dodatkowo urządzenie wyposażone w cokół ze stali nierdzewnej na przedniej części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0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2662E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Frytownica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elektryczna z dostosowaniem przyłączy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tłoczona górna płyta ze stali nierdzewnej AISI 304 o grubości 2 mm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pokrętła pyłoszczelne i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bryzgoszczelne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 klasie min IPX 5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pojedynczy  żeliwny kominek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moc 11 - 14 kW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obrotowe grzałki dla łatwego utrzymania czystości 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łączenie "na włos"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 xml:space="preserve">wymiar wanny: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20-25cm,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30-35cm, gł. 35-40cm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wydajność min 10kg/h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wyposażona w pojemnik z filtrem na zużytą fryturę oraz drzwi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pokrywa wanny</w:t>
            </w:r>
            <w:r w:rsidRPr="00123966">
              <w:rPr>
                <w:rFonts w:ascii="Arial" w:hAnsi="Arial" w:cs="Arial"/>
                <w:sz w:val="20"/>
                <w:szCs w:val="20"/>
              </w:rPr>
              <w:br/>
              <w:t>zasilanie: 400 / 3 N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Kuchnia indukcyjna. Obudowa z tworzywa ABS. Cyfrowa regulacja mocy, temperatury i czasu. Moc min. 1800W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2662E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81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Separator substancji tłuszczowych z odmulaczem. Przepływ 0,5 l/s. Wykonanie z polietylenu koloru niebieskiego. Urządzenie grawitacyjne. Pokrywa zamykana na zamki. Poj. całkowita 38l, poj. separatora 15l, poj. odmulacza 15l. Wym. 330x420x385 mm. Średnica króćców 50mm. Waga 4kg.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Lodówka z zamrażarką. Wykonanie frontów i boków: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. Sterowanie mechaniczne. Możliwa zmiana kierunku otwierania drzwi. Funkcje dodatkowe: szuflada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CrispZone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Anti-Bacteria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>. Klasa energetyczna A+. Roczne zużycie energii 161 kWh. Poj. użytkowa chłodziarki 93l, poj. użytkowa zamrażarki 12l. 3x szklana półka. Wymiary urządzenia: 546x571x845 mm.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6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 xml:space="preserve">Lampa owadobójcza. Odpowiednia do użytku w wewnątrz. Zasięg działania: 80m2. Metalowa obudowa + tworzywo odporne na działanie UV. Możliwość montażu na ścianie. Wysuwana taca na martwe owady. W zestawie: 2x świetlówka, 1x wkład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lepny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. Wymiary:515x390x82. Moc: 0,03 </w:t>
            </w:r>
            <w:proofErr w:type="spellStart"/>
            <w:r w:rsidRPr="00123966">
              <w:rPr>
                <w:rFonts w:ascii="Arial" w:hAnsi="Arial" w:cs="Arial"/>
                <w:sz w:val="20"/>
                <w:szCs w:val="20"/>
              </w:rPr>
              <w:t>kW.</w:t>
            </w:r>
            <w:proofErr w:type="spellEnd"/>
            <w:r w:rsidRPr="00123966">
              <w:rPr>
                <w:rFonts w:ascii="Arial" w:hAnsi="Arial" w:cs="Arial"/>
                <w:sz w:val="20"/>
                <w:szCs w:val="20"/>
              </w:rPr>
              <w:t xml:space="preserve"> Waga: 3,75 kg.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166B" w:rsidRPr="00123966" w:rsidTr="002662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  <w:jc w:val="center"/>
        </w:trPr>
        <w:tc>
          <w:tcPr>
            <w:tcW w:w="527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8166B" w:rsidRDefault="002662EB" w:rsidP="0026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81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Stanowisko do obróbki mięsa. Stół mobilny ze stali nierdzewnej. Wymiar stołu 600x600x900 (szer./gł./wys.). Stół wykonany z blachy o grubości min. 1mm ze stali nierdzewnej AISI 304. Blat podklejony płytą laminowaną białą gładką, krawędzie zabezpieczone profilem metalowym, grubość blatu 40mm. Podstawa wykonana w formie szkieletowej z półką. Koła Ø100 z bieżnią z pełnej gumy. Stół w formie centralnej bez rantów. 2 koła wyposażone w hamulec. Półka dolna. Półka środkowa regulowana. W zestawie deska z polietylenu HDPE o wym. 600x400x20 z antypoślizgowymi nóżkami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8166B" w:rsidRPr="00123966" w:rsidRDefault="00C8166B" w:rsidP="002662EB">
            <w:pPr>
              <w:rPr>
                <w:rFonts w:ascii="Arial" w:hAnsi="Arial" w:cs="Arial"/>
                <w:sz w:val="20"/>
                <w:szCs w:val="20"/>
              </w:rPr>
            </w:pPr>
            <w:r w:rsidRPr="00123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123966" w:rsidRDefault="00123966"/>
    <w:sectPr w:rsidR="00123966" w:rsidSect="00123966">
      <w:headerReference w:type="default" r:id="rId8"/>
      <w:footerReference w:type="default" r:id="rId9"/>
      <w:pgSz w:w="16838" w:h="11906" w:orient="landscape"/>
      <w:pgMar w:top="851" w:right="766" w:bottom="720" w:left="28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60" w:rsidRDefault="00704260">
      <w:r>
        <w:separator/>
      </w:r>
    </w:p>
  </w:endnote>
  <w:endnote w:type="continuationSeparator" w:id="0">
    <w:p w:rsidR="00704260" w:rsidRDefault="0070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807962"/>
      <w:docPartObj>
        <w:docPartGallery w:val="Page Numbers (Bottom of Page)"/>
        <w:docPartUnique/>
      </w:docPartObj>
    </w:sdtPr>
    <w:sdtEndPr/>
    <w:sdtContent>
      <w:p w:rsidR="00347558" w:rsidRDefault="00347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BC">
          <w:rPr>
            <w:noProof/>
          </w:rPr>
          <w:t>12</w:t>
        </w:r>
        <w:r>
          <w:fldChar w:fldCharType="end"/>
        </w:r>
      </w:p>
    </w:sdtContent>
  </w:sdt>
  <w:p w:rsidR="00347558" w:rsidRDefault="00347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60" w:rsidRDefault="00704260">
      <w:r>
        <w:separator/>
      </w:r>
    </w:p>
  </w:footnote>
  <w:footnote w:type="continuationSeparator" w:id="0">
    <w:p w:rsidR="00704260" w:rsidRDefault="0070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FA" w:rsidRDefault="002D38BC" w:rsidP="002D38BC">
    <w:pPr>
      <w:pStyle w:val="Nagwek"/>
      <w:tabs>
        <w:tab w:val="clear" w:pos="4536"/>
        <w:tab w:val="clear" w:pos="9072"/>
        <w:tab w:val="left" w:pos="6765"/>
      </w:tabs>
      <w:jc w:val="center"/>
    </w:pPr>
    <w:r>
      <w:rPr>
        <w:noProof/>
      </w:rPr>
      <w:drawing>
        <wp:inline distT="0" distB="0" distL="0" distR="0" wp14:anchorId="2301C500">
          <wp:extent cx="5974715" cy="847725"/>
          <wp:effectExtent l="0" t="0" r="6985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38BC" w:rsidRPr="008B77F7" w:rsidRDefault="002D38BC" w:rsidP="002D38BC">
    <w:pPr>
      <w:spacing w:line="360" w:lineRule="auto"/>
      <w:ind w:left="567"/>
      <w:rPr>
        <w:rFonts w:ascii="Arial" w:hAnsi="Arial" w:cs="Arial"/>
        <w:sz w:val="22"/>
        <w:szCs w:val="22"/>
        <w:lang w:val="en-US"/>
      </w:rPr>
    </w:pPr>
    <w:r w:rsidRPr="002359FC">
      <w:rPr>
        <w:rFonts w:ascii="Arial" w:hAnsi="Arial" w:cs="Arial"/>
        <w:sz w:val="22"/>
        <w:szCs w:val="22"/>
        <w:lang w:val="en-US"/>
      </w:rPr>
      <w:t>ZOU-XII.271.</w:t>
    </w:r>
    <w:r>
      <w:rPr>
        <w:rFonts w:ascii="Arial" w:hAnsi="Arial" w:cs="Arial"/>
        <w:sz w:val="22"/>
        <w:szCs w:val="22"/>
        <w:lang w:val="en-US"/>
      </w:rPr>
      <w:t>137</w:t>
    </w:r>
    <w:r w:rsidRPr="002359FC">
      <w:rPr>
        <w:rFonts w:ascii="Arial" w:hAnsi="Arial" w:cs="Arial"/>
        <w:sz w:val="22"/>
        <w:szCs w:val="22"/>
        <w:lang w:val="en-US"/>
      </w:rPr>
      <w:t>.2019.AS</w:t>
    </w:r>
    <w:r w:rsidRPr="002359FC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NOWY </w:t>
    </w:r>
    <w:r>
      <w:rPr>
        <w:rFonts w:ascii="Arial" w:hAnsi="Arial" w:cs="Arial"/>
        <w:b/>
        <w:sz w:val="22"/>
        <w:szCs w:val="22"/>
      </w:rPr>
      <w:t>Z</w:t>
    </w:r>
    <w:r w:rsidRPr="002359FC">
      <w:rPr>
        <w:rFonts w:ascii="Arial" w:hAnsi="Arial" w:cs="Arial"/>
        <w:b/>
        <w:sz w:val="22"/>
        <w:szCs w:val="22"/>
      </w:rPr>
      <w:t>ałącznik 1 do umowy</w:t>
    </w:r>
    <w:r>
      <w:rPr>
        <w:rFonts w:ascii="Arial" w:hAnsi="Arial" w:cs="Arial"/>
        <w:b/>
        <w:sz w:val="22"/>
        <w:szCs w:val="22"/>
      </w:rPr>
      <w:t xml:space="preserve"> – Część I</w:t>
    </w:r>
  </w:p>
  <w:p w:rsidR="00832FFA" w:rsidRDefault="00832FFA" w:rsidP="002D38B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3C2"/>
    <w:multiLevelType w:val="multilevel"/>
    <w:tmpl w:val="64EE8F7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A"/>
    <w:rsid w:val="000964C2"/>
    <w:rsid w:val="00123966"/>
    <w:rsid w:val="002662EB"/>
    <w:rsid w:val="002D38BC"/>
    <w:rsid w:val="00347558"/>
    <w:rsid w:val="006B3336"/>
    <w:rsid w:val="00704260"/>
    <w:rsid w:val="00832FFA"/>
    <w:rsid w:val="00A33811"/>
    <w:rsid w:val="00C8166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986D3D"/>
  <w15:docId w15:val="{FD74C5A6-29B2-4D36-8688-BF913A1B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F2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EB2"/>
    <w:pPr>
      <w:keepNext/>
      <w:numPr>
        <w:numId w:val="1"/>
      </w:numPr>
      <w:ind w:left="431" w:hanging="431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D7EB2"/>
    <w:pPr>
      <w:keepNext/>
      <w:numPr>
        <w:ilvl w:val="1"/>
        <w:numId w:val="1"/>
      </w:numPr>
      <w:ind w:left="578" w:hanging="578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D7EB2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4D7EB2"/>
    <w:pPr>
      <w:keepNext/>
      <w:numPr>
        <w:ilvl w:val="3"/>
        <w:numId w:val="1"/>
      </w:numPr>
      <w:ind w:left="862" w:hanging="862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4D7EB2"/>
    <w:pPr>
      <w:numPr>
        <w:ilvl w:val="4"/>
        <w:numId w:val="1"/>
      </w:numPr>
      <w:ind w:left="1009" w:hanging="1009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4D7EB2"/>
    <w:pPr>
      <w:numPr>
        <w:ilvl w:val="5"/>
        <w:numId w:val="1"/>
      </w:numPr>
      <w:ind w:left="1151" w:hanging="1151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4D7EB2"/>
    <w:pPr>
      <w:numPr>
        <w:ilvl w:val="6"/>
        <w:numId w:val="1"/>
      </w:numPr>
      <w:ind w:left="1298" w:hanging="1298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D7EB2"/>
    <w:pPr>
      <w:numPr>
        <w:ilvl w:val="7"/>
        <w:numId w:val="1"/>
      </w:numPr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4D7EB2"/>
    <w:pPr>
      <w:numPr>
        <w:ilvl w:val="8"/>
        <w:numId w:val="1"/>
      </w:numPr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D7EB2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D7EB2"/>
    <w:rPr>
      <w:rFonts w:ascii="Times New Roman" w:eastAsia="Times New Roman" w:hAnsi="Times New Roman" w:cs="Times New Roman"/>
      <w:b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D7EB2"/>
    <w:rPr>
      <w:rFonts w:ascii="Times New Roman" w:eastAsia="Times New Roman" w:hAnsi="Times New Roman" w:cs="Times New Roman"/>
      <w:i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D7EB2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D7EB2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D7EB2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D7EB2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D7EB2"/>
    <w:rPr>
      <w:rFonts w:ascii="Times New Roman" w:eastAsia="Times New Roman" w:hAnsi="Times New Roman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D7EB2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D7EB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4D7EB2"/>
    <w:rPr>
      <w:rFonts w:ascii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D7EB2"/>
  </w:style>
  <w:style w:type="character" w:customStyle="1" w:styleId="NagwekZnak">
    <w:name w:val="Nagłówek Znak"/>
    <w:basedOn w:val="Domylnaczcionkaakapitu"/>
    <w:link w:val="Nagwek"/>
    <w:uiPriority w:val="99"/>
    <w:qFormat/>
    <w:rsid w:val="00E611D6"/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11D6"/>
    <w:rPr>
      <w:rFonts w:ascii="Times New Roman" w:eastAsia="Times New Roman" w:hAnsi="Times New Roman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1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220D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aps">
    <w:name w:val="caps"/>
    <w:basedOn w:val="Domylnaczcionkaakapitu"/>
    <w:qFormat/>
    <w:rsid w:val="008812C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623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6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62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b w:val="0"/>
      <w:sz w:val="20"/>
      <w:szCs w:val="20"/>
    </w:rPr>
  </w:style>
  <w:style w:type="character" w:customStyle="1" w:styleId="ListLabel12">
    <w:name w:val="ListLabel 12"/>
    <w:qFormat/>
    <w:rPr>
      <w:b w:val="0"/>
      <w:sz w:val="20"/>
      <w:szCs w:val="20"/>
    </w:rPr>
  </w:style>
  <w:style w:type="character" w:customStyle="1" w:styleId="ListLabel13">
    <w:name w:val="ListLabel 13"/>
    <w:qFormat/>
    <w:rPr>
      <w:b w:val="0"/>
      <w:sz w:val="20"/>
      <w:szCs w:val="20"/>
    </w:rPr>
  </w:style>
  <w:style w:type="character" w:customStyle="1" w:styleId="ListLabel14">
    <w:name w:val="ListLabel 14"/>
    <w:qFormat/>
    <w:rPr>
      <w:b w:val="0"/>
      <w:sz w:val="20"/>
      <w:szCs w:val="20"/>
    </w:rPr>
  </w:style>
  <w:style w:type="character" w:customStyle="1" w:styleId="ListLabel15">
    <w:name w:val="ListLabel 15"/>
    <w:qFormat/>
    <w:rPr>
      <w:b w:val="0"/>
      <w:sz w:val="20"/>
      <w:szCs w:val="20"/>
    </w:rPr>
  </w:style>
  <w:style w:type="character" w:customStyle="1" w:styleId="ListLabel16">
    <w:name w:val="ListLabel 16"/>
    <w:qFormat/>
    <w:rPr>
      <w:b w:val="0"/>
      <w:sz w:val="20"/>
      <w:szCs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11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4D7EB2"/>
    <w:rPr>
      <w:rFonts w:ascii="Calibri" w:eastAsiaTheme="minorHAnsi" w:hAnsi="Calibri" w:cstheme="minorBidi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4D7EB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1D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11D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9220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812C0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6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623D"/>
    <w:rPr>
      <w:b/>
      <w:bCs/>
    </w:rPr>
  </w:style>
  <w:style w:type="paragraph" w:styleId="Akapitzlist">
    <w:name w:val="List Paragraph"/>
    <w:basedOn w:val="Normalny"/>
    <w:uiPriority w:val="34"/>
    <w:qFormat/>
    <w:rsid w:val="000940FC"/>
    <w:pPr>
      <w:ind w:left="720"/>
      <w:contextualSpacing/>
    </w:pPr>
  </w:style>
  <w:style w:type="table" w:styleId="Tabela-Siatka">
    <w:name w:val="Table Grid"/>
    <w:basedOn w:val="Standardowy"/>
    <w:rsid w:val="0001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A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04F05-6022-418F-88BD-BBE5CF3E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3521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Frankowski</dc:creator>
  <cp:keywords/>
  <dc:description/>
  <cp:lastModifiedBy>Agata Skrobot</cp:lastModifiedBy>
  <cp:revision>3</cp:revision>
  <cp:lastPrinted>2018-10-10T14:51:00Z</cp:lastPrinted>
  <dcterms:created xsi:type="dcterms:W3CDTF">2020-01-15T13:50:00Z</dcterms:created>
  <dcterms:modified xsi:type="dcterms:W3CDTF">2020-01-15T14:01:00Z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