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FDB" w:rsidRPr="00BF2834" w:rsidRDefault="00AF0FDB" w:rsidP="0049131C">
      <w:pPr>
        <w:pStyle w:val="Title"/>
        <w:spacing w:line="276" w:lineRule="auto"/>
        <w:jc w:val="left"/>
        <w:rPr>
          <w:rFonts w:ascii="Cambria" w:hAnsi="Cambria" w:cs="Cambria"/>
          <w:b/>
          <w:bCs/>
          <w:spacing w:val="20"/>
        </w:rPr>
      </w:pPr>
      <w:bookmarkStart w:id="0" w:name="_Toc411600310"/>
      <w:bookmarkStart w:id="1" w:name="_Toc505940820"/>
      <w:bookmarkStart w:id="2" w:name="_Toc505941330"/>
      <w:bookmarkStart w:id="3" w:name="_Toc506553958"/>
      <w:bookmarkStart w:id="4" w:name="_Toc412019522"/>
      <w:bookmarkStart w:id="5" w:name="_Toc179807"/>
      <w:bookmarkStart w:id="6" w:name="_Toc179909"/>
      <w:bookmarkStart w:id="7" w:name="_Toc855341"/>
      <w:bookmarkStart w:id="8" w:name="_Toc938784"/>
      <w:r>
        <w:rPr>
          <w:noProof/>
        </w:rPr>
        <w:pict>
          <v:group id="_x0000_s1026" style="position:absolute;margin-left:-42.4pt;margin-top:2pt;width:89.1pt;height:92.25pt;z-index:251659264" coordorigin="2248,1350" coordsize="1744,1613">
            <o:lock v:ext="edit" aspectratio="t"/>
            <v:oval id="_x0000_s1027" style="position:absolute;left:2248;top:1350;width:1744;height:1613;mso-wrap-style:none;v-text-anchor:middle" fillcolor="navy" strokecolor="silver" strokeweight="3pt">
              <o:lock v:ext="edit" aspectratio="t"/>
            </v:oval>
            <v:oval id="_x0000_s1028" style="position:absolute;left:2457;top:1543;width:1326;height:1227;mso-wrap-style:none;v-text-anchor:middle" fillcolor="#f30" strokecolor="silver" strokeweight="3pt">
              <o:lock v:ext="edit" aspectratio="t"/>
            </v:oval>
            <v:rect id="_x0000_s1029" style="position:absolute;left:2786;top:1781;width:663;height:748;mso-wrap-style:none;v-text-anchor:middle" strokecolor="silver" strokeweight="2.5pt">
              <o:lock v:ext="edit" aspectratio="t"/>
            </v:rect>
            <v:rect id="_x0000_s1030" style="position:absolute;left:2715;top:1843;width:810;height:618;mso-wrap-style:none;v-text-anchor:middle" strokecolor="silver" strokeweight="2.5pt">
              <o:lock v:ext="edit" aspectratio="t"/>
            </v:re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31" type="#_x0000_t146" style="position:absolute;left:2412;top:1479;width:1424;height:1315;rotation:2892376fd" adj=",5400" stroked="f">
              <v:shadow color="#868686"/>
              <v:textpath style="font-family:&quot;Arial Black&quot;;font-size:10pt" fitshape="t" trim="t" string="PAŃSTWOWA                                                          "/>
              <o:lock v:ext="edit" aspectratio="t"/>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5" style="position:absolute;left:2370;top:1602;width:1522;height:1291;rotation:23071153fd" adj=",5400" stroked="f">
              <v:shadow color="#868686"/>
              <v:textpath style="font-family:&quot;Arial Black&quot;;font-size:10pt" fitshape="t" trim="t" string="INSPEKCJA SANITARNA    "/>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795;top:1856;width:626;height:601">
              <v:imagedata r:id="rId7" o:title=""/>
            </v:shape>
            <v:rect id="_x0000_s1034" style="position:absolute;left:2798;top:2454;width:637;height:45;mso-wrap-style:none;v-text-anchor:middle" strokecolor="white">
              <o:lock v:ext="edit" aspectratio="t"/>
            </v:rect>
            <v:rect id="_x0000_s1035" style="position:absolute;left:2798;top:1808;width:637;height:45;mso-wrap-style:none;v-text-anchor:middle" strokecolor="white">
              <o:lock v:ext="edit" aspectratio="t"/>
            </v:rect>
          </v:group>
        </w:pict>
      </w:r>
      <w:r>
        <w:rPr>
          <w:rFonts w:ascii="Arial Black" w:hAnsi="Arial Black" w:cs="Arial Black"/>
          <w:color w:val="FFFFFF"/>
          <w:sz w:val="20"/>
          <w:szCs w:val="20"/>
        </w:rPr>
        <w:t>INSPEKCJ</w:t>
      </w:r>
      <w:r w:rsidRPr="00BF2834">
        <w:rPr>
          <w:rFonts w:ascii="Cambria" w:hAnsi="Cambria" w:cs="Cambria"/>
          <w:b/>
          <w:bCs/>
          <w:spacing w:val="20"/>
        </w:rPr>
        <w:t>PAŃSTWOWY POWIATOWY INSPEKTOR SANITARNY</w:t>
      </w:r>
      <w:bookmarkEnd w:id="0"/>
      <w:bookmarkEnd w:id="1"/>
      <w:bookmarkEnd w:id="2"/>
      <w:bookmarkEnd w:id="3"/>
      <w:bookmarkEnd w:id="4"/>
      <w:bookmarkEnd w:id="5"/>
      <w:bookmarkEnd w:id="6"/>
      <w:bookmarkEnd w:id="7"/>
      <w:bookmarkEnd w:id="8"/>
    </w:p>
    <w:p w:rsidR="00AF0FDB" w:rsidRPr="00BF2834" w:rsidRDefault="00AF0FDB" w:rsidP="0073058B">
      <w:pPr>
        <w:jc w:val="center"/>
        <w:rPr>
          <w:rFonts w:ascii="Cambria" w:hAnsi="Cambria" w:cs="Cambria"/>
          <w:b/>
          <w:bCs/>
          <w:spacing w:val="20"/>
          <w:sz w:val="28"/>
          <w:szCs w:val="28"/>
        </w:rPr>
      </w:pPr>
      <w:r w:rsidRPr="00BF2834">
        <w:rPr>
          <w:rFonts w:ascii="Cambria" w:hAnsi="Cambria" w:cs="Cambria"/>
          <w:b/>
          <w:bCs/>
          <w:spacing w:val="20"/>
          <w:sz w:val="28"/>
          <w:szCs w:val="28"/>
        </w:rPr>
        <w:t>W POZNANIU</w:t>
      </w:r>
    </w:p>
    <w:p w:rsidR="00AF0FDB" w:rsidRPr="00BF2834" w:rsidRDefault="00AF0FDB" w:rsidP="0073058B"/>
    <w:p w:rsidR="00AF0FDB" w:rsidRPr="00BF2834" w:rsidRDefault="00AF0FDB" w:rsidP="0073058B"/>
    <w:p w:rsidR="00AF0FDB" w:rsidRPr="00864F31" w:rsidRDefault="00AF0FDB" w:rsidP="0073058B">
      <w:pPr>
        <w:jc w:val="center"/>
        <w:rPr>
          <w:rFonts w:ascii="Cambria" w:hAnsi="Cambria" w:cs="Cambria"/>
          <w:b/>
          <w:bCs/>
          <w:i/>
          <w:iCs/>
          <w:caps/>
          <w:smallCaps/>
          <w:sz w:val="44"/>
          <w:szCs w:val="44"/>
        </w:rPr>
      </w:pPr>
      <w:r w:rsidRPr="00864F31">
        <w:rPr>
          <w:rStyle w:val="BookTitle"/>
          <w:i w:val="0"/>
          <w:iCs w:val="0"/>
          <w:caps/>
          <w:smallCaps/>
          <w:sz w:val="44"/>
          <w:szCs w:val="44"/>
        </w:rPr>
        <w:t xml:space="preserve">Ocena Stanu </w:t>
      </w:r>
      <w:r w:rsidRPr="00864F31">
        <w:rPr>
          <w:rStyle w:val="BookTitle"/>
          <w:i w:val="0"/>
          <w:iCs w:val="0"/>
          <w:caps/>
          <w:smallCaps/>
          <w:sz w:val="44"/>
          <w:szCs w:val="44"/>
        </w:rPr>
        <w:br/>
        <w:t>SanitarnO-EPIDEMIOLOGICZNEGO</w:t>
      </w:r>
      <w:r w:rsidRPr="00864F31">
        <w:rPr>
          <w:rStyle w:val="BookTitle"/>
          <w:i w:val="0"/>
          <w:iCs w:val="0"/>
          <w:caps/>
          <w:smallCaps/>
          <w:sz w:val="44"/>
          <w:szCs w:val="44"/>
        </w:rPr>
        <w:br/>
        <w:t xml:space="preserve">m. Poznania i powiatu poznańskiego </w:t>
      </w:r>
      <w:r w:rsidRPr="00864F31">
        <w:rPr>
          <w:rStyle w:val="BookTitle"/>
          <w:i w:val="0"/>
          <w:iCs w:val="0"/>
          <w:caps/>
          <w:smallCaps/>
          <w:sz w:val="44"/>
          <w:szCs w:val="44"/>
        </w:rPr>
        <w:br/>
        <w:t>Za rok 201</w:t>
      </w:r>
      <w:r>
        <w:rPr>
          <w:rStyle w:val="BookTitle"/>
          <w:i w:val="0"/>
          <w:iCs w:val="0"/>
          <w:caps/>
          <w:smallCaps/>
          <w:sz w:val="44"/>
          <w:szCs w:val="44"/>
        </w:rPr>
        <w:t>8</w:t>
      </w:r>
    </w:p>
    <w:p w:rsidR="00AF0FDB" w:rsidRPr="00BF2834" w:rsidRDefault="00AF0FDB" w:rsidP="009451E5">
      <w:r>
        <w:rPr>
          <w:noProof/>
        </w:rPr>
        <w:pict>
          <v:shape id="Obraz 6" o:spid="_x0000_s1036" type="#_x0000_t75" style="position:absolute;margin-left:109.1pt;margin-top:9.75pt;width:242.25pt;height:310.5pt;z-index:251658240;visibility:visible">
            <v:imagedata r:id="rId8" o:title=""/>
            <w10:wrap type="square"/>
          </v:shape>
        </w:pict>
      </w:r>
      <w:r>
        <w:br w:type="textWrapping" w:clear="all"/>
      </w:r>
    </w:p>
    <w:p w:rsidR="00AF0FDB" w:rsidRPr="00BF2834" w:rsidRDefault="00AF0FDB" w:rsidP="0073058B">
      <w:pPr>
        <w:jc w:val="center"/>
      </w:pPr>
      <w:r w:rsidRPr="00BF2834">
        <w:t>Poznań, luty 201</w:t>
      </w:r>
      <w:r>
        <w:t>9</w:t>
      </w:r>
    </w:p>
    <w:p w:rsidR="00AF0FDB" w:rsidRDefault="00AF0FDB" w:rsidP="009D629B">
      <w:pPr>
        <w:spacing w:before="0" w:after="160" w:line="259" w:lineRule="auto"/>
      </w:pPr>
      <w:r>
        <w:br w:type="page"/>
      </w:r>
    </w:p>
    <w:p w:rsidR="00AF0FDB" w:rsidRDefault="00AF0FDB" w:rsidP="00E502DC">
      <w:pPr>
        <w:pStyle w:val="TOCHeading"/>
        <w:tabs>
          <w:tab w:val="left" w:pos="1995"/>
        </w:tabs>
        <w:rPr>
          <w:rFonts w:cs="Times New Roman"/>
          <w:noProof/>
        </w:rPr>
      </w:pPr>
      <w:r w:rsidRPr="001C274C">
        <w:rPr>
          <w:rFonts w:ascii="Times New Roman" w:hAnsi="Times New Roman" w:cs="Times New Roman"/>
          <w:b/>
          <w:bCs/>
          <w:color w:val="auto"/>
        </w:rPr>
        <w:t>Spis treści</w:t>
      </w:r>
      <w:r w:rsidRPr="00864F31">
        <w:rPr>
          <w:rFonts w:cs="Times New Roman"/>
          <w:color w:val="auto"/>
        </w:rPr>
        <w:tab/>
      </w:r>
      <w:r>
        <w:fldChar w:fldCharType="begin"/>
      </w:r>
      <w:r>
        <w:instrText xml:space="preserve"> TOC \o "1-3" \h \z \u </w:instrText>
      </w:r>
      <w:r>
        <w:fldChar w:fldCharType="separate"/>
      </w:r>
    </w:p>
    <w:p w:rsidR="00AF0FDB" w:rsidRDefault="00AF0FDB">
      <w:pPr>
        <w:pStyle w:val="TOC1"/>
        <w:rPr>
          <w:rFonts w:ascii="Calibri" w:hAnsi="Calibri"/>
          <w:sz w:val="22"/>
          <w:szCs w:val="22"/>
        </w:rPr>
      </w:pPr>
      <w:hyperlink w:anchor="_Toc938785" w:history="1">
        <w:r w:rsidRPr="001C274C">
          <w:rPr>
            <w:rStyle w:val="Hyperlink"/>
            <w:b/>
            <w:bCs/>
          </w:rPr>
          <w:t>WSTĘP</w:t>
        </w:r>
        <w:r>
          <w:rPr>
            <w:webHidden/>
          </w:rPr>
          <w:tab/>
        </w:r>
        <w:r>
          <w:rPr>
            <w:webHidden/>
          </w:rPr>
          <w:fldChar w:fldCharType="begin"/>
        </w:r>
        <w:r>
          <w:rPr>
            <w:webHidden/>
          </w:rPr>
          <w:instrText xml:space="preserve"> PAGEREF _Toc938785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786" w:history="1">
        <w:r w:rsidRPr="001C274C">
          <w:rPr>
            <w:rStyle w:val="Hyperlink"/>
            <w:b/>
            <w:bCs/>
          </w:rPr>
          <w:t>WARUNKI ZDROWOTNE ŚRODOWISKA BYTOWANIA CZŁOWIEKA</w:t>
        </w:r>
        <w:r>
          <w:rPr>
            <w:webHidden/>
          </w:rPr>
          <w:tab/>
        </w:r>
        <w:r>
          <w:rPr>
            <w:webHidden/>
          </w:rPr>
          <w:fldChar w:fldCharType="begin"/>
        </w:r>
        <w:r>
          <w:rPr>
            <w:webHidden/>
          </w:rPr>
          <w:instrText xml:space="preserve"> PAGEREF _Toc938786 \h </w:instrText>
        </w:r>
        <w:r>
          <w:rPr>
            <w:webHidden/>
          </w:rPr>
          <w:fldChar w:fldCharType="separate"/>
        </w:r>
        <w:r>
          <w:rPr>
            <w:webHidden/>
          </w:rPr>
          <w:t>3</w:t>
        </w:r>
        <w:r>
          <w:rPr>
            <w:webHidden/>
          </w:rPr>
          <w:fldChar w:fldCharType="end"/>
        </w:r>
      </w:hyperlink>
    </w:p>
    <w:p w:rsidR="00AF0FDB" w:rsidRDefault="00AF0FDB" w:rsidP="00726C4D">
      <w:pPr>
        <w:pStyle w:val="TOC1"/>
        <w:rPr>
          <w:rFonts w:ascii="Calibri" w:hAnsi="Calibri"/>
          <w:sz w:val="22"/>
          <w:szCs w:val="22"/>
        </w:rPr>
      </w:pPr>
      <w:hyperlink w:anchor="_Toc938787" w:history="1">
        <w:r w:rsidRPr="001A56DB">
          <w:rPr>
            <w:rStyle w:val="Hyperlink"/>
          </w:rPr>
          <w:t>Zaopatrzenie ludności w wodę do picia</w:t>
        </w:r>
      </w:hyperlink>
      <w:r>
        <w:rPr>
          <w:rStyle w:val="Hyperlink"/>
        </w:rPr>
        <w:t xml:space="preserve"> </w:t>
      </w:r>
      <w:hyperlink w:anchor="_Toc938788" w:history="1">
        <w:r w:rsidRPr="001A56DB">
          <w:rPr>
            <w:rStyle w:val="Hyperlink"/>
          </w:rPr>
          <w:t>i na potrzeby gospodarcze</w:t>
        </w:r>
        <w:r>
          <w:rPr>
            <w:webHidden/>
          </w:rPr>
          <w:tab/>
        </w:r>
        <w:r>
          <w:rPr>
            <w:webHidden/>
          </w:rPr>
          <w:fldChar w:fldCharType="begin"/>
        </w:r>
        <w:r>
          <w:rPr>
            <w:webHidden/>
          </w:rPr>
          <w:instrText xml:space="preserve"> PAGEREF _Toc938788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791" w:history="1">
        <w:r w:rsidRPr="001A56DB">
          <w:rPr>
            <w:rStyle w:val="Hyperlink"/>
          </w:rPr>
          <w:t>Badania wody w ośrodkach dializ</w:t>
        </w:r>
        <w:r>
          <w:rPr>
            <w:webHidden/>
          </w:rPr>
          <w:tab/>
        </w:r>
        <w:r>
          <w:rPr>
            <w:webHidden/>
          </w:rPr>
          <w:fldChar w:fldCharType="begin"/>
        </w:r>
        <w:r>
          <w:rPr>
            <w:webHidden/>
          </w:rPr>
          <w:instrText xml:space="preserve"> PAGEREF _Toc938791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792" w:history="1">
        <w:r w:rsidRPr="001A56DB">
          <w:rPr>
            <w:rStyle w:val="Hyperlink"/>
          </w:rPr>
          <w:t>Ocena jakości wody w kąpieliskach oraz miejscach</w:t>
        </w:r>
      </w:hyperlink>
      <w:r>
        <w:rPr>
          <w:rStyle w:val="Hyperlink"/>
          <w:u w:val="none"/>
        </w:rPr>
        <w:t xml:space="preserve"> </w:t>
      </w:r>
      <w:hyperlink w:anchor="_Toc938793" w:history="1">
        <w:r w:rsidRPr="001A56DB">
          <w:rPr>
            <w:rStyle w:val="Hyperlink"/>
          </w:rPr>
          <w:t>wykorzystywanych do kąpieli</w:t>
        </w:r>
        <w:r>
          <w:rPr>
            <w:webHidden/>
          </w:rPr>
          <w:tab/>
        </w:r>
        <w:r>
          <w:rPr>
            <w:webHidden/>
          </w:rPr>
          <w:fldChar w:fldCharType="begin"/>
        </w:r>
        <w:r>
          <w:rPr>
            <w:webHidden/>
          </w:rPr>
          <w:instrText xml:space="preserve"> PAGEREF _Toc938793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794" w:history="1">
        <w:r w:rsidRPr="001A56DB">
          <w:rPr>
            <w:rStyle w:val="Hyperlink"/>
          </w:rPr>
          <w:t>Stan sanitarny placówek lecznictwa</w:t>
        </w:r>
        <w:r>
          <w:rPr>
            <w:webHidden/>
          </w:rPr>
          <w:tab/>
        </w:r>
        <w:r>
          <w:rPr>
            <w:webHidden/>
          </w:rPr>
          <w:fldChar w:fldCharType="begin"/>
        </w:r>
        <w:r>
          <w:rPr>
            <w:webHidden/>
          </w:rPr>
          <w:instrText xml:space="preserve"> PAGEREF _Toc938794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23" w:history="1">
        <w:r w:rsidRPr="001A56DB">
          <w:rPr>
            <w:rStyle w:val="Hyperlink"/>
          </w:rPr>
          <w:t>Lecznictwo zamknięte</w:t>
        </w:r>
        <w:r>
          <w:rPr>
            <w:webHidden/>
          </w:rPr>
          <w:tab/>
        </w:r>
        <w:r>
          <w:rPr>
            <w:webHidden/>
          </w:rPr>
          <w:fldChar w:fldCharType="begin"/>
        </w:r>
        <w:r>
          <w:rPr>
            <w:webHidden/>
          </w:rPr>
          <w:instrText xml:space="preserve"> PAGEREF _Toc938823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24" w:history="1">
        <w:r w:rsidRPr="001A56DB">
          <w:rPr>
            <w:rStyle w:val="Hyperlink"/>
          </w:rPr>
          <w:t>Lecznictwo otwarte</w:t>
        </w:r>
        <w:r>
          <w:rPr>
            <w:webHidden/>
          </w:rPr>
          <w:tab/>
        </w:r>
        <w:r>
          <w:rPr>
            <w:webHidden/>
          </w:rPr>
          <w:fldChar w:fldCharType="begin"/>
        </w:r>
        <w:r>
          <w:rPr>
            <w:webHidden/>
          </w:rPr>
          <w:instrText xml:space="preserve"> PAGEREF _Toc938824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25" w:history="1">
        <w:r w:rsidRPr="001A56DB">
          <w:rPr>
            <w:rStyle w:val="Hyperlink"/>
          </w:rPr>
          <w:t>Domy Pomocy Społecznej</w:t>
        </w:r>
        <w:r>
          <w:rPr>
            <w:webHidden/>
          </w:rPr>
          <w:tab/>
        </w:r>
        <w:r>
          <w:rPr>
            <w:webHidden/>
          </w:rPr>
          <w:fldChar w:fldCharType="begin"/>
        </w:r>
        <w:r>
          <w:rPr>
            <w:webHidden/>
          </w:rPr>
          <w:instrText xml:space="preserve"> PAGEREF _Toc938825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27" w:history="1">
        <w:r w:rsidRPr="001A56DB">
          <w:rPr>
            <w:rStyle w:val="Hyperlink"/>
          </w:rPr>
          <w:t>Ustępy publiczne</w:t>
        </w:r>
        <w:r>
          <w:rPr>
            <w:webHidden/>
          </w:rPr>
          <w:tab/>
        </w:r>
        <w:r>
          <w:rPr>
            <w:webHidden/>
          </w:rPr>
          <w:fldChar w:fldCharType="begin"/>
        </w:r>
        <w:r>
          <w:rPr>
            <w:webHidden/>
          </w:rPr>
          <w:instrText xml:space="preserve"> PAGEREF _Toc938827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28" w:history="1">
        <w:r w:rsidRPr="001A56DB">
          <w:rPr>
            <w:rStyle w:val="Hyperlink"/>
          </w:rPr>
          <w:t>Baza noclegowa</w:t>
        </w:r>
        <w:r>
          <w:rPr>
            <w:webHidden/>
          </w:rPr>
          <w:tab/>
        </w:r>
        <w:r>
          <w:rPr>
            <w:webHidden/>
          </w:rPr>
          <w:fldChar w:fldCharType="begin"/>
        </w:r>
        <w:r>
          <w:rPr>
            <w:webHidden/>
          </w:rPr>
          <w:instrText xml:space="preserve"> PAGEREF _Toc938828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29" w:history="1">
        <w:r w:rsidRPr="001A56DB">
          <w:rPr>
            <w:rStyle w:val="Hyperlink"/>
          </w:rPr>
          <w:t>Nadzór sanitarny nad środkami transportu</w:t>
        </w:r>
      </w:hyperlink>
      <w:hyperlink w:anchor="_Toc938830" w:history="1">
        <w:r w:rsidRPr="001A56DB">
          <w:rPr>
            <w:rStyle w:val="Hyperlink"/>
          </w:rPr>
          <w:t>i obiektami służącymi do prowadzenia transportu</w:t>
        </w:r>
        <w:r>
          <w:rPr>
            <w:webHidden/>
          </w:rPr>
          <w:tab/>
        </w:r>
        <w:r>
          <w:rPr>
            <w:webHidden/>
          </w:rPr>
          <w:fldChar w:fldCharType="begin"/>
        </w:r>
        <w:r>
          <w:rPr>
            <w:webHidden/>
          </w:rPr>
          <w:instrText xml:space="preserve"> PAGEREF _Toc938830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31" w:history="1">
        <w:r w:rsidRPr="001A56DB">
          <w:rPr>
            <w:rStyle w:val="Hyperlink"/>
          </w:rPr>
          <w:t>Zakłady fryzjersko – kosmetyczne, gabinety kosmetyczne,</w:t>
        </w:r>
      </w:hyperlink>
      <w:r>
        <w:rPr>
          <w:rStyle w:val="Hyperlink"/>
        </w:rPr>
        <w:t xml:space="preserve"> </w:t>
      </w:r>
      <w:hyperlink w:anchor="_Toc938832" w:history="1">
        <w:r w:rsidRPr="001A56DB">
          <w:rPr>
            <w:rStyle w:val="Hyperlink"/>
          </w:rPr>
          <w:t>gabinety odnowy biologicznej, gabinety tatuażu, solaria</w:t>
        </w:r>
        <w:r>
          <w:rPr>
            <w:webHidden/>
          </w:rPr>
          <w:tab/>
        </w:r>
        <w:r>
          <w:rPr>
            <w:webHidden/>
          </w:rPr>
          <w:fldChar w:fldCharType="begin"/>
        </w:r>
        <w:r>
          <w:rPr>
            <w:webHidden/>
          </w:rPr>
          <w:instrText xml:space="preserve"> PAGEREF _Toc938832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33" w:history="1">
        <w:r w:rsidRPr="001A56DB">
          <w:rPr>
            <w:rStyle w:val="Hyperlink"/>
          </w:rPr>
          <w:t>Hałas komunalny</w:t>
        </w:r>
        <w:r>
          <w:rPr>
            <w:webHidden/>
          </w:rPr>
          <w:tab/>
        </w:r>
        <w:r>
          <w:rPr>
            <w:webHidden/>
          </w:rPr>
          <w:fldChar w:fldCharType="begin"/>
        </w:r>
        <w:r>
          <w:rPr>
            <w:webHidden/>
          </w:rPr>
          <w:instrText xml:space="preserve"> PAGEREF _Toc938833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34" w:history="1">
        <w:r w:rsidRPr="001A56DB">
          <w:rPr>
            <w:rStyle w:val="Hyperlink"/>
          </w:rPr>
          <w:t>Interwencje</w:t>
        </w:r>
        <w:r>
          <w:rPr>
            <w:webHidden/>
          </w:rPr>
          <w:tab/>
        </w:r>
        <w:r>
          <w:rPr>
            <w:webHidden/>
          </w:rPr>
          <w:fldChar w:fldCharType="begin"/>
        </w:r>
        <w:r>
          <w:rPr>
            <w:webHidden/>
          </w:rPr>
          <w:instrText xml:space="preserve"> PAGEREF _Toc938834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35" w:history="1">
        <w:r w:rsidRPr="005913C3">
          <w:rPr>
            <w:rStyle w:val="Hyperlink"/>
            <w:b/>
            <w:bCs/>
          </w:rPr>
          <w:t>WARUNKI</w:t>
        </w:r>
        <w:r w:rsidRPr="001A56DB">
          <w:rPr>
            <w:rStyle w:val="Hyperlink"/>
          </w:rPr>
          <w:t xml:space="preserve"> </w:t>
        </w:r>
        <w:r w:rsidRPr="005913C3">
          <w:rPr>
            <w:rStyle w:val="Hyperlink"/>
            <w:b/>
            <w:bCs/>
          </w:rPr>
          <w:t>SANITARNO-HIGIENICZNE</w:t>
        </w:r>
      </w:hyperlink>
      <w:r>
        <w:rPr>
          <w:rStyle w:val="Hyperlink"/>
          <w:u w:val="none"/>
        </w:rPr>
        <w:t xml:space="preserve"> </w:t>
      </w:r>
      <w:hyperlink w:anchor="_Toc938836" w:history="1">
        <w:r w:rsidRPr="005913C3">
          <w:rPr>
            <w:rStyle w:val="Hyperlink"/>
            <w:b/>
            <w:bCs/>
          </w:rPr>
          <w:t>ŚRODOWISKA PRACY</w:t>
        </w:r>
        <w:r>
          <w:rPr>
            <w:webHidden/>
          </w:rPr>
          <w:tab/>
        </w:r>
        <w:r>
          <w:rPr>
            <w:webHidden/>
          </w:rPr>
          <w:fldChar w:fldCharType="begin"/>
        </w:r>
        <w:r>
          <w:rPr>
            <w:webHidden/>
          </w:rPr>
          <w:instrText xml:space="preserve"> PAGEREF _Toc938836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37" w:history="1">
        <w:r w:rsidRPr="001A56DB">
          <w:rPr>
            <w:rStyle w:val="Hyperlink"/>
          </w:rPr>
          <w:t>Działalność kontrolna</w:t>
        </w:r>
      </w:hyperlink>
      <w:r>
        <w:rPr>
          <w:rStyle w:val="Hyperlink"/>
          <w:u w:val="none"/>
        </w:rPr>
        <w:t xml:space="preserve"> </w:t>
      </w:r>
      <w:hyperlink w:anchor="_Toc938838" w:history="1">
        <w:r w:rsidRPr="001A56DB">
          <w:rPr>
            <w:rStyle w:val="Hyperlink"/>
          </w:rPr>
          <w:t>w ramach bieżącego nadzoru sanitarnego</w:t>
        </w:r>
        <w:r>
          <w:rPr>
            <w:webHidden/>
          </w:rPr>
          <w:tab/>
        </w:r>
        <w:r>
          <w:rPr>
            <w:webHidden/>
          </w:rPr>
          <w:fldChar w:fldCharType="begin"/>
        </w:r>
        <w:r>
          <w:rPr>
            <w:webHidden/>
          </w:rPr>
          <w:instrText xml:space="preserve"> PAGEREF _Toc938838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39" w:history="1">
        <w:r w:rsidRPr="001A56DB">
          <w:rPr>
            <w:rStyle w:val="Hyperlink"/>
          </w:rPr>
          <w:t>Kontrole w ramach bieżącego nadzoru sanitarnego</w:t>
        </w:r>
        <w:r>
          <w:rPr>
            <w:webHidden/>
          </w:rPr>
          <w:tab/>
        </w:r>
        <w:r>
          <w:rPr>
            <w:webHidden/>
          </w:rPr>
          <w:fldChar w:fldCharType="begin"/>
        </w:r>
        <w:r>
          <w:rPr>
            <w:webHidden/>
          </w:rPr>
          <w:instrText xml:space="preserve"> PAGEREF _Toc938839 \h </w:instrText>
        </w:r>
        <w:r>
          <w:rPr>
            <w:webHidden/>
          </w:rPr>
          <w:fldChar w:fldCharType="separate"/>
        </w:r>
        <w:r>
          <w:rPr>
            <w:webHidden/>
          </w:rPr>
          <w:t>3</w:t>
        </w:r>
        <w:r>
          <w:rPr>
            <w:webHidden/>
          </w:rPr>
          <w:fldChar w:fldCharType="end"/>
        </w:r>
      </w:hyperlink>
      <w:hyperlink w:anchor="_Toc938840" w:history="1">
        <w:r w:rsidRPr="00A3267F">
          <w:rPr>
            <w:rStyle w:val="Hyperlink"/>
            <w:noProof w:val="0"/>
          </w:rPr>
          <w:t>_Toc938840</w:t>
        </w:r>
      </w:hyperlink>
    </w:p>
    <w:p w:rsidR="00AF0FDB" w:rsidRDefault="00AF0FDB">
      <w:pPr>
        <w:pStyle w:val="TOC1"/>
        <w:rPr>
          <w:rFonts w:ascii="Calibri" w:hAnsi="Calibri"/>
          <w:sz w:val="22"/>
          <w:szCs w:val="22"/>
        </w:rPr>
      </w:pPr>
      <w:hyperlink w:anchor="_Toc938841" w:history="1">
        <w:r w:rsidRPr="00A3267F">
          <w:rPr>
            <w:rStyle w:val="Hyperlink"/>
            <w:noProof w:val="0"/>
          </w:rPr>
          <w:t>_Toc938841</w:t>
        </w:r>
      </w:hyperlink>
      <w:hyperlink w:anchor="_Toc938842" w:history="1">
        <w:r w:rsidRPr="00A3267F">
          <w:rPr>
            <w:rStyle w:val="Hyperlink"/>
            <w:noProof w:val="0"/>
          </w:rPr>
          <w:t>_Toc938842</w:t>
        </w:r>
      </w:hyperlink>
      <w:hyperlink w:anchor="_Toc938843" w:history="1">
        <w:r w:rsidRPr="001A56DB">
          <w:rPr>
            <w:rStyle w:val="Hyperlink"/>
          </w:rPr>
          <w:t>Narażenie na czynniki szkodliwe dla zdrowia</w:t>
        </w:r>
        <w:r>
          <w:rPr>
            <w:webHidden/>
          </w:rPr>
          <w:tab/>
        </w:r>
        <w:r>
          <w:rPr>
            <w:webHidden/>
          </w:rPr>
          <w:fldChar w:fldCharType="begin"/>
        </w:r>
        <w:r>
          <w:rPr>
            <w:webHidden/>
          </w:rPr>
          <w:instrText xml:space="preserve"> PAGEREF _Toc938843 \h </w:instrText>
        </w:r>
        <w:r>
          <w:rPr>
            <w:webHidden/>
          </w:rPr>
          <w:fldChar w:fldCharType="separate"/>
        </w:r>
        <w:r>
          <w:rPr>
            <w:webHidden/>
          </w:rPr>
          <w:t>3</w:t>
        </w:r>
        <w:r>
          <w:rPr>
            <w:webHidden/>
          </w:rPr>
          <w:fldChar w:fldCharType="end"/>
        </w:r>
      </w:hyperlink>
    </w:p>
    <w:p w:rsidR="00AF0FDB" w:rsidRDefault="00AF0FDB">
      <w:pPr>
        <w:pStyle w:val="TOC1"/>
      </w:pPr>
      <w:hyperlink w:anchor="_Toc938844" w:history="1">
        <w:r w:rsidRPr="001A56DB">
          <w:rPr>
            <w:rStyle w:val="Hyperlink"/>
          </w:rPr>
          <w:t>Postępowanie administracyjne</w:t>
        </w:r>
        <w:r>
          <w:rPr>
            <w:webHidden/>
          </w:rPr>
          <w:tab/>
        </w:r>
        <w:r>
          <w:rPr>
            <w:webHidden/>
          </w:rPr>
          <w:fldChar w:fldCharType="begin"/>
        </w:r>
        <w:r>
          <w:rPr>
            <w:webHidden/>
          </w:rPr>
          <w:instrText xml:space="preserve"> PAGEREF _Toc938844 \h </w:instrText>
        </w:r>
        <w:r>
          <w:rPr>
            <w:webHidden/>
          </w:rPr>
          <w:fldChar w:fldCharType="separate"/>
        </w:r>
        <w:r>
          <w:rPr>
            <w:webHidden/>
          </w:rPr>
          <w:t>3</w:t>
        </w:r>
        <w:r>
          <w:rPr>
            <w:webHidden/>
          </w:rPr>
          <w:fldChar w:fldCharType="end"/>
        </w:r>
      </w:hyperlink>
    </w:p>
    <w:p w:rsidR="00AF0FDB" w:rsidRPr="00AD27A2" w:rsidRDefault="00AF0FDB" w:rsidP="00AD27A2">
      <w:r>
        <w:t>Nadzór nad czynnikami rakotwórczymi i mutagennymi w środowisku pracy…….……….   44</w:t>
      </w:r>
    </w:p>
    <w:p w:rsidR="00AF0FDB" w:rsidRDefault="00AF0FDB">
      <w:pPr>
        <w:pStyle w:val="TOC1"/>
        <w:rPr>
          <w:rFonts w:ascii="Calibri" w:hAnsi="Calibri"/>
          <w:sz w:val="22"/>
          <w:szCs w:val="22"/>
        </w:rPr>
      </w:pPr>
      <w:hyperlink w:anchor="_Toc938845" w:history="1">
        <w:r w:rsidRPr="001A56DB">
          <w:rPr>
            <w:rStyle w:val="Hyperlink"/>
          </w:rPr>
          <w:t>Nadzór nad szkodliwymi czynnikami biologicznymi</w:t>
        </w:r>
        <w:r>
          <w:rPr>
            <w:webHidden/>
          </w:rPr>
          <w:tab/>
        </w:r>
        <w:r>
          <w:rPr>
            <w:webHidden/>
          </w:rPr>
          <w:fldChar w:fldCharType="begin"/>
        </w:r>
        <w:r>
          <w:rPr>
            <w:webHidden/>
          </w:rPr>
          <w:instrText xml:space="preserve"> PAGEREF _Toc938845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46" w:history="1">
        <w:r w:rsidRPr="001A56DB">
          <w:rPr>
            <w:rStyle w:val="Hyperlink"/>
          </w:rPr>
          <w:t>Nadzór nad substancjami chemicznymi</w:t>
        </w:r>
      </w:hyperlink>
      <w:r>
        <w:rPr>
          <w:rStyle w:val="Hyperlink"/>
        </w:rPr>
        <w:t xml:space="preserve"> </w:t>
      </w:r>
      <w:hyperlink w:anchor="_Toc938847" w:history="1">
        <w:r w:rsidRPr="001A56DB">
          <w:rPr>
            <w:rStyle w:val="Hyperlink"/>
          </w:rPr>
          <w:t>i ich mieszaninami</w:t>
        </w:r>
        <w:r>
          <w:rPr>
            <w:webHidden/>
          </w:rPr>
          <w:tab/>
        </w:r>
        <w:r>
          <w:rPr>
            <w:webHidden/>
          </w:rPr>
          <w:fldChar w:fldCharType="begin"/>
        </w:r>
        <w:r>
          <w:rPr>
            <w:webHidden/>
          </w:rPr>
          <w:instrText xml:space="preserve"> PAGEREF _Toc938847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48" w:history="1">
        <w:r w:rsidRPr="00726C4D">
          <w:rPr>
            <w:rStyle w:val="Hyperlink"/>
            <w:u w:val="none"/>
          </w:rPr>
          <w:t>Choroby zawodowe</w:t>
        </w:r>
        <w:r>
          <w:rPr>
            <w:webHidden/>
          </w:rPr>
          <w:tab/>
        </w:r>
        <w:r>
          <w:rPr>
            <w:webHidden/>
          </w:rPr>
          <w:fldChar w:fldCharType="begin"/>
        </w:r>
        <w:r>
          <w:rPr>
            <w:webHidden/>
          </w:rPr>
          <w:instrText xml:space="preserve"> PAGEREF _Toc938848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3" w:history="1">
        <w:r w:rsidRPr="001A56DB">
          <w:rPr>
            <w:rStyle w:val="Hyperlink"/>
          </w:rPr>
          <w:t>Podsumowanie</w:t>
        </w:r>
        <w:r>
          <w:rPr>
            <w:webHidden/>
          </w:rPr>
          <w:tab/>
        </w:r>
        <w:r>
          <w:rPr>
            <w:webHidden/>
          </w:rPr>
          <w:fldChar w:fldCharType="begin"/>
        </w:r>
        <w:r>
          <w:rPr>
            <w:webHidden/>
          </w:rPr>
          <w:instrText xml:space="preserve"> PAGEREF _Toc938853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4" w:history="1">
        <w:r w:rsidRPr="005913C3">
          <w:rPr>
            <w:rStyle w:val="Hyperlink"/>
            <w:b/>
            <w:bCs/>
          </w:rPr>
          <w:t>OBIEKTY  NAUCZANIA I WYCHOWANIA</w:t>
        </w:r>
        <w:r>
          <w:rPr>
            <w:webHidden/>
          </w:rPr>
          <w:tab/>
        </w:r>
        <w:r>
          <w:rPr>
            <w:webHidden/>
          </w:rPr>
          <w:fldChar w:fldCharType="begin"/>
        </w:r>
        <w:r>
          <w:rPr>
            <w:webHidden/>
          </w:rPr>
          <w:instrText xml:space="preserve"> PAGEREF _Toc938854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5" w:history="1">
        <w:r w:rsidRPr="001A56DB">
          <w:rPr>
            <w:rStyle w:val="Hyperlink"/>
          </w:rPr>
          <w:t>Placówki nauczania i wychowania</w:t>
        </w:r>
        <w:r>
          <w:rPr>
            <w:webHidden/>
          </w:rPr>
          <w:tab/>
        </w:r>
        <w:r>
          <w:rPr>
            <w:webHidden/>
          </w:rPr>
          <w:fldChar w:fldCharType="begin"/>
        </w:r>
        <w:r>
          <w:rPr>
            <w:webHidden/>
          </w:rPr>
          <w:instrText xml:space="preserve"> PAGEREF _Toc938855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6" w:history="1">
        <w:r w:rsidRPr="001A56DB">
          <w:rPr>
            <w:rStyle w:val="Hyperlink"/>
            <w:rFonts w:eastAsia="Arial Unicode MS"/>
          </w:rPr>
          <w:t>Decyzje administracyjne</w:t>
        </w:r>
        <w:r>
          <w:rPr>
            <w:webHidden/>
          </w:rPr>
          <w:tab/>
        </w:r>
        <w:r>
          <w:rPr>
            <w:webHidden/>
          </w:rPr>
          <w:fldChar w:fldCharType="begin"/>
        </w:r>
        <w:r>
          <w:rPr>
            <w:webHidden/>
          </w:rPr>
          <w:instrText xml:space="preserve"> PAGEREF _Toc938856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7" w:history="1">
        <w:r w:rsidRPr="001A56DB">
          <w:rPr>
            <w:rStyle w:val="Hyperlink"/>
          </w:rPr>
          <w:t>Analiza rozkładu zajęć</w:t>
        </w:r>
        <w:r>
          <w:rPr>
            <w:webHidden/>
          </w:rPr>
          <w:tab/>
        </w:r>
        <w:r>
          <w:rPr>
            <w:webHidden/>
          </w:rPr>
          <w:fldChar w:fldCharType="begin"/>
        </w:r>
        <w:r>
          <w:rPr>
            <w:webHidden/>
          </w:rPr>
          <w:instrText xml:space="preserve"> PAGEREF _Toc938857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8" w:history="1">
        <w:r w:rsidRPr="001A56DB">
          <w:rPr>
            <w:rStyle w:val="Hyperlink"/>
          </w:rPr>
          <w:t>Ergonomia w placówkach nauczania i wychowania</w:t>
        </w:r>
        <w:r>
          <w:rPr>
            <w:webHidden/>
          </w:rPr>
          <w:tab/>
        </w:r>
        <w:r>
          <w:rPr>
            <w:webHidden/>
          </w:rPr>
          <w:fldChar w:fldCharType="begin"/>
        </w:r>
        <w:r>
          <w:rPr>
            <w:webHidden/>
          </w:rPr>
          <w:instrText xml:space="preserve"> PAGEREF _Toc938858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59" w:history="1">
        <w:r w:rsidRPr="001A56DB">
          <w:rPr>
            <w:rStyle w:val="Hyperlink"/>
            <w:rFonts w:eastAsia="Arial Unicode MS"/>
          </w:rPr>
          <w:t>Nadzór nad substancjami</w:t>
        </w:r>
      </w:hyperlink>
      <w:r>
        <w:rPr>
          <w:rStyle w:val="Hyperlink"/>
        </w:rPr>
        <w:t xml:space="preserve"> </w:t>
      </w:r>
      <w:hyperlink w:anchor="_Toc938860" w:history="1">
        <w:r w:rsidRPr="001A56DB">
          <w:rPr>
            <w:rStyle w:val="Hyperlink"/>
            <w:rFonts w:eastAsia="Arial Unicode MS"/>
          </w:rPr>
          <w:t>i preparatami chemicznymi w szkołach</w:t>
        </w:r>
        <w:r>
          <w:rPr>
            <w:webHidden/>
          </w:rPr>
          <w:tab/>
        </w:r>
        <w:r>
          <w:rPr>
            <w:webHidden/>
          </w:rPr>
          <w:fldChar w:fldCharType="begin"/>
        </w:r>
        <w:r>
          <w:rPr>
            <w:webHidden/>
          </w:rPr>
          <w:instrText xml:space="preserve"> PAGEREF _Toc938860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1" w:history="1">
        <w:r w:rsidRPr="001A56DB">
          <w:rPr>
            <w:rStyle w:val="Hyperlink"/>
            <w:rFonts w:eastAsia="Arial Unicode MS"/>
          </w:rPr>
          <w:t>Wypoczynek dla dzieci i młodzieży</w:t>
        </w:r>
        <w:r>
          <w:rPr>
            <w:webHidden/>
          </w:rPr>
          <w:tab/>
        </w:r>
        <w:r>
          <w:rPr>
            <w:webHidden/>
          </w:rPr>
          <w:fldChar w:fldCharType="begin"/>
        </w:r>
        <w:r>
          <w:rPr>
            <w:webHidden/>
          </w:rPr>
          <w:instrText xml:space="preserve"> PAGEREF _Toc938861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2" w:history="1">
        <w:r w:rsidRPr="001A56DB">
          <w:rPr>
            <w:rStyle w:val="Hyperlink"/>
          </w:rPr>
          <w:t>Podsumowanie</w:t>
        </w:r>
        <w:r>
          <w:rPr>
            <w:webHidden/>
          </w:rPr>
          <w:tab/>
        </w:r>
        <w:r>
          <w:rPr>
            <w:webHidden/>
          </w:rPr>
          <w:fldChar w:fldCharType="begin"/>
        </w:r>
        <w:r>
          <w:rPr>
            <w:webHidden/>
          </w:rPr>
          <w:instrText xml:space="preserve"> PAGEREF _Toc938862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3" w:history="1">
        <w:r w:rsidRPr="00726C4D">
          <w:rPr>
            <w:rStyle w:val="Hyperlink"/>
            <w:b/>
            <w:bCs/>
            <w:u w:val="none"/>
          </w:rPr>
          <w:t>SYTUACJA EPIDEMIOLOGICZNA W ZAKRESIE CHORÓB ZAKAŹNYCH</w:t>
        </w:r>
        <w:r>
          <w:rPr>
            <w:webHidden/>
          </w:rPr>
          <w:tab/>
        </w:r>
        <w:r>
          <w:rPr>
            <w:webHidden/>
          </w:rPr>
          <w:fldChar w:fldCharType="begin"/>
        </w:r>
        <w:r>
          <w:rPr>
            <w:webHidden/>
          </w:rPr>
          <w:instrText xml:space="preserve"> PAGEREF _Toc938863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4" w:history="1">
        <w:r w:rsidRPr="001A56DB">
          <w:rPr>
            <w:rStyle w:val="Hyperlink"/>
          </w:rPr>
          <w:t>Ocena sytuacji epidemiologicznej</w:t>
        </w:r>
        <w:r>
          <w:rPr>
            <w:webHidden/>
          </w:rPr>
          <w:tab/>
        </w:r>
        <w:r>
          <w:rPr>
            <w:webHidden/>
          </w:rPr>
          <w:fldChar w:fldCharType="begin"/>
        </w:r>
        <w:r>
          <w:rPr>
            <w:webHidden/>
          </w:rPr>
          <w:instrText xml:space="preserve"> PAGEREF _Toc938864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5" w:history="1">
        <w:r w:rsidRPr="001A56DB">
          <w:rPr>
            <w:rStyle w:val="Hyperlink"/>
          </w:rPr>
          <w:t>Choroby, szerzące się drogą pokarmową</w:t>
        </w:r>
        <w:r>
          <w:rPr>
            <w:webHidden/>
          </w:rPr>
          <w:tab/>
        </w:r>
        <w:r>
          <w:rPr>
            <w:webHidden/>
          </w:rPr>
          <w:fldChar w:fldCharType="begin"/>
        </w:r>
        <w:r>
          <w:rPr>
            <w:webHidden/>
          </w:rPr>
          <w:instrText xml:space="preserve"> PAGEREF _Toc938865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6" w:history="1">
        <w:r w:rsidRPr="001A56DB">
          <w:rPr>
            <w:rStyle w:val="Hyperlink"/>
          </w:rPr>
          <w:t>Choroby, przeciw którym stosuje się szczepienia ochronne</w:t>
        </w:r>
        <w:r>
          <w:rPr>
            <w:webHidden/>
          </w:rPr>
          <w:tab/>
        </w:r>
        <w:r>
          <w:rPr>
            <w:webHidden/>
          </w:rPr>
          <w:fldChar w:fldCharType="begin"/>
        </w:r>
        <w:r>
          <w:rPr>
            <w:webHidden/>
          </w:rPr>
          <w:instrText xml:space="preserve"> PAGEREF _Toc938866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7" w:history="1">
        <w:r w:rsidRPr="001A56DB">
          <w:rPr>
            <w:rStyle w:val="Hyperlink"/>
          </w:rPr>
          <w:t xml:space="preserve">Neuroinfekcje oraz choroby: meningokokowa, pneumokokowa  i wywołana przez </w:t>
        </w:r>
        <w:r w:rsidRPr="001A56DB">
          <w:rPr>
            <w:rStyle w:val="Hyperlink"/>
            <w:i/>
            <w:iCs/>
          </w:rPr>
          <w:t>Haemophilius influenzae</w:t>
        </w:r>
        <w:r>
          <w:rPr>
            <w:webHidden/>
          </w:rPr>
          <w:tab/>
        </w:r>
        <w:r>
          <w:rPr>
            <w:webHidden/>
          </w:rPr>
          <w:fldChar w:fldCharType="begin"/>
        </w:r>
        <w:r>
          <w:rPr>
            <w:webHidden/>
          </w:rPr>
          <w:instrText xml:space="preserve"> PAGEREF _Toc938867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8" w:history="1">
        <w:r w:rsidRPr="001A56DB">
          <w:rPr>
            <w:rStyle w:val="Hyperlink"/>
          </w:rPr>
          <w:t>Choroby odzwierzęce</w:t>
        </w:r>
        <w:r>
          <w:rPr>
            <w:webHidden/>
          </w:rPr>
          <w:tab/>
        </w:r>
        <w:r>
          <w:rPr>
            <w:webHidden/>
          </w:rPr>
          <w:fldChar w:fldCharType="begin"/>
        </w:r>
        <w:r>
          <w:rPr>
            <w:webHidden/>
          </w:rPr>
          <w:instrText xml:space="preserve"> PAGEREF _Toc938868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69" w:history="1">
        <w:r w:rsidRPr="001A56DB">
          <w:rPr>
            <w:rStyle w:val="Hyperlink"/>
          </w:rPr>
          <w:t>Inne choroby zakaźne</w:t>
        </w:r>
        <w:r>
          <w:rPr>
            <w:webHidden/>
          </w:rPr>
          <w:tab/>
        </w:r>
        <w:r>
          <w:rPr>
            <w:webHidden/>
          </w:rPr>
          <w:fldChar w:fldCharType="begin"/>
        </w:r>
        <w:r>
          <w:rPr>
            <w:webHidden/>
          </w:rPr>
          <w:instrText xml:space="preserve"> PAGEREF _Toc938869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0" w:history="1">
        <w:r w:rsidRPr="001A56DB">
          <w:rPr>
            <w:rStyle w:val="Hyperlink"/>
            <w:lang w:eastAsia="ar-SA"/>
          </w:rPr>
          <w:t>Zakażenia szpitalne</w:t>
        </w:r>
        <w:r>
          <w:rPr>
            <w:webHidden/>
          </w:rPr>
          <w:tab/>
        </w:r>
        <w:r>
          <w:rPr>
            <w:webHidden/>
          </w:rPr>
          <w:fldChar w:fldCharType="begin"/>
        </w:r>
        <w:r>
          <w:rPr>
            <w:webHidden/>
          </w:rPr>
          <w:instrText xml:space="preserve"> PAGEREF _Toc938870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1" w:history="1">
        <w:r w:rsidRPr="001A56DB">
          <w:rPr>
            <w:rStyle w:val="Hyperlink"/>
            <w:lang w:eastAsia="ar-SA"/>
          </w:rPr>
          <w:t>Ogniska epidemiczne w 2018 r. w podmiotach leczniczych</w:t>
        </w:r>
        <w:r>
          <w:rPr>
            <w:webHidden/>
          </w:rPr>
          <w:tab/>
        </w:r>
        <w:r>
          <w:rPr>
            <w:webHidden/>
          </w:rPr>
          <w:fldChar w:fldCharType="begin"/>
        </w:r>
        <w:r>
          <w:rPr>
            <w:webHidden/>
          </w:rPr>
          <w:instrText xml:space="preserve"> PAGEREF _Toc938871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2" w:history="1">
        <w:r w:rsidRPr="001A56DB">
          <w:rPr>
            <w:rStyle w:val="Hyperlink"/>
            <w:lang w:eastAsia="ar-SA"/>
          </w:rPr>
          <w:t xml:space="preserve">Sytuacja epidemiologiczna na terenie miasta Poznania – w związku  z rozprzestrzenianiem się wieloopornych szczepów </w:t>
        </w:r>
        <w:r w:rsidRPr="001A56DB">
          <w:rPr>
            <w:rStyle w:val="Hyperlink"/>
            <w:i/>
            <w:iCs/>
            <w:lang w:eastAsia="ar-SA"/>
          </w:rPr>
          <w:t>Enterobacteriaceae</w:t>
        </w:r>
        <w:r w:rsidRPr="001A56DB">
          <w:rPr>
            <w:rStyle w:val="Hyperlink"/>
            <w:lang w:eastAsia="ar-SA"/>
          </w:rPr>
          <w:t xml:space="preserve"> produkujących karbapenemazy</w:t>
        </w:r>
        <w:r>
          <w:rPr>
            <w:webHidden/>
          </w:rPr>
          <w:tab/>
        </w:r>
        <w:r>
          <w:rPr>
            <w:webHidden/>
          </w:rPr>
          <w:fldChar w:fldCharType="begin"/>
        </w:r>
        <w:r>
          <w:rPr>
            <w:webHidden/>
          </w:rPr>
          <w:instrText xml:space="preserve"> PAGEREF _Toc938872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3" w:history="1">
        <w:r w:rsidRPr="001A56DB">
          <w:rPr>
            <w:rStyle w:val="Hyperlink"/>
          </w:rPr>
          <w:t>Realizacja szczepień ochronnych</w:t>
        </w:r>
        <w:r>
          <w:rPr>
            <w:webHidden/>
          </w:rPr>
          <w:tab/>
        </w:r>
        <w:r>
          <w:rPr>
            <w:webHidden/>
          </w:rPr>
          <w:fldChar w:fldCharType="begin"/>
        </w:r>
        <w:r>
          <w:rPr>
            <w:webHidden/>
          </w:rPr>
          <w:instrText xml:space="preserve"> PAGEREF _Toc938873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4" w:history="1">
        <w:r w:rsidRPr="001A56DB">
          <w:rPr>
            <w:rStyle w:val="Hyperlink"/>
          </w:rPr>
          <w:t>Niepożądane odczyny poszczepienne</w:t>
        </w:r>
        <w:r>
          <w:rPr>
            <w:webHidden/>
          </w:rPr>
          <w:tab/>
        </w:r>
        <w:r>
          <w:rPr>
            <w:webHidden/>
          </w:rPr>
          <w:fldChar w:fldCharType="begin"/>
        </w:r>
        <w:r>
          <w:rPr>
            <w:webHidden/>
          </w:rPr>
          <w:instrText xml:space="preserve"> PAGEREF _Toc938874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5" w:history="1">
        <w:r w:rsidRPr="001A56DB">
          <w:rPr>
            <w:rStyle w:val="Hyperlink"/>
          </w:rPr>
          <w:t>Rodzice / opiekunowie prawni uchylający się</w:t>
        </w:r>
      </w:hyperlink>
      <w:r>
        <w:rPr>
          <w:rStyle w:val="Hyperlink"/>
        </w:rPr>
        <w:t xml:space="preserve"> </w:t>
      </w:r>
      <w:hyperlink w:anchor="_Toc938876" w:history="1">
        <w:r w:rsidRPr="001A56DB">
          <w:rPr>
            <w:rStyle w:val="Hyperlink"/>
          </w:rPr>
          <w:t>od obowiązku szczepień ochronnych</w:t>
        </w:r>
        <w:r>
          <w:rPr>
            <w:webHidden/>
          </w:rPr>
          <w:tab/>
        </w:r>
        <w:r>
          <w:rPr>
            <w:webHidden/>
          </w:rPr>
          <w:fldChar w:fldCharType="begin"/>
        </w:r>
        <w:r>
          <w:rPr>
            <w:webHidden/>
          </w:rPr>
          <w:instrText xml:space="preserve"> PAGEREF _Toc938876 \h </w:instrText>
        </w:r>
        <w:r>
          <w:rPr>
            <w:webHidden/>
          </w:rPr>
          <w:fldChar w:fldCharType="separate"/>
        </w:r>
        <w:r>
          <w:rPr>
            <w:webHidden/>
          </w:rPr>
          <w:t>3</w:t>
        </w:r>
        <w:r>
          <w:rPr>
            <w:webHidden/>
          </w:rPr>
          <w:fldChar w:fldCharType="end"/>
        </w:r>
      </w:hyperlink>
    </w:p>
    <w:p w:rsidR="00AF0FDB" w:rsidRDefault="00AF0FDB">
      <w:pPr>
        <w:pStyle w:val="TOC1"/>
      </w:pPr>
      <w:hyperlink w:anchor="_Toc938877" w:history="1">
        <w:r w:rsidRPr="00726C4D">
          <w:rPr>
            <w:rStyle w:val="Hyperlink"/>
            <w:b/>
            <w:bCs/>
            <w:u w:val="none"/>
          </w:rPr>
          <w:t>OBIEKTY ŻYWNOŚCIOWO-ŻYWIENIOWE</w:t>
        </w:r>
        <w:r>
          <w:rPr>
            <w:webHidden/>
          </w:rPr>
          <w:tab/>
        </w:r>
        <w:r>
          <w:rPr>
            <w:webHidden/>
          </w:rPr>
          <w:fldChar w:fldCharType="begin"/>
        </w:r>
        <w:r>
          <w:rPr>
            <w:webHidden/>
          </w:rPr>
          <w:instrText xml:space="preserve"> PAGEREF _Toc938877 \h </w:instrText>
        </w:r>
        <w:r>
          <w:rPr>
            <w:webHidden/>
          </w:rPr>
          <w:fldChar w:fldCharType="separate"/>
        </w:r>
        <w:r>
          <w:rPr>
            <w:webHidden/>
          </w:rPr>
          <w:t>3</w:t>
        </w:r>
        <w:r>
          <w:rPr>
            <w:webHidden/>
          </w:rPr>
          <w:fldChar w:fldCharType="end"/>
        </w:r>
      </w:hyperlink>
    </w:p>
    <w:p w:rsidR="00AF0FDB" w:rsidRPr="00A32922" w:rsidRDefault="00AF0FDB" w:rsidP="00A32922">
      <w:r>
        <w:t>Zakres nadzoru sanitarnego………………………………………………………………… 102</w:t>
      </w:r>
    </w:p>
    <w:p w:rsidR="00AF0FDB" w:rsidRDefault="00AF0FDB">
      <w:pPr>
        <w:pStyle w:val="TOC1"/>
        <w:rPr>
          <w:rFonts w:ascii="Calibri" w:hAnsi="Calibri"/>
          <w:sz w:val="22"/>
          <w:szCs w:val="22"/>
        </w:rPr>
      </w:pPr>
      <w:hyperlink w:anchor="_Toc938878" w:history="1">
        <w:r w:rsidRPr="001A56DB">
          <w:rPr>
            <w:rStyle w:val="Hyperlink"/>
          </w:rPr>
          <w:t>Zakłady obrotu</w:t>
        </w:r>
        <w:r>
          <w:rPr>
            <w:webHidden/>
          </w:rPr>
          <w:tab/>
        </w:r>
        <w:r>
          <w:rPr>
            <w:webHidden/>
          </w:rPr>
          <w:fldChar w:fldCharType="begin"/>
        </w:r>
        <w:r>
          <w:rPr>
            <w:webHidden/>
          </w:rPr>
          <w:instrText xml:space="preserve"> PAGEREF _Toc938878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79" w:history="1">
        <w:r w:rsidRPr="001A56DB">
          <w:rPr>
            <w:rStyle w:val="Hyperlink"/>
          </w:rPr>
          <w:t>Zakłady produkcyjne</w:t>
        </w:r>
        <w:r>
          <w:rPr>
            <w:webHidden/>
          </w:rPr>
          <w:tab/>
        </w:r>
        <w:r>
          <w:rPr>
            <w:webHidden/>
          </w:rPr>
          <w:fldChar w:fldCharType="begin"/>
        </w:r>
        <w:r>
          <w:rPr>
            <w:webHidden/>
          </w:rPr>
          <w:instrText xml:space="preserve"> PAGEREF _Toc938879 \h </w:instrText>
        </w:r>
        <w:r>
          <w:rPr>
            <w:webHidden/>
          </w:rPr>
          <w:fldChar w:fldCharType="separate"/>
        </w:r>
        <w:r>
          <w:rPr>
            <w:webHidden/>
          </w:rPr>
          <w:t>3</w:t>
        </w:r>
        <w:r>
          <w:rPr>
            <w:webHidden/>
          </w:rPr>
          <w:fldChar w:fldCharType="end"/>
        </w:r>
      </w:hyperlink>
    </w:p>
    <w:p w:rsidR="00AF0FDB" w:rsidRDefault="00AF0FDB">
      <w:pPr>
        <w:pStyle w:val="TOC1"/>
      </w:pPr>
      <w:hyperlink w:anchor="_Toc938880" w:history="1">
        <w:r w:rsidRPr="001A56DB">
          <w:rPr>
            <w:rStyle w:val="Hyperlink"/>
          </w:rPr>
          <w:t>Zakłady żywienia</w:t>
        </w:r>
        <w:r>
          <w:rPr>
            <w:webHidden/>
          </w:rPr>
          <w:tab/>
        </w:r>
        <w:r>
          <w:rPr>
            <w:webHidden/>
          </w:rPr>
          <w:fldChar w:fldCharType="begin"/>
        </w:r>
        <w:r>
          <w:rPr>
            <w:webHidden/>
          </w:rPr>
          <w:instrText xml:space="preserve"> PAGEREF _Toc938880 \h </w:instrText>
        </w:r>
        <w:r>
          <w:rPr>
            <w:webHidden/>
          </w:rPr>
          <w:fldChar w:fldCharType="separate"/>
        </w:r>
        <w:r>
          <w:rPr>
            <w:webHidden/>
          </w:rPr>
          <w:t>3</w:t>
        </w:r>
        <w:r>
          <w:rPr>
            <w:webHidden/>
          </w:rPr>
          <w:fldChar w:fldCharType="end"/>
        </w:r>
      </w:hyperlink>
    </w:p>
    <w:p w:rsidR="00AF0FDB" w:rsidRPr="00B80B87" w:rsidRDefault="00AF0FDB" w:rsidP="00B80B87">
      <w:r>
        <w:t xml:space="preserve">Nadzór nad importem środków spożywczych oraz materiałów i wyrobów do kontaktu z żywnością…………………………………………………………………………………... 106 </w:t>
      </w:r>
    </w:p>
    <w:p w:rsidR="00AF0FDB" w:rsidRDefault="00AF0FDB">
      <w:pPr>
        <w:pStyle w:val="TOC1"/>
        <w:rPr>
          <w:rStyle w:val="Hyperlink"/>
        </w:rPr>
      </w:pPr>
      <w:hyperlink w:anchor="_Toc938881" w:history="1">
        <w:r w:rsidRPr="001A56DB">
          <w:rPr>
            <w:rStyle w:val="Hyperlink"/>
          </w:rPr>
          <w:t>Zakłady produkcji i obrotu kosmetykami i przedmiotami użytku</w:t>
        </w:r>
        <w:r>
          <w:rPr>
            <w:webHidden/>
          </w:rPr>
          <w:tab/>
        </w:r>
        <w:r>
          <w:rPr>
            <w:webHidden/>
          </w:rPr>
          <w:fldChar w:fldCharType="begin"/>
        </w:r>
        <w:r>
          <w:rPr>
            <w:webHidden/>
          </w:rPr>
          <w:instrText xml:space="preserve"> PAGEREF _Toc938881 \h </w:instrText>
        </w:r>
        <w:r>
          <w:rPr>
            <w:webHidden/>
          </w:rPr>
          <w:fldChar w:fldCharType="separate"/>
        </w:r>
        <w:r>
          <w:rPr>
            <w:webHidden/>
          </w:rPr>
          <w:t>3</w:t>
        </w:r>
        <w:r>
          <w:rPr>
            <w:webHidden/>
          </w:rPr>
          <w:fldChar w:fldCharType="end"/>
        </w:r>
      </w:hyperlink>
    </w:p>
    <w:p w:rsidR="00AF0FDB" w:rsidRPr="00726C4D" w:rsidRDefault="00AF0FDB" w:rsidP="00726C4D">
      <w:r>
        <w:t>Podsumowanie………………………………………………………………………………107</w:t>
      </w:r>
    </w:p>
    <w:p w:rsidR="00AF0FDB" w:rsidRDefault="00AF0FDB">
      <w:pPr>
        <w:pStyle w:val="TOC1"/>
        <w:rPr>
          <w:rFonts w:ascii="Calibri" w:hAnsi="Calibri"/>
          <w:sz w:val="22"/>
          <w:szCs w:val="22"/>
        </w:rPr>
      </w:pPr>
      <w:hyperlink w:anchor="_Toc938882" w:history="1">
        <w:r w:rsidRPr="00726C4D">
          <w:rPr>
            <w:rStyle w:val="Hyperlink"/>
            <w:b/>
            <w:bCs/>
            <w:u w:val="none"/>
          </w:rPr>
          <w:t>DZIAŁALNOŚĆ OŚWIATOWO-ZDROWOTNA</w:t>
        </w:r>
        <w:r>
          <w:rPr>
            <w:webHidden/>
          </w:rPr>
          <w:tab/>
        </w:r>
        <w:r>
          <w:rPr>
            <w:webHidden/>
          </w:rPr>
          <w:fldChar w:fldCharType="begin"/>
        </w:r>
        <w:r>
          <w:rPr>
            <w:webHidden/>
          </w:rPr>
          <w:instrText xml:space="preserve"> PAGEREF _Toc938882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83" w:history="1">
        <w:r w:rsidRPr="001A56DB">
          <w:rPr>
            <w:rStyle w:val="Hyperlink"/>
          </w:rPr>
          <w:t>Program Ograniczania Zdrowotnych Następstw</w:t>
        </w:r>
      </w:hyperlink>
      <w:r>
        <w:rPr>
          <w:rStyle w:val="Hyperlink"/>
          <w:u w:val="none"/>
        </w:rPr>
        <w:t xml:space="preserve"> </w:t>
      </w:r>
      <w:hyperlink w:anchor="_Toc938884" w:history="1">
        <w:r w:rsidRPr="001A56DB">
          <w:rPr>
            <w:rStyle w:val="Hyperlink"/>
          </w:rPr>
          <w:t>Palenia Tytoniu w Polsce</w:t>
        </w:r>
        <w:r>
          <w:rPr>
            <w:webHidden/>
          </w:rPr>
          <w:tab/>
        </w:r>
        <w:r>
          <w:rPr>
            <w:webHidden/>
          </w:rPr>
          <w:fldChar w:fldCharType="begin"/>
        </w:r>
        <w:r>
          <w:rPr>
            <w:webHidden/>
          </w:rPr>
          <w:instrText xml:space="preserve"> PAGEREF _Toc938884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85" w:history="1">
        <w:r w:rsidRPr="001A56DB">
          <w:rPr>
            <w:rStyle w:val="Hyperlink"/>
          </w:rPr>
          <w:t>Program „Trzymaj formę!”</w:t>
        </w:r>
        <w:r>
          <w:rPr>
            <w:webHidden/>
          </w:rPr>
          <w:tab/>
        </w:r>
        <w:r>
          <w:rPr>
            <w:webHidden/>
          </w:rPr>
          <w:fldChar w:fldCharType="begin"/>
        </w:r>
        <w:r>
          <w:rPr>
            <w:webHidden/>
          </w:rPr>
          <w:instrText xml:space="preserve"> PAGEREF _Toc938885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86" w:history="1">
        <w:r w:rsidRPr="001A56DB">
          <w:rPr>
            <w:rStyle w:val="Hyperlink"/>
          </w:rPr>
          <w:t>Profilaktyka HIV/AIDS</w:t>
        </w:r>
        <w:r>
          <w:rPr>
            <w:webHidden/>
          </w:rPr>
          <w:tab/>
        </w:r>
        <w:r>
          <w:rPr>
            <w:webHidden/>
          </w:rPr>
          <w:fldChar w:fldCharType="begin"/>
        </w:r>
        <w:r>
          <w:rPr>
            <w:webHidden/>
          </w:rPr>
          <w:instrText xml:space="preserve"> PAGEREF _Toc938886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87" w:history="1">
        <w:r w:rsidRPr="001A56DB">
          <w:rPr>
            <w:rStyle w:val="Hyperlink"/>
          </w:rPr>
          <w:t>Profilaktyczny program w zakresie przeciwdziałania uzależnieniu od alkoholu, tytoniu i innych środków psychoaktywnych</w:t>
        </w:r>
        <w:r>
          <w:rPr>
            <w:webHidden/>
          </w:rPr>
          <w:tab/>
        </w:r>
        <w:r>
          <w:rPr>
            <w:webHidden/>
          </w:rPr>
          <w:fldChar w:fldCharType="begin"/>
        </w:r>
        <w:r>
          <w:rPr>
            <w:webHidden/>
          </w:rPr>
          <w:instrText xml:space="preserve"> PAGEREF _Toc938887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88" w:history="1">
        <w:r w:rsidRPr="001A56DB">
          <w:rPr>
            <w:rStyle w:val="Hyperlink"/>
          </w:rPr>
          <w:t>Program  „Moje Dziecko Idzie do Szkoły”</w:t>
        </w:r>
        <w:r>
          <w:rPr>
            <w:webHidden/>
          </w:rPr>
          <w:tab/>
        </w:r>
        <w:r>
          <w:rPr>
            <w:webHidden/>
          </w:rPr>
          <w:fldChar w:fldCharType="begin"/>
        </w:r>
        <w:r>
          <w:rPr>
            <w:webHidden/>
          </w:rPr>
          <w:instrText xml:space="preserve"> PAGEREF _Toc938888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89" w:history="1">
        <w:r w:rsidRPr="001A56DB">
          <w:rPr>
            <w:rStyle w:val="Hyperlink"/>
          </w:rPr>
          <w:t>Program edukacyjny „Wybierz życie - pierwszy krok”</w:t>
        </w:r>
        <w:r>
          <w:rPr>
            <w:webHidden/>
          </w:rPr>
          <w:tab/>
        </w:r>
        <w:r>
          <w:rPr>
            <w:webHidden/>
          </w:rPr>
          <w:fldChar w:fldCharType="begin"/>
        </w:r>
        <w:r>
          <w:rPr>
            <w:webHidden/>
          </w:rPr>
          <w:instrText xml:space="preserve"> PAGEREF _Toc938889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90" w:history="1">
        <w:r w:rsidRPr="001A56DB">
          <w:rPr>
            <w:rStyle w:val="Hyperlink"/>
          </w:rPr>
          <w:t>Realizacja interwencji nieprogramowych</w:t>
        </w:r>
        <w:r>
          <w:rPr>
            <w:webHidden/>
          </w:rPr>
          <w:tab/>
        </w:r>
        <w:r>
          <w:rPr>
            <w:webHidden/>
          </w:rPr>
          <w:fldChar w:fldCharType="begin"/>
        </w:r>
        <w:r>
          <w:rPr>
            <w:webHidden/>
          </w:rPr>
          <w:instrText xml:space="preserve"> PAGEREF _Toc938890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91" w:history="1">
        <w:r w:rsidRPr="001A56DB">
          <w:rPr>
            <w:rStyle w:val="Hyperlink"/>
          </w:rPr>
          <w:t>Inne przedsięwzięcia</w:t>
        </w:r>
        <w:r>
          <w:rPr>
            <w:webHidden/>
          </w:rPr>
          <w:tab/>
        </w:r>
        <w:r>
          <w:rPr>
            <w:webHidden/>
          </w:rPr>
          <w:fldChar w:fldCharType="begin"/>
        </w:r>
        <w:r>
          <w:rPr>
            <w:webHidden/>
          </w:rPr>
          <w:instrText xml:space="preserve"> PAGEREF _Toc938891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92" w:history="1">
        <w:r w:rsidRPr="00726C4D">
          <w:rPr>
            <w:rStyle w:val="Hyperlink"/>
            <w:b/>
            <w:bCs/>
          </w:rPr>
          <w:t>DZIAŁALNOŚĆ</w:t>
        </w:r>
      </w:hyperlink>
      <w:r>
        <w:rPr>
          <w:rStyle w:val="Hyperlink"/>
          <w:u w:val="none"/>
        </w:rPr>
        <w:t xml:space="preserve"> </w:t>
      </w:r>
      <w:hyperlink w:anchor="_Toc938893" w:history="1">
        <w:r w:rsidRPr="00726C4D">
          <w:rPr>
            <w:rStyle w:val="Hyperlink"/>
            <w:b/>
            <w:bCs/>
          </w:rPr>
          <w:t>OPINIODAWCZO-NADZOROWA</w:t>
        </w:r>
        <w:r>
          <w:rPr>
            <w:webHidden/>
          </w:rPr>
          <w:tab/>
        </w:r>
        <w:r>
          <w:rPr>
            <w:webHidden/>
          </w:rPr>
          <w:fldChar w:fldCharType="begin"/>
        </w:r>
        <w:r>
          <w:rPr>
            <w:webHidden/>
          </w:rPr>
          <w:instrText xml:space="preserve"> PAGEREF _Toc938893 \h </w:instrText>
        </w:r>
        <w:r>
          <w:rPr>
            <w:webHidden/>
          </w:rPr>
          <w:fldChar w:fldCharType="separate"/>
        </w:r>
        <w:r>
          <w:rPr>
            <w:webHidden/>
          </w:rPr>
          <w:t>3</w:t>
        </w:r>
        <w:r>
          <w:rPr>
            <w:webHidden/>
          </w:rPr>
          <w:fldChar w:fldCharType="end"/>
        </w:r>
      </w:hyperlink>
    </w:p>
    <w:p w:rsidR="00AF0FDB" w:rsidRDefault="00AF0FDB">
      <w:pPr>
        <w:pStyle w:val="TOC1"/>
        <w:rPr>
          <w:rFonts w:ascii="Calibri" w:hAnsi="Calibri"/>
          <w:sz w:val="22"/>
          <w:szCs w:val="22"/>
        </w:rPr>
      </w:pPr>
      <w:hyperlink w:anchor="_Toc938894" w:history="1">
        <w:r w:rsidRPr="00726C4D">
          <w:rPr>
            <w:rStyle w:val="Hyperlink"/>
            <w:b/>
            <w:bCs/>
          </w:rPr>
          <w:t>ZAKOŃCZENIE</w:t>
        </w:r>
        <w:r>
          <w:rPr>
            <w:webHidden/>
          </w:rPr>
          <w:tab/>
        </w:r>
        <w:r>
          <w:rPr>
            <w:webHidden/>
          </w:rPr>
          <w:fldChar w:fldCharType="begin"/>
        </w:r>
        <w:r>
          <w:rPr>
            <w:webHidden/>
          </w:rPr>
          <w:instrText xml:space="preserve"> PAGEREF _Toc938894 \h </w:instrText>
        </w:r>
        <w:r>
          <w:rPr>
            <w:webHidden/>
          </w:rPr>
          <w:fldChar w:fldCharType="separate"/>
        </w:r>
        <w:r>
          <w:rPr>
            <w:webHidden/>
          </w:rPr>
          <w:t>3</w:t>
        </w:r>
        <w:r>
          <w:rPr>
            <w:webHidden/>
          </w:rPr>
          <w:fldChar w:fldCharType="end"/>
        </w:r>
      </w:hyperlink>
    </w:p>
    <w:p w:rsidR="00AF0FDB" w:rsidRDefault="00AF0FDB">
      <w:r>
        <w:fldChar w:fldCharType="end"/>
      </w:r>
    </w:p>
    <w:p w:rsidR="00AF0FDB" w:rsidRDefault="00AF0FDB" w:rsidP="00054116">
      <w:pPr>
        <w:pStyle w:val="Heading1"/>
        <w:jc w:val="left"/>
        <w:rPr>
          <w:rFonts w:cs="Times New Roman"/>
        </w:rPr>
      </w:pPr>
      <w:r>
        <w:rPr>
          <w:rFonts w:cs="Times New Roman"/>
        </w:rPr>
        <w:tab/>
      </w:r>
      <w:bookmarkStart w:id="9" w:name="_Toc411600311"/>
      <w:bookmarkStart w:id="10" w:name="_Toc412019523"/>
    </w:p>
    <w:p w:rsidR="00AF0FDB" w:rsidRDefault="00AF0FDB" w:rsidP="00E502DC">
      <w:pPr>
        <w:pStyle w:val="Heading1"/>
        <w:jc w:val="left"/>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DD2EA5">
      <w:pPr>
        <w:pStyle w:val="Heading1"/>
        <w:jc w:val="left"/>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DD2EA5">
      <w:pPr>
        <w:pStyle w:val="Heading1"/>
        <w:jc w:val="left"/>
        <w:rPr>
          <w:rFonts w:cs="Times New Roman"/>
        </w:rPr>
      </w:pPr>
    </w:p>
    <w:p w:rsidR="00AF0FDB" w:rsidRDefault="00AF0FDB" w:rsidP="00301544">
      <w:pPr>
        <w:pStyle w:val="Heading1"/>
        <w:rPr>
          <w:rFonts w:cs="Times New Roman"/>
        </w:rPr>
      </w:pPr>
    </w:p>
    <w:p w:rsidR="00AF0FDB" w:rsidRPr="00161C31" w:rsidRDefault="00AF0FDB" w:rsidP="00161C31">
      <w:pPr>
        <w:pStyle w:val="Heading1"/>
      </w:pPr>
      <w:bookmarkStart w:id="11" w:name="_Toc179808"/>
      <w:bookmarkStart w:id="12" w:name="_Toc855342"/>
      <w:bookmarkStart w:id="13" w:name="_Toc938785"/>
      <w:r w:rsidRPr="00161C31">
        <w:t>WSTĘP</w:t>
      </w:r>
      <w:bookmarkEnd w:id="9"/>
      <w:bookmarkEnd w:id="10"/>
      <w:bookmarkEnd w:id="11"/>
      <w:bookmarkEnd w:id="12"/>
      <w:bookmarkEnd w:id="13"/>
    </w:p>
    <w:p w:rsidR="00AF0FDB" w:rsidRPr="00BF2834" w:rsidRDefault="00AF0FDB" w:rsidP="001C4197">
      <w:pPr>
        <w:pStyle w:val="Default"/>
        <w:spacing w:line="360" w:lineRule="auto"/>
        <w:rPr>
          <w:b/>
          <w:bCs/>
          <w:i/>
          <w:iCs/>
          <w:color w:val="auto"/>
          <w:sz w:val="32"/>
          <w:szCs w:val="32"/>
        </w:rPr>
      </w:pPr>
      <w:r>
        <w:rPr>
          <w:noProof/>
          <w:lang w:eastAsia="pl-PL"/>
        </w:rPr>
        <w:pict>
          <v:shape id="Obraz 13" o:spid="_x0000_s1037" type="#_x0000_t75" style="position:absolute;margin-left:0;margin-top:0;width:157.1pt;height:211.1pt;z-index:251656192;visibility:visible;mso-position-horizontal:left;mso-position-horizontal-relative:margin;mso-position-vertical:top;mso-position-vertical-relative:margin">
            <v:imagedata r:id="rId9" o:title=""/>
            <w10:wrap type="square" anchorx="margin" anchory="margin"/>
          </v:shape>
        </w:pict>
      </w:r>
      <w:r w:rsidRPr="00BF2834">
        <w:rPr>
          <w:b/>
          <w:bCs/>
          <w:i/>
          <w:iCs/>
          <w:color w:val="auto"/>
          <w:sz w:val="32"/>
          <w:szCs w:val="32"/>
        </w:rPr>
        <w:t>Szanowni Państwo,</w:t>
      </w:r>
    </w:p>
    <w:p w:rsidR="00AF0FDB" w:rsidRPr="00BF2834" w:rsidRDefault="00AF0FDB" w:rsidP="00AC4FFE">
      <w:pPr>
        <w:pStyle w:val="Default"/>
        <w:spacing w:line="360" w:lineRule="auto"/>
        <w:jc w:val="both"/>
        <w:rPr>
          <w:color w:val="auto"/>
        </w:rPr>
      </w:pPr>
      <w:r w:rsidRPr="00BF2834">
        <w:rPr>
          <w:color w:val="auto"/>
        </w:rPr>
        <w:t>Mam zaszczyt przekazać Państwu informację na temat stanu bezpieczeńst</w:t>
      </w:r>
      <w:r>
        <w:rPr>
          <w:color w:val="auto"/>
        </w:rPr>
        <w:t xml:space="preserve">wa sanitarnego miasta Poznania </w:t>
      </w:r>
      <w:r w:rsidRPr="00BF2834">
        <w:rPr>
          <w:color w:val="auto"/>
        </w:rPr>
        <w:t>i powiatu poznańskiego za rok 201</w:t>
      </w:r>
      <w:r>
        <w:rPr>
          <w:color w:val="auto"/>
        </w:rPr>
        <w:t>8</w:t>
      </w:r>
      <w:r w:rsidRPr="00BF2834">
        <w:rPr>
          <w:color w:val="auto"/>
        </w:rPr>
        <w:t xml:space="preserve">. </w:t>
      </w:r>
    </w:p>
    <w:p w:rsidR="00AF0FDB" w:rsidRPr="00BF2834" w:rsidRDefault="00AF0FDB" w:rsidP="00AC4FFE">
      <w:pPr>
        <w:pStyle w:val="Default"/>
        <w:spacing w:line="360" w:lineRule="auto"/>
        <w:jc w:val="both"/>
        <w:rPr>
          <w:color w:val="auto"/>
        </w:rPr>
      </w:pPr>
      <w:r w:rsidRPr="00BF2834">
        <w:rPr>
          <w:color w:val="auto"/>
        </w:rPr>
        <w:t>Przygotowany dokument informuje o wykonywanych przez Państwową</w:t>
      </w:r>
      <w:r>
        <w:rPr>
          <w:color w:val="auto"/>
        </w:rPr>
        <w:t xml:space="preserve"> Inspekcję Sanitarną zadaniach </w:t>
      </w:r>
      <w:r w:rsidRPr="00BF2834">
        <w:rPr>
          <w:color w:val="auto"/>
        </w:rPr>
        <w:t xml:space="preserve">i podejmowanych działaniach przez Państwowego Powiatowego Inspektora Sanitarnego w Poznaniu, które gwarantują mieszkańcom bezpieczeństwo sanitarne. </w:t>
      </w:r>
    </w:p>
    <w:p w:rsidR="00AF0FDB" w:rsidRPr="00BF2834" w:rsidRDefault="00AF0FDB" w:rsidP="00045BFA">
      <w:pPr>
        <w:pStyle w:val="Default"/>
        <w:spacing w:line="360" w:lineRule="auto"/>
        <w:jc w:val="both"/>
        <w:rPr>
          <w:color w:val="auto"/>
          <w:sz w:val="23"/>
          <w:szCs w:val="23"/>
        </w:rPr>
      </w:pPr>
      <w:r w:rsidRPr="00BF2834">
        <w:rPr>
          <w:color w:val="auto"/>
        </w:rPr>
        <w:t>Państwowy Powiatowy Inspektor Sanitarny w Poznaniu pełni funkcję Inspektora Sanitarnego jednocześnie dla miasta Poznania i powiatu poznańskiego.</w:t>
      </w:r>
      <w:r w:rsidRPr="00BF2834">
        <w:rPr>
          <w:color w:val="auto"/>
        </w:rPr>
        <w:br/>
        <w:t>Powiat poznański tworzy 17 gmin otaczających miasto Poznań. Jest to największy pod względem powierzchni powiat w województwie wielkopolskim (1 900 km²), a także powiat ziemski o najwyższej liczbie ludności w Polsce – 3</w:t>
      </w:r>
      <w:r>
        <w:rPr>
          <w:color w:val="auto"/>
        </w:rPr>
        <w:t>85</w:t>
      </w:r>
      <w:r w:rsidRPr="00BF2834">
        <w:rPr>
          <w:color w:val="auto"/>
        </w:rPr>
        <w:t>,</w:t>
      </w:r>
      <w:r>
        <w:rPr>
          <w:color w:val="auto"/>
        </w:rPr>
        <w:t>63</w:t>
      </w:r>
      <w:r w:rsidRPr="00BF2834">
        <w:rPr>
          <w:color w:val="auto"/>
        </w:rPr>
        <w:t xml:space="preserve"> tys. mieszkańców.</w:t>
      </w:r>
    </w:p>
    <w:p w:rsidR="00AF0FDB" w:rsidRPr="00BF2834" w:rsidRDefault="00AF0FDB" w:rsidP="001C4197">
      <w:pPr>
        <w:pStyle w:val="Default"/>
        <w:spacing w:line="360" w:lineRule="auto"/>
        <w:jc w:val="both"/>
        <w:rPr>
          <w:b/>
          <w:bCs/>
          <w:color w:val="auto"/>
          <w:sz w:val="23"/>
          <w:szCs w:val="23"/>
        </w:rPr>
      </w:pPr>
      <w:r>
        <w:rPr>
          <w:noProof/>
          <w:lang w:eastAsia="pl-PL"/>
        </w:rPr>
        <w:pict>
          <v:shape id="Obraz 12" o:spid="_x0000_s1038" type="#_x0000_t75" style="position:absolute;left:0;text-align:left;margin-left:0;margin-top:15pt;width:181.65pt;height:151.5pt;z-index:-251659264;visibility:visible;mso-position-horizontal:left;mso-position-horizontal-relative:margin" wrapcoords="-89 0 -89 21386 21600 21386 21600 0 -89 0">
            <v:imagedata r:id="rId10" o:title=""/>
            <w10:wrap type="through" anchorx="margin"/>
          </v:shape>
        </w:pict>
      </w:r>
    </w:p>
    <w:p w:rsidR="00AF0FDB" w:rsidRPr="00BF2834" w:rsidRDefault="00AF0FDB" w:rsidP="001C4197">
      <w:pPr>
        <w:pStyle w:val="Default"/>
        <w:spacing w:line="360" w:lineRule="auto"/>
        <w:jc w:val="both"/>
        <w:rPr>
          <w:color w:val="auto"/>
        </w:rPr>
      </w:pPr>
      <w:r w:rsidRPr="00BF2834">
        <w:rPr>
          <w:b/>
          <w:bCs/>
          <w:color w:val="auto"/>
        </w:rPr>
        <w:t xml:space="preserve">Gminy miejskie: </w:t>
      </w:r>
      <w:r w:rsidRPr="00BF2834">
        <w:rPr>
          <w:color w:val="auto"/>
        </w:rPr>
        <w:t xml:space="preserve">Luboń, Puszczykowo, </w:t>
      </w:r>
    </w:p>
    <w:p w:rsidR="00AF0FDB" w:rsidRPr="00BF2834" w:rsidRDefault="00AF0FDB" w:rsidP="001C4197">
      <w:pPr>
        <w:pStyle w:val="Default"/>
        <w:spacing w:line="360" w:lineRule="auto"/>
        <w:rPr>
          <w:color w:val="auto"/>
        </w:rPr>
      </w:pPr>
      <w:r w:rsidRPr="00BF2834">
        <w:rPr>
          <w:b/>
          <w:bCs/>
          <w:color w:val="auto"/>
        </w:rPr>
        <w:t xml:space="preserve">Gminy miejsko-wiejskie: </w:t>
      </w:r>
      <w:r w:rsidRPr="00BF2834">
        <w:rPr>
          <w:color w:val="auto"/>
        </w:rPr>
        <w:t xml:space="preserve">Buk, Kostrzyn, Kórnik, Mosina, Murowana Goślina, Pobiedziska, Stęszew, Swarzędz. </w:t>
      </w:r>
    </w:p>
    <w:p w:rsidR="00AF0FDB" w:rsidRPr="00BF2834" w:rsidRDefault="00AF0FDB" w:rsidP="001C4197">
      <w:pPr>
        <w:pStyle w:val="Default"/>
        <w:spacing w:line="360" w:lineRule="auto"/>
        <w:rPr>
          <w:color w:val="auto"/>
        </w:rPr>
      </w:pPr>
      <w:r w:rsidRPr="00BF2834">
        <w:rPr>
          <w:b/>
          <w:bCs/>
          <w:color w:val="auto"/>
        </w:rPr>
        <w:t xml:space="preserve">Gminy wiejskie: </w:t>
      </w:r>
      <w:r w:rsidRPr="00BF2834">
        <w:rPr>
          <w:color w:val="auto"/>
        </w:rPr>
        <w:t>Czerwonak, Dopiewo, Kleszczewo, Komorniki, Rokietnica</w:t>
      </w:r>
      <w:r>
        <w:rPr>
          <w:color w:val="auto"/>
        </w:rPr>
        <w:t>,</w:t>
      </w:r>
      <w:r w:rsidRPr="00BF2834">
        <w:rPr>
          <w:color w:val="auto"/>
        </w:rPr>
        <w:t xml:space="preserve"> Suchy Las, Tarnowo Podgórne</w:t>
      </w:r>
      <w:r>
        <w:rPr>
          <w:color w:val="auto"/>
        </w:rPr>
        <w:t>.</w:t>
      </w:r>
    </w:p>
    <w:p w:rsidR="00AF0FDB" w:rsidRPr="00BF2834" w:rsidRDefault="00AF0FDB" w:rsidP="001C4197">
      <w:pPr>
        <w:pStyle w:val="Default"/>
        <w:spacing w:line="360" w:lineRule="auto"/>
        <w:rPr>
          <w:color w:val="auto"/>
          <w:sz w:val="14"/>
          <w:szCs w:val="14"/>
        </w:rPr>
      </w:pPr>
    </w:p>
    <w:p w:rsidR="00AF0FDB" w:rsidRPr="00BF2834" w:rsidRDefault="00AF0FDB" w:rsidP="001C4197">
      <w:pPr>
        <w:pStyle w:val="Default"/>
        <w:spacing w:line="360" w:lineRule="auto"/>
        <w:rPr>
          <w:color w:val="auto"/>
          <w:sz w:val="14"/>
          <w:szCs w:val="14"/>
        </w:rPr>
      </w:pPr>
    </w:p>
    <w:p w:rsidR="00AF0FDB" w:rsidRPr="00BF2834" w:rsidRDefault="00AF0FDB" w:rsidP="001C4197">
      <w:pPr>
        <w:pStyle w:val="Default"/>
        <w:rPr>
          <w:color w:val="auto"/>
          <w:sz w:val="14"/>
          <w:szCs w:val="14"/>
        </w:rPr>
      </w:pPr>
      <w:r w:rsidRPr="00BF2834">
        <w:rPr>
          <w:color w:val="auto"/>
          <w:sz w:val="14"/>
          <w:szCs w:val="14"/>
        </w:rPr>
        <w:t xml:space="preserve">https://www.google.pl/search?q=mapa+powiatu </w:t>
      </w:r>
    </w:p>
    <w:p w:rsidR="00AF0FDB" w:rsidRPr="00BF2834" w:rsidRDefault="00AF0FDB" w:rsidP="001C4197">
      <w:pPr>
        <w:pStyle w:val="Default"/>
        <w:rPr>
          <w:color w:val="auto"/>
          <w:sz w:val="14"/>
          <w:szCs w:val="14"/>
        </w:rPr>
      </w:pPr>
      <w:r w:rsidRPr="00BF2834">
        <w:rPr>
          <w:color w:val="auto"/>
          <w:sz w:val="14"/>
          <w:szCs w:val="14"/>
        </w:rPr>
        <w:t>+poznańskiego</w:t>
      </w:r>
      <w:r w:rsidRPr="00BF2834">
        <w:rPr>
          <w:color w:val="auto"/>
          <w:sz w:val="14"/>
          <w:szCs w:val="14"/>
        </w:rPr>
        <w:tab/>
      </w:r>
    </w:p>
    <w:p w:rsidR="00AF0FDB" w:rsidRPr="00BF2834" w:rsidRDefault="00AF0FDB" w:rsidP="001C4197">
      <w:pPr>
        <w:pStyle w:val="Default"/>
        <w:spacing w:line="360" w:lineRule="auto"/>
        <w:rPr>
          <w:color w:val="auto"/>
          <w:sz w:val="23"/>
          <w:szCs w:val="23"/>
        </w:rPr>
      </w:pPr>
    </w:p>
    <w:p w:rsidR="00AF0FDB" w:rsidRDefault="00AF0FDB" w:rsidP="00264C1C">
      <w:pPr>
        <w:pStyle w:val="Default"/>
        <w:spacing w:line="360" w:lineRule="auto"/>
        <w:jc w:val="both"/>
        <w:rPr>
          <w:color w:val="auto"/>
        </w:rPr>
      </w:pPr>
      <w:r w:rsidRPr="00BF2834">
        <w:rPr>
          <w:color w:val="auto"/>
        </w:rPr>
        <w:t xml:space="preserve">Działania Inspekcji Sanitarnej wynikają z zapisów ustawy z dnia 14 marca 1985 r. </w:t>
      </w:r>
      <w:r w:rsidRPr="00BF2834">
        <w:rPr>
          <w:color w:val="auto"/>
        </w:rPr>
        <w:br/>
        <w:t>o Państwowej Inspekcji Sanitarnej (tj.</w:t>
      </w:r>
      <w:r>
        <w:rPr>
          <w:color w:val="auto"/>
        </w:rPr>
        <w:t xml:space="preserve"> </w:t>
      </w:r>
      <w:r w:rsidRPr="00BF2834">
        <w:rPr>
          <w:color w:val="auto"/>
        </w:rPr>
        <w:t>Dz. U. z 201</w:t>
      </w:r>
      <w:r>
        <w:rPr>
          <w:color w:val="auto"/>
        </w:rPr>
        <w:t>9</w:t>
      </w:r>
      <w:r w:rsidRPr="00BF2834">
        <w:rPr>
          <w:color w:val="auto"/>
        </w:rPr>
        <w:t xml:space="preserve"> r., poz. </w:t>
      </w:r>
      <w:r>
        <w:rPr>
          <w:color w:val="auto"/>
        </w:rPr>
        <w:t>59)</w:t>
      </w:r>
      <w:r w:rsidRPr="00BF2834">
        <w:rPr>
          <w:color w:val="auto"/>
        </w:rPr>
        <w:t xml:space="preserve"> i dotyczą ochrony zdrowia publicznego poprzez sprawowanie zapobiegawczego i bieżącego nadzoru sanitarnego oraz prowadzenie działalności zapobiegawczej i przeciwepidemicz</w:t>
      </w:r>
      <w:r>
        <w:rPr>
          <w:color w:val="auto"/>
        </w:rPr>
        <w:t xml:space="preserve">nej w zakresie chorób zakaźnych </w:t>
      </w:r>
      <w:r w:rsidRPr="00BF2834">
        <w:rPr>
          <w:color w:val="auto"/>
        </w:rPr>
        <w:t>i innych chorób powodowanych warunkami środowiska, a także prowadzenie działalności oświatowo-zdrowotnej.</w:t>
      </w:r>
    </w:p>
    <w:p w:rsidR="00AF0FDB" w:rsidRPr="00BF2834" w:rsidRDefault="00AF0FDB" w:rsidP="001C4197">
      <w:pPr>
        <w:pStyle w:val="Default"/>
        <w:spacing w:line="360" w:lineRule="auto"/>
        <w:jc w:val="both"/>
        <w:rPr>
          <w:color w:val="auto"/>
        </w:rPr>
      </w:pPr>
      <w:r w:rsidRPr="00BF2834">
        <w:rPr>
          <w:color w:val="auto"/>
        </w:rPr>
        <w:t xml:space="preserve">Działania Państwowego Powiatowego Inspektora Sanitarnego w Poznaniu ukierunkowane są na ochronę zdrowia ludzkiego przed niekorzystnym wpływem szkodliwości i uciążliwości środowiskowych oraz na zapobieganie powstawania chorób, w tym zakaźnych i zawodowych. </w:t>
      </w:r>
    </w:p>
    <w:p w:rsidR="00AF0FDB" w:rsidRPr="00BF2834" w:rsidRDefault="00AF0FDB" w:rsidP="001C4197">
      <w:pPr>
        <w:autoSpaceDE w:val="0"/>
        <w:autoSpaceDN w:val="0"/>
        <w:adjustRightInd w:val="0"/>
        <w:spacing w:before="0" w:after="0"/>
        <w:jc w:val="both"/>
      </w:pPr>
      <w:r w:rsidRPr="00BF2834">
        <w:t xml:space="preserve">Prowadzona jest również działalność oświatowo-zdrowotna w zakresie promocji zdrowia. </w:t>
      </w:r>
    </w:p>
    <w:p w:rsidR="00AF0FDB" w:rsidRPr="00BF2834" w:rsidRDefault="00AF0FDB" w:rsidP="001C4197">
      <w:pPr>
        <w:autoSpaceDE w:val="0"/>
        <w:autoSpaceDN w:val="0"/>
        <w:adjustRightInd w:val="0"/>
        <w:spacing w:before="0" w:after="0"/>
        <w:jc w:val="both"/>
      </w:pPr>
      <w:r w:rsidRPr="00BF2834">
        <w:t>Realizację zadań prowadzono w oparciu o plany pracy uwzględniając szacunek ryzyka oraz wytyczne Głównego Inspektora Sanitarnego i Wielkopolskiego Państwowego Wojewódzkiego Inspektora Sanitarnego w Poznaniu. Znaczną część dz</w:t>
      </w:r>
      <w:r>
        <w:t xml:space="preserve">iałań stanowiły też interwencje </w:t>
      </w:r>
      <w:r w:rsidRPr="00BF2834">
        <w:t xml:space="preserve">i „działania akcyjne” nieplanowane, wynikające z potrzeb bieżącej sytuacji epidemiologicznej. </w:t>
      </w:r>
    </w:p>
    <w:p w:rsidR="00AF0FDB" w:rsidRPr="00BF2834" w:rsidRDefault="00AF0FDB" w:rsidP="00A77A8D">
      <w:pPr>
        <w:autoSpaceDE w:val="0"/>
        <w:autoSpaceDN w:val="0"/>
        <w:adjustRightInd w:val="0"/>
        <w:spacing w:after="0"/>
        <w:jc w:val="both"/>
      </w:pPr>
      <w:r w:rsidRPr="00BF2834">
        <w:t xml:space="preserve">Zagrożenia bezpieczeństwa sanitarnego są niezwykle zróżnicowane, zmienne </w:t>
      </w:r>
      <w:r w:rsidRPr="00BF2834">
        <w:br/>
        <w:t xml:space="preserve">i nieprzewidywalne, obejmują skutki klęsk żywiołowych, wystąpienia epidemii a także pojawienie się nowych zagrożeń jak środki zastępcze zwane dopalaczami. </w:t>
      </w:r>
    </w:p>
    <w:p w:rsidR="00AF0FDB" w:rsidRPr="00BF2834" w:rsidRDefault="00AF0FDB" w:rsidP="003A16FB">
      <w:pPr>
        <w:autoSpaceDE w:val="0"/>
        <w:autoSpaceDN w:val="0"/>
        <w:adjustRightInd w:val="0"/>
        <w:spacing w:before="0" w:after="0"/>
        <w:jc w:val="both"/>
      </w:pPr>
      <w:r w:rsidRPr="00BF2834">
        <w:t xml:space="preserve">W przypadku zaistnienia sytuacji kryzysowych w tym zagrożeń epidemiologicznych działa system powiadamiania alarmowego, a w sytuacji stwierdzenia żywności stanowiącej ryzyko dla zdrowia lub życia ludzi – system wczesnego ostrzegania o niebezpiecznych produktach żywnościowych i środkach żywienia zwierząt RASFF. </w:t>
      </w:r>
    </w:p>
    <w:p w:rsidR="00AF0FDB" w:rsidRPr="00BF2834" w:rsidRDefault="00AF0FDB" w:rsidP="001C4197">
      <w:pPr>
        <w:autoSpaceDE w:val="0"/>
        <w:autoSpaceDN w:val="0"/>
        <w:adjustRightInd w:val="0"/>
        <w:spacing w:before="0" w:after="0"/>
      </w:pPr>
    </w:p>
    <w:p w:rsidR="00AF0FDB" w:rsidRPr="00BF2834" w:rsidRDefault="00AF0FDB" w:rsidP="001C4197">
      <w:pPr>
        <w:autoSpaceDE w:val="0"/>
        <w:autoSpaceDN w:val="0"/>
        <w:adjustRightInd w:val="0"/>
        <w:spacing w:before="0" w:after="0"/>
      </w:pPr>
      <w:r w:rsidRPr="00BF2834">
        <w:t xml:space="preserve">Powiatowa Stacja Sanitarno-Epidemiologiczna w Poznaniu pełni swoje zadania w sposób </w:t>
      </w:r>
    </w:p>
    <w:p w:rsidR="00AF0FDB" w:rsidRPr="00BF2834" w:rsidRDefault="00AF0FDB" w:rsidP="001C4197">
      <w:pPr>
        <w:autoSpaceDE w:val="0"/>
        <w:autoSpaceDN w:val="0"/>
        <w:adjustRightInd w:val="0"/>
        <w:spacing w:before="0" w:after="0"/>
      </w:pPr>
      <w:r w:rsidRPr="00BF2834">
        <w:t xml:space="preserve">profesjonalny i rzetelny, zapewniając bezpieczeństwo sanitarne, współpracuje z Wojewódzką Stacją Sanitarno-Epidemiologiczną, ale także bierze czynny udział w posiedzeniach sztabów kryzysowych miasta Poznania i powiatu poznańskiego. </w:t>
      </w:r>
    </w:p>
    <w:p w:rsidR="00AF0FDB" w:rsidRPr="00E8101A" w:rsidRDefault="00AF0FDB" w:rsidP="001C4197">
      <w:pPr>
        <w:autoSpaceDE w:val="0"/>
        <w:autoSpaceDN w:val="0"/>
        <w:adjustRightInd w:val="0"/>
        <w:spacing w:before="0" w:after="0"/>
        <w:rPr>
          <w:sz w:val="22"/>
          <w:szCs w:val="22"/>
        </w:rPr>
      </w:pPr>
    </w:p>
    <w:p w:rsidR="00AF0FDB" w:rsidRDefault="00AF0FDB" w:rsidP="001C4197">
      <w:pPr>
        <w:autoSpaceDE w:val="0"/>
        <w:autoSpaceDN w:val="0"/>
        <w:adjustRightInd w:val="0"/>
        <w:spacing w:before="0" w:after="0"/>
      </w:pPr>
    </w:p>
    <w:p w:rsidR="00AF0FDB" w:rsidRDefault="00AF0FDB" w:rsidP="001C4197">
      <w:pPr>
        <w:autoSpaceDE w:val="0"/>
        <w:autoSpaceDN w:val="0"/>
        <w:adjustRightInd w:val="0"/>
        <w:spacing w:before="0" w:after="0"/>
      </w:pPr>
    </w:p>
    <w:p w:rsidR="00AF0FDB" w:rsidRDefault="00AF0FDB" w:rsidP="001C4197">
      <w:pPr>
        <w:autoSpaceDE w:val="0"/>
        <w:autoSpaceDN w:val="0"/>
        <w:adjustRightInd w:val="0"/>
        <w:spacing w:before="0" w:after="0"/>
      </w:pPr>
    </w:p>
    <w:p w:rsidR="00AF0FDB" w:rsidRDefault="00AF0FDB" w:rsidP="001C4197">
      <w:pPr>
        <w:autoSpaceDE w:val="0"/>
        <w:autoSpaceDN w:val="0"/>
        <w:adjustRightInd w:val="0"/>
        <w:spacing w:before="0" w:after="0"/>
      </w:pPr>
    </w:p>
    <w:p w:rsidR="00AF0FDB" w:rsidRDefault="00AF0FDB" w:rsidP="001C4197">
      <w:pPr>
        <w:autoSpaceDE w:val="0"/>
        <w:autoSpaceDN w:val="0"/>
        <w:adjustRightInd w:val="0"/>
        <w:spacing w:before="0" w:after="0"/>
      </w:pPr>
    </w:p>
    <w:p w:rsidR="00AF0FDB" w:rsidRPr="00BF2834" w:rsidRDefault="00AF0FDB" w:rsidP="001C4197">
      <w:pPr>
        <w:autoSpaceDE w:val="0"/>
        <w:autoSpaceDN w:val="0"/>
        <w:adjustRightInd w:val="0"/>
        <w:spacing w:before="0" w:after="0"/>
      </w:pPr>
    </w:p>
    <w:p w:rsidR="00AF0FDB" w:rsidRPr="00BF2834" w:rsidRDefault="00AF0FDB" w:rsidP="001C4197">
      <w:pPr>
        <w:spacing w:before="0" w:after="0"/>
        <w:ind w:left="4681" w:firstLine="706"/>
        <w:rPr>
          <w:i/>
          <w:iCs/>
          <w:sz w:val="23"/>
          <w:szCs w:val="23"/>
        </w:rPr>
      </w:pPr>
      <w:r w:rsidRPr="00BF2834">
        <w:rPr>
          <w:i/>
          <w:iCs/>
          <w:sz w:val="23"/>
          <w:szCs w:val="23"/>
        </w:rPr>
        <w:t>Z wyrazami szacunku</w:t>
      </w:r>
    </w:p>
    <w:p w:rsidR="00AF0FDB" w:rsidRDefault="00AF0FDB" w:rsidP="001C4197">
      <w:pPr>
        <w:spacing w:before="0" w:after="0"/>
        <w:ind w:left="3545" w:firstLine="141"/>
        <w:jc w:val="center"/>
        <w:rPr>
          <w:sz w:val="23"/>
          <w:szCs w:val="23"/>
        </w:rPr>
      </w:pPr>
      <w:r w:rsidRPr="00BF2834">
        <w:rPr>
          <w:sz w:val="23"/>
          <w:szCs w:val="23"/>
        </w:rPr>
        <w:t xml:space="preserve">Państwowy Powiatowy Inspektor Sanitarny </w:t>
      </w:r>
      <w:r w:rsidRPr="00BF2834">
        <w:rPr>
          <w:sz w:val="23"/>
          <w:szCs w:val="23"/>
        </w:rPr>
        <w:br/>
        <w:t>w Poznaniu</w:t>
      </w:r>
    </w:p>
    <w:p w:rsidR="00AF0FDB" w:rsidRPr="00E8101A" w:rsidRDefault="00AF0FDB" w:rsidP="001C4197">
      <w:pPr>
        <w:spacing w:before="0" w:after="0"/>
        <w:ind w:left="3545" w:firstLine="141"/>
        <w:jc w:val="center"/>
        <w:rPr>
          <w:sz w:val="23"/>
          <w:szCs w:val="23"/>
        </w:rPr>
      </w:pPr>
      <w:r w:rsidRPr="00BF2834">
        <w:rPr>
          <w:sz w:val="23"/>
          <w:szCs w:val="23"/>
        </w:rPr>
        <w:t>dr n. med. Witold Draber</w:t>
      </w:r>
    </w:p>
    <w:p w:rsidR="00AF0FDB" w:rsidRDefault="00AF0FDB" w:rsidP="00304E38">
      <w:pPr>
        <w:spacing w:before="0" w:after="160" w:line="259" w:lineRule="auto"/>
      </w:pPr>
      <w:r>
        <w:br w:type="page"/>
      </w:r>
    </w:p>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Pr="001F0059" w:rsidRDefault="00AF0FDB" w:rsidP="001F0059"/>
    <w:p w:rsidR="00AF0FDB" w:rsidRDefault="00AF0FDB" w:rsidP="001F0059"/>
    <w:p w:rsidR="00AF0FDB" w:rsidRDefault="00AF0FDB" w:rsidP="001F0059"/>
    <w:p w:rsidR="00AF0FDB" w:rsidRPr="00161C31" w:rsidRDefault="00AF0FDB" w:rsidP="00B46301">
      <w:pPr>
        <w:pStyle w:val="Heading1"/>
        <w:spacing w:before="0"/>
      </w:pPr>
      <w:bookmarkStart w:id="14" w:name="_Toc179809"/>
      <w:bookmarkStart w:id="15" w:name="_Toc855343"/>
      <w:bookmarkStart w:id="16" w:name="_Toc938786"/>
      <w:r w:rsidRPr="00161C31">
        <w:t>WARUNKI ZDROWOTNE</w:t>
      </w:r>
      <w:bookmarkStart w:id="17" w:name="_Toc285026008"/>
      <w:bookmarkStart w:id="18" w:name="_Toc285095136"/>
      <w:bookmarkStart w:id="19" w:name="_Toc286138819"/>
      <w:r w:rsidRPr="00161C31">
        <w:t xml:space="preserve"> ŚRODOWISKA BYTOWANIA CZŁOWIEKA</w:t>
      </w:r>
      <w:bookmarkEnd w:id="14"/>
      <w:bookmarkEnd w:id="15"/>
      <w:bookmarkEnd w:id="16"/>
      <w:bookmarkEnd w:id="17"/>
      <w:bookmarkEnd w:id="18"/>
      <w:bookmarkEnd w:id="19"/>
    </w:p>
    <w:p w:rsidR="00AF0FDB" w:rsidRPr="00417E3F" w:rsidRDefault="00AF0FDB" w:rsidP="00B46301">
      <w:pPr>
        <w:spacing w:before="0" w:after="0"/>
        <w:rPr>
          <w:rFonts w:ascii="Cambria" w:hAnsi="Cambria" w:cs="Cambria"/>
          <w:sz w:val="48"/>
          <w:szCs w:val="48"/>
        </w:rPr>
      </w:pPr>
      <w:r>
        <w:br w:type="page"/>
      </w:r>
    </w:p>
    <w:p w:rsidR="00AF0FDB" w:rsidRPr="00B063DE" w:rsidRDefault="00AF0FDB" w:rsidP="00B46301">
      <w:pPr>
        <w:pStyle w:val="Heading1"/>
        <w:spacing w:before="0" w:after="0"/>
        <w:rPr>
          <w:rFonts w:ascii="Times New Roman" w:hAnsi="Times New Roman" w:cs="Times New Roman"/>
          <w:sz w:val="24"/>
          <w:szCs w:val="24"/>
        </w:rPr>
      </w:pPr>
      <w:bookmarkStart w:id="20" w:name="_Toc506553961"/>
      <w:bookmarkStart w:id="21" w:name="_Toc179810"/>
      <w:bookmarkStart w:id="22" w:name="_Toc855344"/>
      <w:bookmarkStart w:id="23" w:name="_Toc938787"/>
      <w:r w:rsidRPr="00B063DE">
        <w:rPr>
          <w:rFonts w:ascii="Times New Roman" w:hAnsi="Times New Roman" w:cs="Times New Roman"/>
          <w:sz w:val="24"/>
          <w:szCs w:val="24"/>
        </w:rPr>
        <w:t>Zaopatrzenie ludności w wodę do picia</w:t>
      </w:r>
      <w:bookmarkEnd w:id="20"/>
      <w:bookmarkEnd w:id="21"/>
      <w:bookmarkEnd w:id="22"/>
      <w:bookmarkEnd w:id="23"/>
      <w:r w:rsidRPr="00B063DE">
        <w:rPr>
          <w:rFonts w:ascii="Times New Roman" w:hAnsi="Times New Roman" w:cs="Times New Roman"/>
          <w:sz w:val="24"/>
          <w:szCs w:val="24"/>
        </w:rPr>
        <w:t xml:space="preserve"> </w:t>
      </w:r>
    </w:p>
    <w:p w:rsidR="00AF0FDB" w:rsidRPr="00B063DE" w:rsidRDefault="00AF0FDB" w:rsidP="00B063DE">
      <w:pPr>
        <w:pStyle w:val="Heading1"/>
        <w:spacing w:before="0" w:after="0"/>
        <w:rPr>
          <w:rFonts w:ascii="Times New Roman" w:hAnsi="Times New Roman" w:cs="Times New Roman"/>
          <w:sz w:val="24"/>
          <w:szCs w:val="24"/>
        </w:rPr>
      </w:pPr>
      <w:bookmarkStart w:id="24" w:name="_Toc506553962"/>
      <w:bookmarkStart w:id="25" w:name="_Toc179811"/>
      <w:bookmarkStart w:id="26" w:name="_Toc855345"/>
      <w:bookmarkStart w:id="27" w:name="_Toc938788"/>
      <w:r w:rsidRPr="00B063DE">
        <w:rPr>
          <w:rFonts w:ascii="Times New Roman" w:hAnsi="Times New Roman" w:cs="Times New Roman"/>
          <w:sz w:val="24"/>
          <w:szCs w:val="24"/>
        </w:rPr>
        <w:t>i na potrzeby gospodarcze</w:t>
      </w:r>
      <w:bookmarkEnd w:id="24"/>
      <w:bookmarkEnd w:id="25"/>
      <w:bookmarkEnd w:id="26"/>
      <w:bookmarkEnd w:id="27"/>
    </w:p>
    <w:p w:rsidR="00AF0FDB" w:rsidRPr="00AC6762" w:rsidRDefault="00AF0FDB" w:rsidP="00AC6762">
      <w:pPr>
        <w:jc w:val="both"/>
      </w:pPr>
      <w:r w:rsidRPr="00AC6762">
        <w:t xml:space="preserve">Na terenie Poznania i powiatu poznańskiego wodociągi produkujące wodę przeznaczoną do spożycia przez ludzi zasilane są z ujęć podziemnych, czwarto –  i trzeciorzędowych, </w:t>
      </w:r>
      <w:r w:rsidRPr="00AC6762">
        <w:br/>
        <w:t>a 2 ujęcia wodociągu poznańskiego oparte są o wody infiltracyjne (Dębina i Mosina).</w:t>
      </w:r>
    </w:p>
    <w:p w:rsidR="00AF0FDB" w:rsidRPr="00AC6762" w:rsidRDefault="00AF0FDB" w:rsidP="00A77A8D">
      <w:pPr>
        <w:jc w:val="both"/>
      </w:pPr>
      <w:r w:rsidRPr="00AC6762">
        <w:t>Wody podziemne charakteryzują się stałym składem fizyko – chemicznym, który kształtują procesy hydrogeologiczne, fizyczne i biologi</w:t>
      </w:r>
      <w:r>
        <w:t xml:space="preserve">czne. Najczęściej przekraczane </w:t>
      </w:r>
      <w:r w:rsidRPr="00AC6762">
        <w:t xml:space="preserve">są wymagania dotyczące dopuszczalnych ilości manganu i żelaza. Parametry te nie mają znaczenia zdrowotnego i nie stanowią zagrożenia dla zdrowia ludzi. Mogą jednak powodować zmiany organoleptyczne wody, </w:t>
      </w:r>
      <w:r>
        <w:t xml:space="preserve">co w konsekwencji może być nie </w:t>
      </w:r>
      <w:r w:rsidRPr="00AC6762">
        <w:t>do zaakceptowania przez konsumentów. Uzdatnianie takiej wody jest stosunkowo proste, przy użyciu tradycyjnych ukła</w:t>
      </w:r>
      <w:r>
        <w:t>dów napowietrzania i filtracji.</w:t>
      </w:r>
    </w:p>
    <w:p w:rsidR="00AF0FDB" w:rsidRPr="00AC6762" w:rsidRDefault="00AF0FDB" w:rsidP="00AC6762">
      <w:pPr>
        <w:jc w:val="both"/>
        <w:rPr>
          <w:lang/>
        </w:rPr>
      </w:pPr>
      <w:r w:rsidRPr="00AC6762">
        <w:rPr>
          <w:lang/>
        </w:rPr>
        <w:t>W roku 201</w:t>
      </w:r>
      <w:r w:rsidRPr="00AC6762">
        <w:t>8</w:t>
      </w:r>
      <w:r w:rsidRPr="00AC6762">
        <w:rPr>
          <w:lang/>
        </w:rPr>
        <w:t xml:space="preserve"> pod nadzorem Państwowej Inspekcji Sanitarnej znajdowało się 9</w:t>
      </w:r>
      <w:r w:rsidRPr="00AC6762">
        <w:t>6</w:t>
      </w:r>
      <w:r w:rsidRPr="00AC6762">
        <w:rPr>
          <w:lang/>
        </w:rPr>
        <w:t xml:space="preserve"> urządzeń wodociągowych: </w:t>
      </w:r>
    </w:p>
    <w:p w:rsidR="00AF0FDB" w:rsidRPr="00AC6762" w:rsidRDefault="00AF0FDB" w:rsidP="00DF3B4E">
      <w:pPr>
        <w:numPr>
          <w:ilvl w:val="0"/>
          <w:numId w:val="29"/>
        </w:numPr>
        <w:spacing w:before="0"/>
        <w:jc w:val="both"/>
      </w:pPr>
      <w:r w:rsidRPr="00AC6762">
        <w:t>1 wodociąg o produkcji wody powyżej 100000 m</w:t>
      </w:r>
      <w:r w:rsidRPr="00AC6762">
        <w:rPr>
          <w:vertAlign w:val="superscript"/>
        </w:rPr>
        <w:t>3</w:t>
      </w:r>
      <w:r w:rsidRPr="00AC6762">
        <w:t>/dobę;</w:t>
      </w:r>
    </w:p>
    <w:p w:rsidR="00AF0FDB" w:rsidRDefault="00AF0FDB" w:rsidP="00DF3B4E">
      <w:pPr>
        <w:numPr>
          <w:ilvl w:val="0"/>
          <w:numId w:val="29"/>
        </w:numPr>
        <w:spacing w:before="0"/>
        <w:jc w:val="both"/>
      </w:pPr>
      <w:r w:rsidRPr="00AC6762">
        <w:t>13 wodociągów o produkcji wody 1001 – 10000 m</w:t>
      </w:r>
      <w:r w:rsidRPr="00AC6762">
        <w:rPr>
          <w:vertAlign w:val="superscript"/>
        </w:rPr>
        <w:t>3</w:t>
      </w:r>
      <w:r w:rsidRPr="00AC6762">
        <w:t>/dobę;</w:t>
      </w:r>
    </w:p>
    <w:p w:rsidR="00AF0FDB" w:rsidRPr="00AC6762" w:rsidRDefault="00AF0FDB" w:rsidP="002C7000">
      <w:pPr>
        <w:numPr>
          <w:ilvl w:val="0"/>
          <w:numId w:val="29"/>
        </w:numPr>
        <w:spacing w:before="0"/>
        <w:jc w:val="both"/>
      </w:pPr>
      <w:r w:rsidRPr="00AC6762">
        <w:t>49 wodociągów o produkcji wody 101 – 1000 m</w:t>
      </w:r>
      <w:r w:rsidRPr="002C7000">
        <w:rPr>
          <w:vertAlign w:val="superscript"/>
        </w:rPr>
        <w:t>3</w:t>
      </w:r>
      <w:r w:rsidRPr="00AC6762">
        <w:t>/dobę;</w:t>
      </w:r>
    </w:p>
    <w:p w:rsidR="00AF0FDB" w:rsidRPr="00DF3B4E" w:rsidRDefault="00AF0FDB" w:rsidP="00DF3B4E">
      <w:pPr>
        <w:numPr>
          <w:ilvl w:val="0"/>
          <w:numId w:val="27"/>
        </w:numPr>
        <w:spacing w:before="0"/>
        <w:jc w:val="both"/>
      </w:pPr>
      <w:r w:rsidRPr="00AC6762">
        <w:t>33 wodociągi o produkcji wody poniżej 101 m</w:t>
      </w:r>
      <w:r w:rsidRPr="00AC6762">
        <w:rPr>
          <w:vertAlign w:val="superscript"/>
        </w:rPr>
        <w:t>3</w:t>
      </w:r>
      <w:r w:rsidRPr="00AC6762">
        <w:t>/dobę.</w:t>
      </w:r>
    </w:p>
    <w:p w:rsidR="00AF0FDB" w:rsidRPr="00AC6762" w:rsidRDefault="00AF0FDB" w:rsidP="00AC6762">
      <w:pPr>
        <w:jc w:val="both"/>
      </w:pPr>
      <w:r w:rsidRPr="00AC6762">
        <w:t>Wodociągi o produkcji od 100 do 1000 m</w:t>
      </w:r>
      <w:r w:rsidRPr="00AC6762">
        <w:rPr>
          <w:vertAlign w:val="superscript"/>
        </w:rPr>
        <w:t>3</w:t>
      </w:r>
      <w:r w:rsidRPr="00AC6762">
        <w:t xml:space="preserve">/dobę są jednym z głównych źródeł zaopatrzenia </w:t>
      </w:r>
      <w:r w:rsidRPr="00AC6762">
        <w:br/>
        <w:t>w wodę ludności z terenu powiatu poznańskiego – stanowią ponad 50 % wszystkich zewidencjono</w:t>
      </w:r>
      <w:r>
        <w:t xml:space="preserve">wanych urządzeń wodociągowych. </w:t>
      </w:r>
    </w:p>
    <w:p w:rsidR="00AF0FDB" w:rsidRPr="00AC6762" w:rsidRDefault="00AF0FDB" w:rsidP="00AC6762">
      <w:pPr>
        <w:jc w:val="both"/>
      </w:pPr>
      <w:r w:rsidRPr="00AC6762">
        <w:t xml:space="preserve">Wodociąg Miejski w Poznaniu (Poznański System Wodociągowy) jest wodociągiem </w:t>
      </w:r>
      <w:r w:rsidRPr="00AC6762">
        <w:br/>
        <w:t>o największej wydajności w województwie wielkopolskim i zaopatruje około 700 000 mieszkańców z obszaru miasta Poznania i okolicznych gmin: Czerwonaka, Dopiewa, Komornik, Kórnika, Lubonia, Mosiny, Murowanej Gośliny, Puszczykowa, Rokietnicy, Suchego Lasu, Swarzędza, Tarnowa Podgórnego. Głównymi ujęciami poznańskiego systemu wodociągowego są:</w:t>
      </w:r>
    </w:p>
    <w:p w:rsidR="00AF0FDB" w:rsidRPr="00AC6762" w:rsidRDefault="00AF0FDB" w:rsidP="00AC6762">
      <w:pPr>
        <w:jc w:val="both"/>
      </w:pPr>
      <w:r w:rsidRPr="002C7000">
        <w:rPr>
          <w:b/>
          <w:bCs/>
          <w:color w:val="000000"/>
        </w:rPr>
        <w:t xml:space="preserve">Ujęcie Mosińskie </w:t>
      </w:r>
      <w:r w:rsidRPr="00AC6762">
        <w:t>(ujęcie Mosina-Krajkowo) będące głównym ujęciem dla miasta Poznania, zlokalizowanym w zlewni rzeki Warty, które w 80% oparte jest o wody podziemne, a w 20% o wody infiltracyjne (studnia promienista i stawy infiltracyjne).</w:t>
      </w:r>
    </w:p>
    <w:p w:rsidR="00AF0FDB" w:rsidRPr="00AC6762" w:rsidRDefault="00AF0FDB" w:rsidP="002C7000">
      <w:pPr>
        <w:spacing w:before="0"/>
        <w:jc w:val="both"/>
      </w:pPr>
      <w:r w:rsidRPr="00AC6762">
        <w:t xml:space="preserve"> Ze względu na warunki hydrogeologiczne ujęcie zostało podzielone na elementy takie jak: </w:t>
      </w:r>
    </w:p>
    <w:p w:rsidR="00AF0FDB" w:rsidRPr="00AC6762" w:rsidRDefault="00AF0FDB" w:rsidP="002C7000">
      <w:pPr>
        <w:numPr>
          <w:ilvl w:val="0"/>
          <w:numId w:val="28"/>
        </w:numPr>
        <w:spacing w:before="0"/>
        <w:jc w:val="both"/>
      </w:pPr>
      <w:r w:rsidRPr="00AC6762">
        <w:t>bariera 17 szt. studni rejonu ,,Sowiniec” o głębokości od 41,5 do 52 m – wody podziemne (obecnie z wyjątkiem dwóch studni wyłączone z eksploatacji);</w:t>
      </w:r>
    </w:p>
    <w:p w:rsidR="00AF0FDB" w:rsidRPr="00AC6762" w:rsidRDefault="00AF0FDB" w:rsidP="002C7000">
      <w:pPr>
        <w:numPr>
          <w:ilvl w:val="0"/>
          <w:numId w:val="28"/>
        </w:numPr>
        <w:spacing w:before="0"/>
        <w:jc w:val="both"/>
      </w:pPr>
      <w:r w:rsidRPr="00AC6762">
        <w:t>bariera 39 szt. studni rejonu ,,Tarasu Nadzalewowego”, zlokalizowanych na odcinku od Kanału Mosińskiego do wsi Krajkowo o głębokości od 39,5 do 50,0 m – wody podziemne;</w:t>
      </w:r>
    </w:p>
    <w:p w:rsidR="00AF0FDB" w:rsidRPr="00AC6762" w:rsidRDefault="00AF0FDB" w:rsidP="002C7000">
      <w:pPr>
        <w:numPr>
          <w:ilvl w:val="0"/>
          <w:numId w:val="28"/>
        </w:numPr>
        <w:spacing w:before="0"/>
        <w:jc w:val="both"/>
      </w:pPr>
      <w:r w:rsidRPr="00AC6762">
        <w:t>bariera 29 szt. studni rejonu ,,Tarasu Zalewowego”, zlokalizowanych na wyspie Krajkowskiej o głębokości od 31 do 42,6 m – wody podziemne;</w:t>
      </w:r>
    </w:p>
    <w:p w:rsidR="00AF0FDB" w:rsidRPr="00AC6762" w:rsidRDefault="00AF0FDB" w:rsidP="002C7000">
      <w:pPr>
        <w:numPr>
          <w:ilvl w:val="0"/>
          <w:numId w:val="28"/>
        </w:numPr>
        <w:spacing w:before="0"/>
        <w:jc w:val="both"/>
      </w:pPr>
      <w:r w:rsidRPr="00AC6762">
        <w:t xml:space="preserve">bariera 11 szt. studni infiltracyjnych, zlokalizowanych na wyspie Krajkowskiej </w:t>
      </w:r>
      <w:r w:rsidRPr="00AC6762">
        <w:br/>
        <w:t>o głębokości od 21,75 m do 27,35 m – wody powierzchniowe;</w:t>
      </w:r>
    </w:p>
    <w:p w:rsidR="00AF0FDB" w:rsidRPr="00AC6762" w:rsidRDefault="00AF0FDB" w:rsidP="002C7000">
      <w:pPr>
        <w:numPr>
          <w:ilvl w:val="0"/>
          <w:numId w:val="28"/>
        </w:numPr>
        <w:spacing w:before="0"/>
        <w:jc w:val="both"/>
      </w:pPr>
      <w:r w:rsidRPr="00AC6762">
        <w:t xml:space="preserve">studnia promienista, wybudowana na 273 km rzeki Warty – wody powierzchniowe. </w:t>
      </w:r>
    </w:p>
    <w:p w:rsidR="00AF0FDB" w:rsidRPr="00AC6762" w:rsidRDefault="00AF0FDB" w:rsidP="00AC6762">
      <w:pPr>
        <w:jc w:val="both"/>
      </w:pPr>
      <w:r w:rsidRPr="00AC6762">
        <w:t xml:space="preserve">Teren ujęcia jest ogrodzony, każda studnia posiada elektroniczny czujnik ruchu monitorowany systemem komputerowym, ponadto prowadzony jest monitoring objazdowy. </w:t>
      </w:r>
    </w:p>
    <w:p w:rsidR="00AF0FDB" w:rsidRPr="00AC6762" w:rsidRDefault="00AF0FDB" w:rsidP="00AC6762">
      <w:pPr>
        <w:jc w:val="both"/>
        <w:rPr>
          <w:lang/>
        </w:rPr>
      </w:pPr>
      <w:r w:rsidRPr="00AC6762">
        <w:t>Proces uzdatniania polega</w:t>
      </w:r>
      <w:r w:rsidRPr="00AC6762">
        <w:rPr>
          <w:lang/>
        </w:rPr>
        <w:t xml:space="preserve"> na napowietrzaniu wody surowej, która następnie jest zatrzymywana w komorze reakcji i poddawana procesowi filtracji pospiesznej (I°) przez złoże antracytowo-piaskowe. Następnie podlega ozonowaniu </w:t>
      </w:r>
      <w:r w:rsidRPr="00AC6762">
        <w:t>i dalej</w:t>
      </w:r>
      <w:r w:rsidRPr="00AC6762">
        <w:rPr>
          <w:lang/>
        </w:rPr>
        <w:t xml:space="preserve"> trafia na filtry węglowe (tzw. II° filtracji). Następnie oczyszczona woda jest dezynfekowana dwutlenkiem chloru. Dwutlenek chloru powstaje </w:t>
      </w:r>
      <w:r w:rsidRPr="00AC6762">
        <w:t>z</w:t>
      </w:r>
      <w:r w:rsidRPr="00AC6762">
        <w:rPr>
          <w:lang/>
        </w:rPr>
        <w:t xml:space="preserve"> chlorynu sodu i kwasu solnego. Stosowana jest również dezynfekcja oparta na elektrolizie chlorku sodu, która wspomaga dezynfekcję dwutlenkiem chloru.</w:t>
      </w:r>
      <w:r w:rsidRPr="00AC6762">
        <w:t xml:space="preserve"> </w:t>
      </w:r>
      <w:r w:rsidRPr="00AC6762">
        <w:rPr>
          <w:lang/>
        </w:rPr>
        <w:t>Tak uzdatniona woda  kierowana jest do sieci poznańskiego systemu wodociągowego dwiema magistralami Ø 1000 – zachodnią (przez zbiorniki w Pożegowie o łącznej pojemności 50000 m</w:t>
      </w:r>
      <w:r w:rsidRPr="00AC6762">
        <w:rPr>
          <w:vertAlign w:val="superscript"/>
          <w:lang/>
        </w:rPr>
        <w:t>3</w:t>
      </w:r>
      <w:r w:rsidRPr="00AC6762">
        <w:rPr>
          <w:lang/>
        </w:rPr>
        <w:t xml:space="preserve">) i wschodnią (bezpośrednio ze stacji). </w:t>
      </w:r>
    </w:p>
    <w:p w:rsidR="00AF0FDB" w:rsidRPr="00AC6762" w:rsidRDefault="00AF0FDB" w:rsidP="00AC6762">
      <w:pPr>
        <w:jc w:val="both"/>
        <w:rPr>
          <w:lang/>
        </w:rPr>
      </w:pPr>
      <w:r w:rsidRPr="00AC6762">
        <w:rPr>
          <w:lang/>
        </w:rPr>
        <w:t>Dobowa produkcja wody, liczona jako średnia z ostatniego roku kalendarzowego 201</w:t>
      </w:r>
      <w:r w:rsidRPr="00AC6762">
        <w:t>8</w:t>
      </w:r>
      <w:r w:rsidRPr="00AC6762">
        <w:rPr>
          <w:lang/>
        </w:rPr>
        <w:t xml:space="preserve"> r. wynosi  70034  m</w:t>
      </w:r>
      <w:r w:rsidRPr="00AC6762">
        <w:rPr>
          <w:vertAlign w:val="superscript"/>
          <w:lang/>
        </w:rPr>
        <w:t>3</w:t>
      </w:r>
      <w:r w:rsidRPr="00AC6762">
        <w:rPr>
          <w:lang/>
        </w:rPr>
        <w:t>/dobę.</w:t>
      </w:r>
    </w:p>
    <w:p w:rsidR="00AF0FDB" w:rsidRPr="00AC6762" w:rsidRDefault="00AF0FDB" w:rsidP="00AC6762">
      <w:pPr>
        <w:jc w:val="both"/>
      </w:pPr>
      <w:r w:rsidRPr="00543C79">
        <w:rPr>
          <w:b/>
          <w:bCs/>
        </w:rPr>
        <w:t>Ujęcie Dębina</w:t>
      </w:r>
      <w:r w:rsidRPr="00AC6762">
        <w:t xml:space="preserve"> – lewarowe, oparte pośrednio o wodę powierzchniową z rzeki Warty infiltrowaną przez 27 stawów infiltracyjnych i 6 osłonowych, która następnie zbierana jest przez 305 studni. </w:t>
      </w:r>
    </w:p>
    <w:p w:rsidR="00AF0FDB" w:rsidRDefault="00AF0FDB" w:rsidP="00AC6762">
      <w:pPr>
        <w:jc w:val="both"/>
      </w:pPr>
      <w:r w:rsidRPr="00AC6762">
        <w:t xml:space="preserve">Teren ujęcia jest ogrodzony i monitorowany. Z ujęcia Dębińskiego woda uzdatniana jest na stacji uzdatniania przy ul. Wiśniowej 13, gdzie podlega: odżelazianiu, odmanganianiu, filtracji na filtrach pospiesznych. Następnie oczyszczona woda jest dezynfekowana chlorem gazowym. Stamtąd woda trafia do 2 zbiorników terenowych wody czystej. </w:t>
      </w:r>
    </w:p>
    <w:p w:rsidR="00AF0FDB" w:rsidRPr="00AC6762" w:rsidRDefault="00AF0FDB" w:rsidP="00AC6762">
      <w:pPr>
        <w:jc w:val="both"/>
      </w:pPr>
      <w:r w:rsidRPr="00AC6762">
        <w:t>Woda kierowana na sieć dezynfekowana jest dodatkowo za pomocą lamp UV. Dobowa produkcja wody, liczona jako średnia z ostatniego roku kalendarzowego wynosi  39019 m</w:t>
      </w:r>
      <w:r w:rsidRPr="00AC6762">
        <w:rPr>
          <w:vertAlign w:val="superscript"/>
        </w:rPr>
        <w:t>3</w:t>
      </w:r>
      <w:r w:rsidRPr="00AC6762">
        <w:t>/dobę.</w:t>
      </w:r>
    </w:p>
    <w:p w:rsidR="00AF0FDB" w:rsidRPr="00AC6762" w:rsidRDefault="00AF0FDB" w:rsidP="00AC6762">
      <w:pPr>
        <w:jc w:val="both"/>
      </w:pPr>
      <w:r w:rsidRPr="002C7000">
        <w:rPr>
          <w:b/>
          <w:bCs/>
        </w:rPr>
        <w:t>Ujęcie Gruszczyn</w:t>
      </w:r>
      <w:r w:rsidRPr="00AC6762">
        <w:t xml:space="preserve"> – jest ujęciem opartym wyłącznie o wody podziemne. Woda ujmowana jest za pomocą 9 studni głębinowych zlokalizowanych na terenie wsi Gruszczyn i 8 studni na terenie wsi Promienko, średnia głębokość wynosi 82,9 m. Wyznaczono strefę ochrony bezpośredniej każdej ze studni, która jest ogrodzona, obsadzona zielenią i odpowiednio oznakowana. Każda studnia posiada elektroniczny czujnik ruchu, ponadto prowadzony jest monitoring objazdowy. </w:t>
      </w:r>
    </w:p>
    <w:p w:rsidR="00AF0FDB" w:rsidRPr="00AC6762" w:rsidRDefault="00AF0FDB" w:rsidP="00AC6762">
      <w:pPr>
        <w:jc w:val="both"/>
      </w:pPr>
      <w:r w:rsidRPr="00AC6762">
        <w:t>Z ujęcia Gruszczyn woda tłoczona jest do Stacji Uzdatniania Wody w Gruszczynie, gdzie jest napowietrzana, a następnie poddawana procesowi filtracji pospiesznej przez złoże antracytowo – piaskowe, oraz filtracji II</w:t>
      </w:r>
      <w:r>
        <w:rPr>
          <w:vertAlign w:val="superscript"/>
        </w:rPr>
        <w:t>o</w:t>
      </w:r>
      <w:r w:rsidRPr="00AC6762">
        <w:t xml:space="preserve"> na filtrach węglowych. Następnie oczyszczona woda dezynfekowana jest mieszaniną chloru gazowego (5%) i trafia do  zbiornika podziemnego wody czystej. Ze zbiornika woda kierowana jest do odbiorców, po uprzedniej dodatkowej dezynfekcji przy użyciu dwutlenku chloru (95%), który powstaje z chloru gazowego </w:t>
      </w:r>
      <w:r w:rsidRPr="00AC6762">
        <w:br/>
        <w:t>i chlorynu sodu. Dobowa produkcja wody, liczona jako średnia z ostatniego roku kalendarzowego wynosi 11778 m</w:t>
      </w:r>
      <w:r w:rsidRPr="00AC6762">
        <w:rPr>
          <w:vertAlign w:val="superscript"/>
        </w:rPr>
        <w:t>3</w:t>
      </w:r>
      <w:r w:rsidRPr="00AC6762">
        <w:t xml:space="preserve">/dobę. </w:t>
      </w:r>
    </w:p>
    <w:p w:rsidR="00AF0FDB" w:rsidRPr="00AC6762" w:rsidRDefault="00AF0FDB" w:rsidP="00AC6762">
      <w:pPr>
        <w:jc w:val="both"/>
      </w:pPr>
      <w:r w:rsidRPr="00AC6762">
        <w:t>W 2018 roku w ramach prowadzonego nadzoru nad jakością wody przeznaczoną do spożycia przez ludzi, służby sanitarne skontrolowały wszystkie funkcjonujące wodociągi. Większość wodociągów pracuje w oparciu o jedno ujęcie, które stanowi jedna lub kilka studni. Studnie na ujęciach wodociągowych są właściwie oznakowane i zabezpieczone przed dostępem osób nieupoważnionych</w:t>
      </w:r>
      <w:r>
        <w:t>,</w:t>
      </w:r>
      <w:r w:rsidRPr="00AC6762">
        <w:t xml:space="preserve"> ich stan sanitarno – techniczny nie budził większych zastrzeżeń. Urządzenia wodne są regularnie konserwowane, studzienki utrzymane czysto, włazy zamknięte, kominki wentylacyjne zabezpieczone siatkami przeciw owadom i gryzoniom. Stosowane są również zabezpieczenia elektroniczne. Teren ujęć jest ogrodzony i prawidłowo zagospodarowany. Prowadzony jest również monitoring objazdowy i patrole stacjonarne. </w:t>
      </w:r>
    </w:p>
    <w:p w:rsidR="00AF0FDB" w:rsidRPr="00AC6762" w:rsidRDefault="00AF0FDB" w:rsidP="00AC6762">
      <w:pPr>
        <w:jc w:val="both"/>
      </w:pPr>
      <w:r w:rsidRPr="00AC6762">
        <w:t xml:space="preserve">W roku 2018 Państwowy Powiatowy Inspektor Sanitarny w Poznaniu, zgodnie </w:t>
      </w:r>
      <w:r w:rsidRPr="00AC6762">
        <w:br/>
        <w:t>z rozporządzeniem Ministra Zdrowia z dnia 7 grudnia 2017 roku w sprawie jakości wody przeznaczonej do spożycia przez ludzi (Dz. U. z 2017 roku, poz. 2294) prowadził monitoring jakości wody oraz działalność nadzorową uwzględniającą interwencje odbiorców wody.</w:t>
      </w:r>
    </w:p>
    <w:p w:rsidR="00AF0FDB" w:rsidRPr="00AC6762" w:rsidRDefault="00AF0FDB" w:rsidP="00AC6762">
      <w:pPr>
        <w:jc w:val="both"/>
      </w:pPr>
      <w:r w:rsidRPr="00AC6762">
        <w:t>Na podstawie przeprowadzonych badań fizykochemicznych i bakteriologicznych, dokonywano okresowej oceny jakości wody, którą każdorazowo przekazywano prezydentowi Miasta Poznania, burmistrzom i wójtom, zgodnie z obowiązującymi przepisami.</w:t>
      </w:r>
    </w:p>
    <w:p w:rsidR="00AF0FDB" w:rsidRPr="003D7E03" w:rsidRDefault="00AF0FDB" w:rsidP="003D7E03">
      <w:pPr>
        <w:jc w:val="both"/>
        <w:rPr>
          <w:sz w:val="20"/>
          <w:szCs w:val="20"/>
        </w:rPr>
      </w:pPr>
      <w:r w:rsidRPr="00616F73">
        <w:rPr>
          <w:b/>
          <w:bCs/>
          <w:sz w:val="20"/>
          <w:szCs w:val="20"/>
        </w:rPr>
        <w:t>Tab. 1.</w:t>
      </w:r>
      <w:r w:rsidRPr="00616F73">
        <w:rPr>
          <w:sz w:val="20"/>
          <w:szCs w:val="20"/>
        </w:rPr>
        <w:t xml:space="preserve"> Zaopatrzenie</w:t>
      </w:r>
      <w:r w:rsidRPr="003D7E03">
        <w:rPr>
          <w:sz w:val="20"/>
          <w:szCs w:val="20"/>
        </w:rPr>
        <w:t xml:space="preserve"> ludności w wodę odpowiadającą (w tym odpowiadającą warunkowo) </w:t>
      </w:r>
      <w:r w:rsidRPr="003D7E03">
        <w:rPr>
          <w:spacing w:val="-6"/>
          <w:sz w:val="20"/>
          <w:szCs w:val="20"/>
        </w:rPr>
        <w:t>i nieodpowiadającą wymaganiom rozporządzenia Ministra Zdrowia w sprawie jakości wody przeznaczonej do spożycia przez ludzi.</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0A0"/>
      </w:tblPr>
      <w:tblGrid>
        <w:gridCol w:w="2250"/>
        <w:gridCol w:w="2291"/>
        <w:gridCol w:w="2251"/>
        <w:gridCol w:w="2291"/>
      </w:tblGrid>
      <w:tr w:rsidR="00AF0FDB" w:rsidRPr="00466A75">
        <w:tc>
          <w:tcPr>
            <w:tcW w:w="4541" w:type="dxa"/>
            <w:gridSpan w:val="2"/>
            <w:vMerge w:val="restart"/>
            <w:tcBorders>
              <w:bottom w:val="single" w:sz="18" w:space="0" w:color="A5A5A5"/>
            </w:tcBorders>
          </w:tcPr>
          <w:p w:rsidR="00AF0FDB" w:rsidRPr="002C4F7C" w:rsidRDefault="00AF0FDB" w:rsidP="002C4F7C">
            <w:pPr>
              <w:tabs>
                <w:tab w:val="center" w:pos="4536"/>
                <w:tab w:val="right" w:pos="9072"/>
              </w:tabs>
              <w:jc w:val="center"/>
              <w:rPr>
                <w:b/>
                <w:bCs/>
                <w:sz w:val="20"/>
                <w:szCs w:val="20"/>
              </w:rPr>
            </w:pPr>
          </w:p>
          <w:p w:rsidR="00AF0FDB" w:rsidRPr="002C4F7C" w:rsidRDefault="00AF0FDB" w:rsidP="002C4F7C">
            <w:pPr>
              <w:tabs>
                <w:tab w:val="center" w:pos="4536"/>
                <w:tab w:val="right" w:pos="9072"/>
              </w:tabs>
              <w:jc w:val="center"/>
              <w:rPr>
                <w:b/>
                <w:bCs/>
                <w:sz w:val="20"/>
                <w:szCs w:val="20"/>
              </w:rPr>
            </w:pPr>
            <w:r w:rsidRPr="002C4F7C">
              <w:rPr>
                <w:b/>
                <w:bCs/>
                <w:sz w:val="20"/>
                <w:szCs w:val="20"/>
              </w:rPr>
              <w:t>Producenci wody</w:t>
            </w:r>
          </w:p>
        </w:tc>
        <w:tc>
          <w:tcPr>
            <w:tcW w:w="4542" w:type="dxa"/>
            <w:gridSpan w:val="2"/>
            <w:tcBorders>
              <w:bottom w:val="single" w:sz="18" w:space="0" w:color="A5A5A5"/>
            </w:tcBorders>
          </w:tcPr>
          <w:p w:rsidR="00AF0FDB" w:rsidRPr="002C4F7C" w:rsidRDefault="00AF0FDB" w:rsidP="002C4F7C">
            <w:pPr>
              <w:tabs>
                <w:tab w:val="center" w:pos="4536"/>
                <w:tab w:val="right" w:pos="9072"/>
              </w:tabs>
              <w:spacing w:before="0"/>
              <w:jc w:val="center"/>
              <w:rPr>
                <w:b/>
                <w:bCs/>
                <w:sz w:val="20"/>
                <w:szCs w:val="20"/>
              </w:rPr>
            </w:pPr>
          </w:p>
          <w:p w:rsidR="00AF0FDB" w:rsidRPr="002C4F7C" w:rsidRDefault="00AF0FDB" w:rsidP="002C4F7C">
            <w:pPr>
              <w:tabs>
                <w:tab w:val="center" w:pos="4536"/>
                <w:tab w:val="right" w:pos="9072"/>
              </w:tabs>
              <w:spacing w:before="0"/>
              <w:jc w:val="center"/>
              <w:rPr>
                <w:b/>
                <w:bCs/>
                <w:sz w:val="20"/>
                <w:szCs w:val="20"/>
              </w:rPr>
            </w:pPr>
            <w:r w:rsidRPr="002C4F7C">
              <w:rPr>
                <w:b/>
                <w:bCs/>
                <w:sz w:val="20"/>
                <w:szCs w:val="20"/>
              </w:rPr>
              <w:t>Liczba ludności zaopatrywanej w wodę</w:t>
            </w:r>
          </w:p>
          <w:p w:rsidR="00AF0FDB" w:rsidRPr="002C4F7C" w:rsidRDefault="00AF0FDB" w:rsidP="002C4F7C">
            <w:pPr>
              <w:tabs>
                <w:tab w:val="center" w:pos="4536"/>
                <w:tab w:val="right" w:pos="9072"/>
              </w:tabs>
              <w:spacing w:before="0"/>
              <w:jc w:val="center"/>
              <w:rPr>
                <w:b/>
                <w:bCs/>
                <w:sz w:val="20"/>
                <w:szCs w:val="20"/>
              </w:rPr>
            </w:pPr>
            <w:r w:rsidRPr="002C4F7C">
              <w:rPr>
                <w:b/>
                <w:bCs/>
                <w:sz w:val="20"/>
                <w:szCs w:val="20"/>
              </w:rPr>
              <w:t>(w tys.)</w:t>
            </w:r>
          </w:p>
        </w:tc>
      </w:tr>
      <w:tr w:rsidR="00AF0FDB" w:rsidRPr="00466A75">
        <w:tc>
          <w:tcPr>
            <w:tcW w:w="4541" w:type="dxa"/>
            <w:gridSpan w:val="2"/>
            <w:vMerge/>
            <w:shd w:val="clear" w:color="auto" w:fill="E8E8E8"/>
          </w:tcPr>
          <w:p w:rsidR="00AF0FDB" w:rsidRPr="002C4F7C" w:rsidRDefault="00AF0FDB" w:rsidP="002C4F7C">
            <w:pPr>
              <w:tabs>
                <w:tab w:val="center" w:pos="4536"/>
                <w:tab w:val="right" w:pos="9072"/>
              </w:tabs>
              <w:jc w:val="center"/>
              <w:rPr>
                <w:b/>
                <w:bCs/>
                <w:sz w:val="20"/>
                <w:szCs w:val="20"/>
              </w:rPr>
            </w:pPr>
          </w:p>
        </w:tc>
        <w:tc>
          <w:tcPr>
            <w:tcW w:w="2251" w:type="dxa"/>
            <w:shd w:val="clear" w:color="auto" w:fill="E8E8E8"/>
          </w:tcPr>
          <w:p w:rsidR="00AF0FDB" w:rsidRPr="002C4F7C" w:rsidRDefault="00AF0FDB" w:rsidP="002C4F7C">
            <w:pPr>
              <w:tabs>
                <w:tab w:val="center" w:pos="4536"/>
                <w:tab w:val="right" w:pos="9072"/>
              </w:tabs>
              <w:jc w:val="center"/>
              <w:rPr>
                <w:b/>
                <w:bCs/>
                <w:sz w:val="20"/>
                <w:szCs w:val="20"/>
              </w:rPr>
            </w:pPr>
            <w:r w:rsidRPr="002C4F7C">
              <w:rPr>
                <w:b/>
                <w:bCs/>
                <w:sz w:val="20"/>
                <w:szCs w:val="20"/>
              </w:rPr>
              <w:t>odpowiadająca wymaganiom</w:t>
            </w:r>
          </w:p>
        </w:tc>
        <w:tc>
          <w:tcPr>
            <w:tcW w:w="2251" w:type="dxa"/>
            <w:shd w:val="clear" w:color="auto" w:fill="E8E8E8"/>
          </w:tcPr>
          <w:p w:rsidR="00AF0FDB" w:rsidRPr="002C4F7C" w:rsidRDefault="00AF0FDB" w:rsidP="002C4F7C">
            <w:pPr>
              <w:tabs>
                <w:tab w:val="center" w:pos="4536"/>
                <w:tab w:val="right" w:pos="9072"/>
              </w:tabs>
              <w:jc w:val="center"/>
              <w:rPr>
                <w:b/>
                <w:bCs/>
                <w:sz w:val="20"/>
                <w:szCs w:val="20"/>
              </w:rPr>
            </w:pPr>
            <w:r w:rsidRPr="002C4F7C">
              <w:rPr>
                <w:b/>
                <w:bCs/>
                <w:sz w:val="20"/>
                <w:szCs w:val="20"/>
              </w:rPr>
              <w:t>nieodpowiadająca wymaganiom</w:t>
            </w:r>
          </w:p>
        </w:tc>
      </w:tr>
      <w:tr w:rsidR="00AF0FDB" w:rsidRPr="00466A75">
        <w:tc>
          <w:tcPr>
            <w:tcW w:w="2250" w:type="dxa"/>
            <w:vMerge w:val="restart"/>
          </w:tcPr>
          <w:p w:rsidR="00AF0FDB" w:rsidRPr="002C4F7C" w:rsidRDefault="00AF0FDB" w:rsidP="002C4F7C">
            <w:pPr>
              <w:pStyle w:val="Heading3"/>
              <w:jc w:val="center"/>
              <w:rPr>
                <w:rFonts w:cs="Times New Roman"/>
                <w:b/>
                <w:bCs/>
                <w:sz w:val="22"/>
                <w:szCs w:val="22"/>
              </w:rPr>
            </w:pPr>
          </w:p>
          <w:p w:rsidR="00AF0FDB" w:rsidRPr="002C4F7C" w:rsidRDefault="00AF0FDB" w:rsidP="002C4F7C">
            <w:pPr>
              <w:pStyle w:val="Heading3"/>
              <w:jc w:val="center"/>
              <w:rPr>
                <w:rFonts w:ascii="Times New Roman" w:hAnsi="Times New Roman" w:cs="Times New Roman"/>
                <w:b/>
                <w:bCs/>
                <w:color w:val="auto"/>
                <w:sz w:val="22"/>
                <w:szCs w:val="22"/>
              </w:rPr>
            </w:pPr>
            <w:bookmarkStart w:id="28" w:name="_Toc506451347"/>
            <w:bookmarkStart w:id="29" w:name="_Toc506553963"/>
            <w:bookmarkStart w:id="30" w:name="_Toc179812"/>
            <w:bookmarkStart w:id="31" w:name="_Toc179914"/>
            <w:bookmarkStart w:id="32" w:name="_Toc855346"/>
            <w:bookmarkStart w:id="33" w:name="_Toc938789"/>
            <w:r w:rsidRPr="002C4F7C">
              <w:rPr>
                <w:rFonts w:ascii="Times New Roman" w:hAnsi="Times New Roman" w:cs="Times New Roman"/>
                <w:color w:val="auto"/>
                <w:sz w:val="22"/>
                <w:szCs w:val="22"/>
              </w:rPr>
              <w:t>Wodociągi zbiorowego zaopatrzenia</w:t>
            </w:r>
            <w:bookmarkEnd w:id="28"/>
            <w:bookmarkEnd w:id="29"/>
            <w:bookmarkEnd w:id="30"/>
            <w:bookmarkEnd w:id="31"/>
            <w:bookmarkEnd w:id="32"/>
            <w:bookmarkEnd w:id="33"/>
          </w:p>
          <w:p w:rsidR="00AF0FDB" w:rsidRPr="002C4F7C" w:rsidRDefault="00AF0FDB" w:rsidP="002C4F7C">
            <w:pPr>
              <w:pStyle w:val="Heading3"/>
              <w:jc w:val="center"/>
              <w:rPr>
                <w:rFonts w:cs="Times New Roman"/>
                <w:b/>
                <w:bCs/>
                <w:sz w:val="22"/>
                <w:szCs w:val="22"/>
              </w:rPr>
            </w:pPr>
            <w:bookmarkStart w:id="34" w:name="_Toc506451348"/>
            <w:bookmarkStart w:id="35" w:name="_Toc506553964"/>
            <w:bookmarkStart w:id="36" w:name="_Toc179813"/>
            <w:bookmarkStart w:id="37" w:name="_Toc179915"/>
            <w:bookmarkStart w:id="38" w:name="_Toc855347"/>
            <w:bookmarkStart w:id="39" w:name="_Toc861425"/>
            <w:bookmarkStart w:id="40" w:name="_Toc938790"/>
            <w:r w:rsidRPr="002C4F7C">
              <w:rPr>
                <w:rFonts w:ascii="Times New Roman" w:hAnsi="Times New Roman" w:cs="Times New Roman"/>
                <w:color w:val="auto"/>
                <w:sz w:val="22"/>
                <w:szCs w:val="22"/>
              </w:rPr>
              <w:t>o produkcji (m</w:t>
            </w:r>
            <w:r w:rsidRPr="002C4F7C">
              <w:rPr>
                <w:rFonts w:ascii="Times New Roman" w:hAnsi="Times New Roman" w:cs="Times New Roman"/>
                <w:color w:val="auto"/>
                <w:sz w:val="22"/>
                <w:szCs w:val="22"/>
                <w:vertAlign w:val="superscript"/>
              </w:rPr>
              <w:t>3</w:t>
            </w:r>
            <w:r w:rsidRPr="002C4F7C">
              <w:rPr>
                <w:rFonts w:ascii="Times New Roman" w:hAnsi="Times New Roman" w:cs="Times New Roman"/>
                <w:color w:val="auto"/>
                <w:sz w:val="22"/>
                <w:szCs w:val="22"/>
              </w:rPr>
              <w:t>/d)</w:t>
            </w:r>
            <w:bookmarkEnd w:id="34"/>
            <w:bookmarkEnd w:id="35"/>
            <w:bookmarkEnd w:id="36"/>
            <w:bookmarkEnd w:id="37"/>
            <w:bookmarkEnd w:id="38"/>
            <w:bookmarkEnd w:id="39"/>
            <w:bookmarkEnd w:id="40"/>
          </w:p>
        </w:tc>
        <w:tc>
          <w:tcPr>
            <w:tcW w:w="2251" w:type="dxa"/>
          </w:tcPr>
          <w:p w:rsidR="00AF0FDB" w:rsidRPr="002C4F7C" w:rsidRDefault="00AF0FDB" w:rsidP="002C4F7C">
            <w:pPr>
              <w:jc w:val="center"/>
              <w:rPr>
                <w:b/>
                <w:bCs/>
                <w:sz w:val="20"/>
                <w:szCs w:val="20"/>
              </w:rPr>
            </w:pPr>
            <w:r w:rsidRPr="002C4F7C">
              <w:rPr>
                <w:b/>
                <w:bCs/>
                <w:sz w:val="20"/>
                <w:szCs w:val="20"/>
              </w:rPr>
              <w:t>≤ 100</w:t>
            </w:r>
          </w:p>
        </w:tc>
        <w:tc>
          <w:tcPr>
            <w:tcW w:w="2251" w:type="dxa"/>
          </w:tcPr>
          <w:p w:rsidR="00AF0FDB" w:rsidRPr="002C4F7C" w:rsidRDefault="00AF0FDB" w:rsidP="002C4F7C">
            <w:pPr>
              <w:jc w:val="center"/>
              <w:rPr>
                <w:sz w:val="20"/>
                <w:szCs w:val="20"/>
              </w:rPr>
            </w:pPr>
            <w:r w:rsidRPr="002C4F7C">
              <w:rPr>
                <w:sz w:val="20"/>
                <w:szCs w:val="20"/>
              </w:rPr>
              <w:t>7,089</w:t>
            </w:r>
          </w:p>
        </w:tc>
        <w:tc>
          <w:tcPr>
            <w:tcW w:w="2251" w:type="dxa"/>
          </w:tcPr>
          <w:p w:rsidR="00AF0FDB" w:rsidRPr="002C4F7C" w:rsidRDefault="00AF0FDB" w:rsidP="002C4F7C">
            <w:pPr>
              <w:jc w:val="center"/>
              <w:rPr>
                <w:sz w:val="20"/>
                <w:szCs w:val="20"/>
              </w:rPr>
            </w:pPr>
            <w:r w:rsidRPr="002C4F7C">
              <w:rPr>
                <w:sz w:val="20"/>
                <w:szCs w:val="20"/>
              </w:rPr>
              <w:t>0</w:t>
            </w:r>
          </w:p>
        </w:tc>
      </w:tr>
      <w:tr w:rsidR="00AF0FDB" w:rsidRPr="00466A75">
        <w:tc>
          <w:tcPr>
            <w:tcW w:w="2250" w:type="dxa"/>
            <w:vMerge/>
            <w:shd w:val="clear" w:color="auto" w:fill="E8E8E8"/>
          </w:tcPr>
          <w:p w:rsidR="00AF0FDB" w:rsidRPr="002C4F7C" w:rsidRDefault="00AF0FDB" w:rsidP="002C4F7C">
            <w:pPr>
              <w:tabs>
                <w:tab w:val="center" w:pos="4536"/>
                <w:tab w:val="right" w:pos="9072"/>
              </w:tabs>
              <w:jc w:val="both"/>
              <w:rPr>
                <w:b/>
                <w:bCs/>
                <w:sz w:val="22"/>
                <w:szCs w:val="22"/>
              </w:rPr>
            </w:pPr>
          </w:p>
        </w:tc>
        <w:tc>
          <w:tcPr>
            <w:tcW w:w="2251" w:type="dxa"/>
            <w:shd w:val="clear" w:color="auto" w:fill="E8E8E8"/>
          </w:tcPr>
          <w:p w:rsidR="00AF0FDB" w:rsidRPr="002C4F7C" w:rsidRDefault="00AF0FDB" w:rsidP="002C4F7C">
            <w:pPr>
              <w:jc w:val="center"/>
              <w:rPr>
                <w:b/>
                <w:bCs/>
                <w:sz w:val="20"/>
                <w:szCs w:val="20"/>
              </w:rPr>
            </w:pPr>
            <w:r w:rsidRPr="002C4F7C">
              <w:rPr>
                <w:b/>
                <w:bCs/>
                <w:sz w:val="20"/>
                <w:szCs w:val="20"/>
              </w:rPr>
              <w:t>101-1000</w:t>
            </w:r>
          </w:p>
        </w:tc>
        <w:tc>
          <w:tcPr>
            <w:tcW w:w="2251" w:type="dxa"/>
            <w:shd w:val="clear" w:color="auto" w:fill="E8E8E8"/>
          </w:tcPr>
          <w:p w:rsidR="00AF0FDB" w:rsidRPr="002C4F7C" w:rsidRDefault="00AF0FDB" w:rsidP="002C4F7C">
            <w:pPr>
              <w:jc w:val="center"/>
              <w:rPr>
                <w:sz w:val="20"/>
                <w:szCs w:val="20"/>
              </w:rPr>
            </w:pPr>
            <w:r w:rsidRPr="002C4F7C">
              <w:rPr>
                <w:sz w:val="20"/>
                <w:szCs w:val="20"/>
              </w:rPr>
              <w:t>117,156</w:t>
            </w:r>
          </w:p>
        </w:tc>
        <w:tc>
          <w:tcPr>
            <w:tcW w:w="2251" w:type="dxa"/>
            <w:shd w:val="clear" w:color="auto" w:fill="E8E8E8"/>
          </w:tcPr>
          <w:p w:rsidR="00AF0FDB" w:rsidRPr="002C4F7C" w:rsidRDefault="00AF0FDB" w:rsidP="002C4F7C">
            <w:pPr>
              <w:jc w:val="center"/>
              <w:rPr>
                <w:sz w:val="20"/>
                <w:szCs w:val="20"/>
              </w:rPr>
            </w:pPr>
            <w:r w:rsidRPr="002C4F7C">
              <w:rPr>
                <w:sz w:val="20"/>
                <w:szCs w:val="20"/>
              </w:rPr>
              <w:t>0</w:t>
            </w:r>
          </w:p>
        </w:tc>
      </w:tr>
      <w:tr w:rsidR="00AF0FDB" w:rsidRPr="00466A75">
        <w:tc>
          <w:tcPr>
            <w:tcW w:w="2250" w:type="dxa"/>
            <w:vMerge/>
          </w:tcPr>
          <w:p w:rsidR="00AF0FDB" w:rsidRPr="002C4F7C" w:rsidRDefault="00AF0FDB" w:rsidP="002C4F7C">
            <w:pPr>
              <w:tabs>
                <w:tab w:val="center" w:pos="4536"/>
                <w:tab w:val="right" w:pos="9072"/>
              </w:tabs>
              <w:jc w:val="both"/>
              <w:rPr>
                <w:b/>
                <w:bCs/>
                <w:sz w:val="22"/>
                <w:szCs w:val="22"/>
              </w:rPr>
            </w:pPr>
          </w:p>
        </w:tc>
        <w:tc>
          <w:tcPr>
            <w:tcW w:w="2251" w:type="dxa"/>
          </w:tcPr>
          <w:p w:rsidR="00AF0FDB" w:rsidRPr="002C4F7C" w:rsidRDefault="00AF0FDB" w:rsidP="002C4F7C">
            <w:pPr>
              <w:jc w:val="center"/>
              <w:rPr>
                <w:b/>
                <w:bCs/>
                <w:sz w:val="20"/>
                <w:szCs w:val="20"/>
              </w:rPr>
            </w:pPr>
            <w:r w:rsidRPr="002C4F7C">
              <w:rPr>
                <w:b/>
                <w:bCs/>
                <w:sz w:val="20"/>
                <w:szCs w:val="20"/>
              </w:rPr>
              <w:t>1001-10000</w:t>
            </w:r>
          </w:p>
        </w:tc>
        <w:tc>
          <w:tcPr>
            <w:tcW w:w="2251" w:type="dxa"/>
          </w:tcPr>
          <w:p w:rsidR="00AF0FDB" w:rsidRPr="002C4F7C" w:rsidRDefault="00AF0FDB" w:rsidP="002C4F7C">
            <w:pPr>
              <w:jc w:val="center"/>
              <w:rPr>
                <w:sz w:val="20"/>
                <w:szCs w:val="20"/>
              </w:rPr>
            </w:pPr>
            <w:r w:rsidRPr="002C4F7C">
              <w:rPr>
                <w:sz w:val="20"/>
                <w:szCs w:val="20"/>
              </w:rPr>
              <w:t>108,461</w:t>
            </w:r>
          </w:p>
        </w:tc>
        <w:tc>
          <w:tcPr>
            <w:tcW w:w="2251" w:type="dxa"/>
          </w:tcPr>
          <w:p w:rsidR="00AF0FDB" w:rsidRPr="002C4F7C" w:rsidRDefault="00AF0FDB" w:rsidP="002C4F7C">
            <w:pPr>
              <w:jc w:val="center"/>
              <w:rPr>
                <w:sz w:val="20"/>
                <w:szCs w:val="20"/>
              </w:rPr>
            </w:pPr>
            <w:r w:rsidRPr="002C4F7C">
              <w:rPr>
                <w:sz w:val="20"/>
                <w:szCs w:val="20"/>
              </w:rPr>
              <w:t>0</w:t>
            </w:r>
          </w:p>
        </w:tc>
      </w:tr>
      <w:tr w:rsidR="00AF0FDB" w:rsidRPr="00466A75">
        <w:tc>
          <w:tcPr>
            <w:tcW w:w="2250" w:type="dxa"/>
            <w:vMerge/>
            <w:shd w:val="clear" w:color="auto" w:fill="E8E8E8"/>
          </w:tcPr>
          <w:p w:rsidR="00AF0FDB" w:rsidRPr="002C4F7C" w:rsidRDefault="00AF0FDB" w:rsidP="002C4F7C">
            <w:pPr>
              <w:tabs>
                <w:tab w:val="center" w:pos="4536"/>
                <w:tab w:val="right" w:pos="9072"/>
              </w:tabs>
              <w:jc w:val="both"/>
              <w:rPr>
                <w:b/>
                <w:bCs/>
                <w:sz w:val="22"/>
                <w:szCs w:val="22"/>
              </w:rPr>
            </w:pPr>
          </w:p>
        </w:tc>
        <w:tc>
          <w:tcPr>
            <w:tcW w:w="2251" w:type="dxa"/>
            <w:shd w:val="clear" w:color="auto" w:fill="E8E8E8"/>
          </w:tcPr>
          <w:p w:rsidR="00AF0FDB" w:rsidRPr="002C4F7C" w:rsidRDefault="00AF0FDB" w:rsidP="002C4F7C">
            <w:pPr>
              <w:jc w:val="center"/>
              <w:rPr>
                <w:b/>
                <w:bCs/>
                <w:sz w:val="20"/>
                <w:szCs w:val="20"/>
              </w:rPr>
            </w:pPr>
            <w:r w:rsidRPr="002C4F7C">
              <w:rPr>
                <w:b/>
                <w:bCs/>
                <w:sz w:val="20"/>
                <w:szCs w:val="20"/>
              </w:rPr>
              <w:t>10001-100000</w:t>
            </w:r>
          </w:p>
        </w:tc>
        <w:tc>
          <w:tcPr>
            <w:tcW w:w="2251" w:type="dxa"/>
            <w:shd w:val="clear" w:color="auto" w:fill="E8E8E8"/>
          </w:tcPr>
          <w:p w:rsidR="00AF0FDB" w:rsidRPr="002C4F7C" w:rsidRDefault="00AF0FDB" w:rsidP="002C4F7C">
            <w:pPr>
              <w:jc w:val="center"/>
              <w:rPr>
                <w:sz w:val="20"/>
                <w:szCs w:val="20"/>
              </w:rPr>
            </w:pPr>
            <w:r w:rsidRPr="002C4F7C">
              <w:rPr>
                <w:sz w:val="20"/>
                <w:szCs w:val="20"/>
              </w:rPr>
              <w:t>0</w:t>
            </w:r>
          </w:p>
        </w:tc>
        <w:tc>
          <w:tcPr>
            <w:tcW w:w="2251" w:type="dxa"/>
            <w:shd w:val="clear" w:color="auto" w:fill="E8E8E8"/>
          </w:tcPr>
          <w:p w:rsidR="00AF0FDB" w:rsidRPr="002C4F7C" w:rsidRDefault="00AF0FDB" w:rsidP="002C4F7C">
            <w:pPr>
              <w:jc w:val="center"/>
              <w:rPr>
                <w:sz w:val="20"/>
                <w:szCs w:val="20"/>
              </w:rPr>
            </w:pPr>
            <w:r w:rsidRPr="002C4F7C">
              <w:rPr>
                <w:sz w:val="20"/>
                <w:szCs w:val="20"/>
              </w:rPr>
              <w:t>0</w:t>
            </w:r>
          </w:p>
        </w:tc>
      </w:tr>
      <w:tr w:rsidR="00AF0FDB" w:rsidRPr="00466A75">
        <w:tc>
          <w:tcPr>
            <w:tcW w:w="2250" w:type="dxa"/>
            <w:vMerge/>
          </w:tcPr>
          <w:p w:rsidR="00AF0FDB" w:rsidRPr="002C4F7C" w:rsidRDefault="00AF0FDB" w:rsidP="002C4F7C">
            <w:pPr>
              <w:tabs>
                <w:tab w:val="center" w:pos="4536"/>
                <w:tab w:val="right" w:pos="9072"/>
              </w:tabs>
              <w:jc w:val="both"/>
              <w:rPr>
                <w:b/>
                <w:bCs/>
                <w:sz w:val="22"/>
                <w:szCs w:val="22"/>
              </w:rPr>
            </w:pPr>
          </w:p>
        </w:tc>
        <w:tc>
          <w:tcPr>
            <w:tcW w:w="2251" w:type="dxa"/>
          </w:tcPr>
          <w:p w:rsidR="00AF0FDB" w:rsidRPr="002C4F7C" w:rsidRDefault="00AF0FDB" w:rsidP="002C4F7C">
            <w:pPr>
              <w:jc w:val="center"/>
              <w:rPr>
                <w:b/>
                <w:bCs/>
                <w:sz w:val="20"/>
                <w:szCs w:val="20"/>
              </w:rPr>
            </w:pPr>
            <w:r w:rsidRPr="002C4F7C">
              <w:rPr>
                <w:b/>
                <w:bCs/>
                <w:sz w:val="20"/>
                <w:szCs w:val="20"/>
              </w:rPr>
              <w:t>&gt; 100001</w:t>
            </w:r>
          </w:p>
        </w:tc>
        <w:tc>
          <w:tcPr>
            <w:tcW w:w="2251" w:type="dxa"/>
          </w:tcPr>
          <w:p w:rsidR="00AF0FDB" w:rsidRPr="002C4F7C" w:rsidRDefault="00AF0FDB" w:rsidP="002C4F7C">
            <w:pPr>
              <w:jc w:val="center"/>
              <w:rPr>
                <w:sz w:val="20"/>
                <w:szCs w:val="20"/>
              </w:rPr>
            </w:pPr>
            <w:r w:rsidRPr="002C4F7C">
              <w:rPr>
                <w:sz w:val="20"/>
                <w:szCs w:val="20"/>
              </w:rPr>
              <w:t>700,000</w:t>
            </w:r>
          </w:p>
        </w:tc>
        <w:tc>
          <w:tcPr>
            <w:tcW w:w="2251" w:type="dxa"/>
          </w:tcPr>
          <w:p w:rsidR="00AF0FDB" w:rsidRPr="002C4F7C" w:rsidRDefault="00AF0FDB" w:rsidP="002C4F7C">
            <w:pPr>
              <w:jc w:val="center"/>
              <w:rPr>
                <w:sz w:val="20"/>
                <w:szCs w:val="20"/>
              </w:rPr>
            </w:pPr>
            <w:r w:rsidRPr="002C4F7C">
              <w:rPr>
                <w:sz w:val="20"/>
                <w:szCs w:val="20"/>
              </w:rPr>
              <w:t>0</w:t>
            </w:r>
          </w:p>
        </w:tc>
      </w:tr>
      <w:tr w:rsidR="00AF0FDB" w:rsidRPr="00466A75">
        <w:tc>
          <w:tcPr>
            <w:tcW w:w="4541" w:type="dxa"/>
            <w:gridSpan w:val="2"/>
            <w:shd w:val="clear" w:color="auto" w:fill="E8E8E8"/>
          </w:tcPr>
          <w:p w:rsidR="00AF0FDB" w:rsidRPr="002C4F7C" w:rsidRDefault="00AF0FDB" w:rsidP="002C4F7C">
            <w:pPr>
              <w:tabs>
                <w:tab w:val="center" w:pos="4536"/>
                <w:tab w:val="right" w:pos="9072"/>
              </w:tabs>
              <w:jc w:val="center"/>
              <w:rPr>
                <w:b/>
                <w:bCs/>
                <w:sz w:val="20"/>
                <w:szCs w:val="20"/>
              </w:rPr>
            </w:pPr>
            <w:r w:rsidRPr="002C4F7C">
              <w:rPr>
                <w:sz w:val="20"/>
                <w:szCs w:val="20"/>
              </w:rPr>
              <w:t>Inne podmioty zaopatrujące w wodę</w:t>
            </w:r>
          </w:p>
        </w:tc>
        <w:tc>
          <w:tcPr>
            <w:tcW w:w="2251" w:type="dxa"/>
            <w:shd w:val="clear" w:color="auto" w:fill="E8E8E8"/>
          </w:tcPr>
          <w:p w:rsidR="00AF0FDB" w:rsidRPr="002C4F7C" w:rsidRDefault="00AF0FDB" w:rsidP="002C4F7C">
            <w:pPr>
              <w:jc w:val="center"/>
              <w:rPr>
                <w:sz w:val="20"/>
                <w:szCs w:val="20"/>
              </w:rPr>
            </w:pPr>
            <w:r w:rsidRPr="002C4F7C">
              <w:rPr>
                <w:sz w:val="20"/>
                <w:szCs w:val="20"/>
              </w:rPr>
              <w:t>3,401</w:t>
            </w:r>
          </w:p>
        </w:tc>
        <w:tc>
          <w:tcPr>
            <w:tcW w:w="2251" w:type="dxa"/>
            <w:shd w:val="clear" w:color="auto" w:fill="E8E8E8"/>
          </w:tcPr>
          <w:p w:rsidR="00AF0FDB" w:rsidRPr="002C4F7C" w:rsidRDefault="00AF0FDB" w:rsidP="002C4F7C">
            <w:pPr>
              <w:jc w:val="center"/>
              <w:rPr>
                <w:sz w:val="20"/>
                <w:szCs w:val="20"/>
              </w:rPr>
            </w:pPr>
            <w:r w:rsidRPr="002C4F7C">
              <w:rPr>
                <w:sz w:val="20"/>
                <w:szCs w:val="20"/>
              </w:rPr>
              <w:t>0</w:t>
            </w:r>
          </w:p>
        </w:tc>
      </w:tr>
    </w:tbl>
    <w:p w:rsidR="00AF0FDB" w:rsidRDefault="00AF0FDB" w:rsidP="00C23670">
      <w:pPr>
        <w:jc w:val="both"/>
      </w:pPr>
      <w:r w:rsidRPr="00C23670">
        <w:rPr>
          <w:lang/>
        </w:rPr>
        <w:t xml:space="preserve">W roku 2018 w ramach prowadzonej działalności urzędowej pobrano do badań 876 próbek wody, z czego 7 (0,8%) nie odpowiadało wymaganiom cytowanego rozporządzenia. Natomiast producenci wody w ramach prowadzonej </w:t>
      </w:r>
      <w:r w:rsidRPr="00C23670">
        <w:t>kontroli wewnętrznej</w:t>
      </w:r>
      <w:r w:rsidRPr="00C23670">
        <w:rPr>
          <w:lang/>
        </w:rPr>
        <w:t xml:space="preserve"> wody zbadali 890 próbek, z czego 2 (0,2%) nie odpowiadały wymaganiom określonym w  obowiązujących przepisach. Na podstawie analizy próbek wody stwierdzono, iż wszystkie wodociągi dostarczają wodę odpowiadającą (w tym odpowiadającą warunkowo) wymaganiom przedmiotowego rozporządzenia Ministra Zdrowia. Wodę pochodzącą tylko z 1 wodociągu </w:t>
      </w:r>
      <w:r w:rsidRPr="00C23670">
        <w:t xml:space="preserve">– lokalnego Ogrodu Zoologicznego w Poznaniu, ul. Kaprala Wojtka 3 </w:t>
      </w:r>
      <w:r w:rsidRPr="00C23670">
        <w:rPr>
          <w:lang/>
        </w:rPr>
        <w:t>(stan na koniec 2018 roku) oceniono jako warunkowo przydatną do spożycia</w:t>
      </w:r>
      <w:r w:rsidRPr="00C23670">
        <w:t xml:space="preserve">, z uwagi na przekroczenie wymagań fizykochemicznych i organoleptycznych tj. żelazo, mangan, jon amonowy, mętność, barwa, smak i zapach. </w:t>
      </w:r>
      <w:r w:rsidRPr="00C23670">
        <w:rPr>
          <w:lang/>
        </w:rPr>
        <w:t>Producent wody przystąpił do działań naprawczych zmierzających do poprawy jakości wody, począwszy od płukania sieci wodociągowej. Ponadto pracownikom zapewniono do picia wodę konfekcjonowaną do czasu uzyskania pozytywnych wyników badania wody</w:t>
      </w:r>
      <w:r w:rsidRPr="00C23670">
        <w:t xml:space="preserve">. </w:t>
      </w:r>
    </w:p>
    <w:p w:rsidR="00AF0FDB" w:rsidRPr="00C23670" w:rsidRDefault="00AF0FDB" w:rsidP="00C23670">
      <w:pPr>
        <w:jc w:val="both"/>
        <w:rPr>
          <w:lang/>
        </w:rPr>
      </w:pPr>
      <w:r w:rsidRPr="00C23670">
        <w:t>Obecnie woda z wodociągu zakładowego wykorzystywana jest wyłącznie do celów sanitarnych i związanych z obsługą ogrodu zoologicznego.</w:t>
      </w:r>
    </w:p>
    <w:p w:rsidR="00AF0FDB" w:rsidRPr="00C23670" w:rsidRDefault="00AF0FDB" w:rsidP="00C23670">
      <w:pPr>
        <w:jc w:val="both"/>
      </w:pPr>
      <w:r w:rsidRPr="00C23670">
        <w:t xml:space="preserve">Dodatkowo nadzorem objęto jakość wody pochodzącą ze źródła przy ul. Wiankowej </w:t>
      </w:r>
      <w:r w:rsidRPr="00C23670">
        <w:br/>
        <w:t xml:space="preserve">w Poznaniu. W 2018 roku dwukrotnie pobrano próbki wody i wykonano 2 badania bakteriologiczne i 2 fizykochemiczne. W obu przypadkach woda w badanych próbkach spełniała wymagania rozporządzenia Ministra Zdrowia z dnia 7 grudnia 2017 r. w sprawie jakości wody przeznaczonej do spożycia przez ludzi (Dz. U. z 2017 r., poz. 2294) . </w:t>
      </w:r>
    </w:p>
    <w:p w:rsidR="00AF0FDB" w:rsidRPr="00466A75" w:rsidRDefault="00AF0FDB" w:rsidP="00F213EA">
      <w:pPr>
        <w:jc w:val="both"/>
      </w:pPr>
    </w:p>
    <w:p w:rsidR="00AF0FDB" w:rsidRPr="00E07893" w:rsidRDefault="00AF0FDB" w:rsidP="00E07893">
      <w:pPr>
        <w:pStyle w:val="Heading1"/>
        <w:rPr>
          <w:rFonts w:ascii="Times New Roman" w:hAnsi="Times New Roman" w:cs="Times New Roman"/>
          <w:sz w:val="24"/>
          <w:szCs w:val="24"/>
        </w:rPr>
      </w:pPr>
      <w:bookmarkStart w:id="41" w:name="_Toc179814"/>
      <w:bookmarkStart w:id="42" w:name="_Toc855348"/>
      <w:bookmarkStart w:id="43" w:name="_Toc938791"/>
      <w:r w:rsidRPr="00B063DE">
        <w:rPr>
          <w:rFonts w:ascii="Times New Roman" w:hAnsi="Times New Roman" w:cs="Times New Roman"/>
          <w:sz w:val="24"/>
          <w:szCs w:val="24"/>
        </w:rPr>
        <w:t>Badania wody w ośrodkach dializ</w:t>
      </w:r>
      <w:bookmarkEnd w:id="41"/>
      <w:bookmarkEnd w:id="42"/>
      <w:bookmarkEnd w:id="43"/>
    </w:p>
    <w:p w:rsidR="00AF0FDB" w:rsidRPr="00141902" w:rsidRDefault="00AF0FDB" w:rsidP="00141902">
      <w:pPr>
        <w:spacing w:before="0"/>
        <w:jc w:val="both"/>
      </w:pPr>
      <w:r w:rsidRPr="00141902">
        <w:t>W 2018 roku nadzorem objęto 6</w:t>
      </w:r>
      <w:r w:rsidRPr="00141902">
        <w:rPr>
          <w:b/>
          <w:bCs/>
        </w:rPr>
        <w:t xml:space="preserve"> </w:t>
      </w:r>
      <w:r w:rsidRPr="00141902">
        <w:t>Ośrodków Dializ. Są to następujące obiekty:</w:t>
      </w:r>
    </w:p>
    <w:p w:rsidR="00AF0FDB" w:rsidRPr="00141902" w:rsidRDefault="00AF0FDB" w:rsidP="009F16BB">
      <w:pPr>
        <w:spacing w:before="0"/>
        <w:jc w:val="both"/>
        <w:rPr>
          <w:lang/>
        </w:rPr>
      </w:pPr>
      <w:r>
        <w:rPr>
          <w:color w:val="000000"/>
        </w:rPr>
        <w:t xml:space="preserve">-    </w:t>
      </w:r>
      <w:r w:rsidRPr="00141902">
        <w:rPr>
          <w:lang/>
        </w:rPr>
        <w:t>DaVita Clinic Poznań ul. Bogusławskiego 4</w:t>
      </w:r>
      <w:r w:rsidRPr="00141902">
        <w:t xml:space="preserve"> </w:t>
      </w:r>
      <w:r w:rsidRPr="00141902">
        <w:rPr>
          <w:lang/>
        </w:rPr>
        <w:t>w Poznaniu;</w:t>
      </w:r>
    </w:p>
    <w:p w:rsidR="00AF0FDB" w:rsidRDefault="00AF0FDB" w:rsidP="009F16BB">
      <w:pPr>
        <w:spacing w:before="0"/>
        <w:jc w:val="both"/>
      </w:pPr>
      <w:r>
        <w:rPr>
          <w:color w:val="000000"/>
        </w:rPr>
        <w:t xml:space="preserve">-    </w:t>
      </w:r>
      <w:r w:rsidRPr="00141902">
        <w:rPr>
          <w:lang/>
        </w:rPr>
        <w:t>Szpital Kliniczny im. Karola Jonschera Uniwersytetu Medycznego im. Karola</w:t>
      </w:r>
      <w:r>
        <w:t xml:space="preserve">  </w:t>
      </w:r>
    </w:p>
    <w:p w:rsidR="00AF0FDB" w:rsidRPr="009F16BB" w:rsidRDefault="00AF0FDB" w:rsidP="009F16BB">
      <w:pPr>
        <w:spacing w:before="0"/>
        <w:jc w:val="both"/>
      </w:pPr>
      <w:r>
        <w:t xml:space="preserve">     </w:t>
      </w:r>
      <w:r w:rsidRPr="00141902">
        <w:rPr>
          <w:lang/>
        </w:rPr>
        <w:t>Marcinkowskiego w Poznaniu, Oddział Dializ, ul. Szpitalna 27/33 w Poznaniu;</w:t>
      </w:r>
    </w:p>
    <w:p w:rsidR="00AF0FDB" w:rsidRPr="00141902" w:rsidRDefault="00AF0FDB" w:rsidP="008B311E">
      <w:pPr>
        <w:spacing w:before="0"/>
        <w:ind w:left="284" w:hanging="284"/>
        <w:jc w:val="both"/>
        <w:rPr>
          <w:lang/>
        </w:rPr>
      </w:pPr>
      <w:r>
        <w:t xml:space="preserve">- </w:t>
      </w:r>
      <w:r w:rsidRPr="00141902">
        <w:rPr>
          <w:lang/>
        </w:rPr>
        <w:t xml:space="preserve">Szpital Kliniczny im. Heliodora Święcickiego Uniwersytetu Medycznego im. Karola Marcinkowskiego w Poznaniu, Oddział Kliniczny Nefrologii, Transplantologii </w:t>
      </w:r>
      <w:r w:rsidRPr="00141902">
        <w:br/>
      </w:r>
      <w:r w:rsidRPr="00141902">
        <w:rPr>
          <w:lang/>
        </w:rPr>
        <w:t>i Chorób Wewnętrznych ul. Przybyszewskiego 49, 60-355 Poznań (</w:t>
      </w:r>
      <w:r w:rsidRPr="00141902">
        <w:t>oddział</w:t>
      </w:r>
      <w:r w:rsidRPr="00141902">
        <w:rPr>
          <w:lang/>
        </w:rPr>
        <w:t xml:space="preserve"> ten </w:t>
      </w:r>
      <w:r w:rsidRPr="00141902">
        <w:t>zlokalizowany jest</w:t>
      </w:r>
      <w:r w:rsidRPr="00141902">
        <w:rPr>
          <w:lang/>
        </w:rPr>
        <w:t xml:space="preserve"> przy ul. Przybyszewskiego 49 oraz od lipca 2017 r</w:t>
      </w:r>
      <w:r w:rsidRPr="00141902">
        <w:t>oku</w:t>
      </w:r>
      <w:r w:rsidRPr="00141902">
        <w:rPr>
          <w:lang/>
        </w:rPr>
        <w:t xml:space="preserve"> </w:t>
      </w:r>
      <w:r w:rsidRPr="00141902">
        <w:t xml:space="preserve">również </w:t>
      </w:r>
      <w:r w:rsidRPr="00141902">
        <w:rPr>
          <w:lang/>
        </w:rPr>
        <w:t>przy ul. Grunwaldzkiej 16/18);</w:t>
      </w:r>
    </w:p>
    <w:p w:rsidR="00AF0FDB" w:rsidRPr="00141902" w:rsidRDefault="00AF0FDB" w:rsidP="008B311E">
      <w:pPr>
        <w:spacing w:before="0"/>
        <w:jc w:val="both"/>
        <w:rPr>
          <w:lang/>
        </w:rPr>
      </w:pPr>
      <w:r>
        <w:t xml:space="preserve">-   </w:t>
      </w:r>
      <w:r w:rsidRPr="00141902">
        <w:rPr>
          <w:lang/>
        </w:rPr>
        <w:t xml:space="preserve">Szpital Wojewódzki w Poznaniu, </w:t>
      </w:r>
      <w:r w:rsidRPr="00141902">
        <w:t>Stacja</w:t>
      </w:r>
      <w:r w:rsidRPr="00141902">
        <w:rPr>
          <w:lang/>
        </w:rPr>
        <w:t xml:space="preserve"> Dializ, ul. Juraszów 7/19 w Poznaniu;</w:t>
      </w:r>
    </w:p>
    <w:p w:rsidR="00AF0FDB" w:rsidRDefault="00AF0FDB" w:rsidP="008B311E">
      <w:pPr>
        <w:spacing w:before="0"/>
        <w:jc w:val="both"/>
        <w:rPr>
          <w:lang w:val="it-IT"/>
        </w:rPr>
      </w:pPr>
      <w:r>
        <w:t xml:space="preserve">-   </w:t>
      </w:r>
      <w:r w:rsidRPr="00141902">
        <w:rPr>
          <w:lang/>
        </w:rPr>
        <w:t xml:space="preserve">Fresenius Nephrocare Polska Sp. z o.o., </w:t>
      </w:r>
      <w:r w:rsidRPr="00141902">
        <w:rPr>
          <w:lang w:val="it-IT"/>
        </w:rPr>
        <w:t>placówka zlokalizowana jest w obiekcie</w:t>
      </w:r>
    </w:p>
    <w:p w:rsidR="00AF0FDB" w:rsidRPr="00141902" w:rsidRDefault="00AF0FDB" w:rsidP="008B311E">
      <w:pPr>
        <w:spacing w:before="0"/>
        <w:jc w:val="both"/>
        <w:rPr>
          <w:lang/>
        </w:rPr>
      </w:pPr>
      <w:r>
        <w:rPr>
          <w:lang w:val="it-IT"/>
        </w:rPr>
        <w:t xml:space="preserve">    </w:t>
      </w:r>
      <w:r w:rsidRPr="00141902">
        <w:rPr>
          <w:lang w:val="it-IT"/>
        </w:rPr>
        <w:t xml:space="preserve">Poznańskiego Ośrodka Specjalistycznego Usług Medycznych, al. </w:t>
      </w:r>
      <w:r w:rsidRPr="00141902">
        <w:rPr>
          <w:lang/>
        </w:rPr>
        <w:t xml:space="preserve">Solidarności 36 </w:t>
      </w:r>
      <w:r w:rsidRPr="00141902">
        <w:rPr>
          <w:lang/>
        </w:rPr>
        <w:br/>
      </w:r>
      <w:r>
        <w:t xml:space="preserve">    </w:t>
      </w:r>
      <w:r w:rsidRPr="00141902">
        <w:rPr>
          <w:lang/>
        </w:rPr>
        <w:t>w Poznaniu;</w:t>
      </w:r>
    </w:p>
    <w:p w:rsidR="00AF0FDB" w:rsidRDefault="00AF0FDB" w:rsidP="008B311E">
      <w:pPr>
        <w:spacing w:before="0"/>
        <w:jc w:val="both"/>
      </w:pPr>
      <w:r>
        <w:t xml:space="preserve">-   </w:t>
      </w:r>
      <w:r w:rsidRPr="00141902">
        <w:rPr>
          <w:lang/>
        </w:rPr>
        <w:t>Fresenius Nephrocare Polska Sp. z o.o., placówka zlokalizowana w obiekcie Centrum</w:t>
      </w:r>
    </w:p>
    <w:p w:rsidR="00AF0FDB" w:rsidRPr="00141902" w:rsidRDefault="00AF0FDB" w:rsidP="008B311E">
      <w:pPr>
        <w:spacing w:before="0"/>
        <w:jc w:val="both"/>
        <w:rPr>
          <w:lang/>
        </w:rPr>
      </w:pPr>
      <w:r w:rsidRPr="00141902">
        <w:rPr>
          <w:lang/>
        </w:rPr>
        <w:t xml:space="preserve"> </w:t>
      </w:r>
      <w:r>
        <w:t xml:space="preserve">   </w:t>
      </w:r>
      <w:r w:rsidRPr="00141902">
        <w:rPr>
          <w:lang/>
        </w:rPr>
        <w:t>Medycznego HCP Sp. z o. o. ul. 28 Czerwca 1956 r. nr 194 w Poznaniu.</w:t>
      </w:r>
    </w:p>
    <w:p w:rsidR="00AF0FDB" w:rsidRPr="00141902" w:rsidRDefault="00AF0FDB" w:rsidP="00141902">
      <w:pPr>
        <w:spacing w:before="0"/>
        <w:jc w:val="both"/>
        <w:rPr>
          <w:lang/>
        </w:rPr>
      </w:pPr>
    </w:p>
    <w:p w:rsidR="00AF0FDB" w:rsidRPr="00141902" w:rsidRDefault="00AF0FDB" w:rsidP="00141902">
      <w:pPr>
        <w:spacing w:before="0"/>
        <w:jc w:val="both"/>
      </w:pPr>
      <w:r w:rsidRPr="00141902">
        <w:rPr>
          <w:lang/>
        </w:rPr>
        <w:t xml:space="preserve">Ośrodki Dializ działają w oparciu o wodę pochodzącą z wodociągu miejskiego Poznań, </w:t>
      </w:r>
      <w:r w:rsidRPr="00141902">
        <w:rPr>
          <w:lang/>
        </w:rPr>
        <w:br/>
        <w:t xml:space="preserve">z wyjątkiem </w:t>
      </w:r>
      <w:r w:rsidRPr="00141902">
        <w:t>stacji dializ</w:t>
      </w:r>
      <w:r w:rsidRPr="00141902">
        <w:rPr>
          <w:lang/>
        </w:rPr>
        <w:t xml:space="preserve"> w Szpitalu Wojewódzkim w Poznaniu, ul. Juraszów 7/19. </w:t>
      </w:r>
      <w:r w:rsidRPr="00141902">
        <w:rPr>
          <w:lang/>
        </w:rPr>
        <w:br/>
        <w:t>Ośrodek ten korzysta z wody pochodzącej z ujęcia własnego,</w:t>
      </w:r>
      <w:r w:rsidRPr="00141902">
        <w:t xml:space="preserve"> a</w:t>
      </w:r>
      <w:r w:rsidRPr="00141902">
        <w:rPr>
          <w:lang/>
        </w:rPr>
        <w:t xml:space="preserve"> woda z wodociągu miejskiego Poznań stanowi awaryjne źródło za</w:t>
      </w:r>
      <w:r w:rsidRPr="00141902">
        <w:t>opatrzenia.</w:t>
      </w:r>
    </w:p>
    <w:p w:rsidR="00AF0FDB" w:rsidRPr="00141902" w:rsidRDefault="00AF0FDB" w:rsidP="00141902">
      <w:pPr>
        <w:spacing w:before="0"/>
        <w:jc w:val="both"/>
      </w:pPr>
      <w:r w:rsidRPr="00141902">
        <w:t xml:space="preserve">Badania bakteriologiczne wody surowej obejmowały oznaczanie </w:t>
      </w:r>
      <w:r>
        <w:t>o</w:t>
      </w:r>
      <w:r w:rsidRPr="00141902">
        <w:t>gólnej liczby mikroorganizmów w 22</w:t>
      </w:r>
      <w:r w:rsidRPr="00141902">
        <w:rPr>
          <w:vertAlign w:val="superscript"/>
        </w:rPr>
        <w:t>o</w:t>
      </w:r>
      <w:r w:rsidRPr="00141902">
        <w:t>C ± 2</w:t>
      </w:r>
      <w:r w:rsidRPr="00141902">
        <w:rPr>
          <w:vertAlign w:val="superscript"/>
        </w:rPr>
        <w:t>o</w:t>
      </w:r>
      <w:r w:rsidRPr="00141902">
        <w:t xml:space="preserve"> po 72 h, </w:t>
      </w:r>
      <w:r>
        <w:t>b</w:t>
      </w:r>
      <w:r w:rsidRPr="00141902">
        <w:t xml:space="preserve">akterii grupy coli, </w:t>
      </w:r>
      <w:r w:rsidRPr="00141902">
        <w:rPr>
          <w:i/>
          <w:iCs/>
        </w:rPr>
        <w:t>Escherichia coli</w:t>
      </w:r>
      <w:r w:rsidRPr="00141902">
        <w:t xml:space="preserve">, </w:t>
      </w:r>
      <w:r>
        <w:t>E</w:t>
      </w:r>
      <w:r w:rsidRPr="00141902">
        <w:t xml:space="preserve">nterokoki, </w:t>
      </w:r>
      <w:r w:rsidRPr="00141902">
        <w:rPr>
          <w:i/>
          <w:iCs/>
        </w:rPr>
        <w:t>Pseudomonas aeruginosa</w:t>
      </w:r>
      <w:r w:rsidRPr="00141902">
        <w:t xml:space="preserve"> oraz </w:t>
      </w:r>
      <w:r w:rsidRPr="00141902">
        <w:rPr>
          <w:i/>
          <w:iCs/>
        </w:rPr>
        <w:t>Clostridium perfringens</w:t>
      </w:r>
      <w:r w:rsidRPr="00141902">
        <w:t>.</w:t>
      </w:r>
    </w:p>
    <w:p w:rsidR="00AF0FDB" w:rsidRPr="00141902" w:rsidRDefault="00AF0FDB" w:rsidP="00141902">
      <w:pPr>
        <w:spacing w:before="0"/>
        <w:jc w:val="both"/>
        <w:rPr>
          <w:lang/>
        </w:rPr>
      </w:pPr>
      <w:r w:rsidRPr="00141902">
        <w:t>Dodatkowo raz na kwartał prowadzone były badania w zakresie fizyko-chemicznym obejmujące następujące parametry: mętność, barwa, zapach, pH, przewodność, żelazo, mangan, amonowy jon, azotyny, azotany, twardość, miedź, kadm oraz ołów.</w:t>
      </w:r>
      <w:r w:rsidRPr="00141902">
        <w:rPr>
          <w:lang/>
        </w:rPr>
        <w:t xml:space="preserve"> </w:t>
      </w:r>
    </w:p>
    <w:p w:rsidR="00AF0FDB" w:rsidRPr="00141902" w:rsidRDefault="00AF0FDB" w:rsidP="00141902">
      <w:pPr>
        <w:spacing w:before="0"/>
        <w:jc w:val="both"/>
        <w:rPr>
          <w:lang/>
        </w:rPr>
      </w:pPr>
      <w:r w:rsidRPr="00141902">
        <w:rPr>
          <w:lang/>
        </w:rPr>
        <w:t xml:space="preserve">Łącznie pobrano </w:t>
      </w:r>
      <w:r w:rsidRPr="00141902">
        <w:t>85</w:t>
      </w:r>
      <w:r w:rsidRPr="00141902">
        <w:rPr>
          <w:lang/>
        </w:rPr>
        <w:t xml:space="preserve"> prób</w:t>
      </w:r>
      <w:r w:rsidRPr="00141902">
        <w:t>ek</w:t>
      </w:r>
      <w:r w:rsidRPr="00141902">
        <w:rPr>
          <w:lang/>
        </w:rPr>
        <w:t xml:space="preserve"> do badań bakteriologicznych</w:t>
      </w:r>
      <w:r w:rsidRPr="00141902">
        <w:t xml:space="preserve"> i fizyko – chemicznych</w:t>
      </w:r>
      <w:r w:rsidRPr="00141902">
        <w:rPr>
          <w:lang/>
        </w:rPr>
        <w:t>.</w:t>
      </w:r>
    </w:p>
    <w:p w:rsidR="00AF0FDB" w:rsidRPr="00141902" w:rsidRDefault="00AF0FDB" w:rsidP="00141902">
      <w:pPr>
        <w:spacing w:before="0"/>
        <w:jc w:val="both"/>
      </w:pPr>
      <w:r w:rsidRPr="00141902">
        <w:t>Odnotowano 5 próbek niespełniających wymagań ze względu na przekroczenie parametrów mikrobiologicznych, w tym również bakterii chorobotwórczych. O stwierdzonych nieprawidłowościach natychmiast informowano personel placówki.</w:t>
      </w:r>
    </w:p>
    <w:p w:rsidR="00AF0FDB" w:rsidRPr="00141902" w:rsidRDefault="00AF0FDB" w:rsidP="00141902">
      <w:pPr>
        <w:spacing w:before="0"/>
        <w:jc w:val="both"/>
      </w:pPr>
      <w:r w:rsidRPr="00141902">
        <w:t xml:space="preserve">Najpoważniejsza sytuacja dotyczyła Stacji dializ zlokalizowanej w Poznaniu przy ul. Grunwaldzkiej 16/18. Ze względu na skolonizowanie sieci wewnętrznej szpitala bakteriami chorobotwórczymi (stwierdzono obecność bakterii </w:t>
      </w:r>
      <w:r w:rsidRPr="00141902">
        <w:rPr>
          <w:i/>
          <w:iCs/>
        </w:rPr>
        <w:t>Escherichia coli</w:t>
      </w:r>
      <w:r w:rsidRPr="00141902">
        <w:t xml:space="preserve"> i Enterokoków). Państwowy Powiatowy Inspektor Sanitarny w Poznaniu wydał komunikat w sprawie jakości wody przeznaczonej do spożycia. Ze względu na stwierdzone skażenie bakteriologiczne wody nie należało </w:t>
      </w:r>
      <w:r>
        <w:t xml:space="preserve">jej </w:t>
      </w:r>
      <w:r w:rsidRPr="00141902">
        <w:t>wykorzystywać do działalności leczniczej, celów konsumpcyjnych i na potrzeby gospodarcze, woda mogła być używana wyłącznie do celów sanitarnych (spłukiwania toalet). W odpowiedzi Dyrekcja szpitala przeprowadziła skuteczne działania naprawcze oraz przedłożyła wyniki badania wody potwierdzające ich skuteczność.</w:t>
      </w:r>
    </w:p>
    <w:p w:rsidR="00AF0FDB" w:rsidRPr="00226B38" w:rsidRDefault="00AF0FDB" w:rsidP="00226B38">
      <w:pPr>
        <w:tabs>
          <w:tab w:val="left" w:pos="180"/>
        </w:tabs>
        <w:ind w:right="-38"/>
        <w:rPr>
          <w:b/>
          <w:bCs/>
        </w:rPr>
      </w:pPr>
      <w:r w:rsidRPr="003D7E03">
        <w:rPr>
          <w:b/>
          <w:bCs/>
        </w:rPr>
        <w:t>Legionella</w:t>
      </w:r>
    </w:p>
    <w:p w:rsidR="00AF0FDB" w:rsidRDefault="00AF0FDB" w:rsidP="006504C2">
      <w:pPr>
        <w:ind w:right="-40"/>
        <w:jc w:val="both"/>
      </w:pPr>
      <w:r>
        <w:t xml:space="preserve">W 2018 roku badania wody w kierunku oznaczania bakterii </w:t>
      </w:r>
      <w:r>
        <w:rPr>
          <w:i/>
          <w:iCs/>
        </w:rPr>
        <w:t>Legionella sp.</w:t>
      </w:r>
      <w:r>
        <w:t xml:space="preserve"> przeprowadzone zostały w 12 obiektach zlokalizowanych na terenie Poznania i powiatu poznańskiego. </w:t>
      </w:r>
    </w:p>
    <w:p w:rsidR="00AF0FDB" w:rsidRDefault="00AF0FDB" w:rsidP="006504C2">
      <w:pPr>
        <w:overflowPunct w:val="0"/>
        <w:autoSpaceDE w:val="0"/>
        <w:ind w:right="-38"/>
        <w:jc w:val="both"/>
      </w:pPr>
      <w:r>
        <w:t xml:space="preserve">Poboru wody dokonano w: jedenastu obiektach szpitalnych, bursie Szkół Artystycznych oraz Wielkopolskim Samorządowym Centrum Kształcenia Zawodowego i Ustawicznego. </w:t>
      </w:r>
    </w:p>
    <w:p w:rsidR="00AF0FDB" w:rsidRDefault="00AF0FDB" w:rsidP="006504C2">
      <w:pPr>
        <w:tabs>
          <w:tab w:val="left" w:pos="180"/>
        </w:tabs>
        <w:ind w:right="-40"/>
        <w:jc w:val="both"/>
        <w:rPr>
          <w:rFonts w:ascii="Arial" w:hAnsi="Arial" w:cs="Arial"/>
        </w:rPr>
      </w:pPr>
      <w:r w:rsidRPr="000F125F">
        <w:t>Wydano dwie decyzje nakazujące podjęcie działań naprawczych w zakresie poprawy jakości ciepłej wody oraz sześć tytułów wykonawczych i nałożono sześć grzywien w celu przymuszenia.</w:t>
      </w:r>
    </w:p>
    <w:p w:rsidR="00AF0FDB" w:rsidRDefault="00AF0FDB" w:rsidP="006504C2">
      <w:pPr>
        <w:jc w:val="both"/>
        <w:rPr>
          <w:b/>
          <w:bCs/>
        </w:rPr>
      </w:pPr>
    </w:p>
    <w:p w:rsidR="00AF0FDB" w:rsidRDefault="00AF0FDB" w:rsidP="006504C2">
      <w:pPr>
        <w:jc w:val="both"/>
        <w:rPr>
          <w:b/>
          <w:bCs/>
        </w:rPr>
      </w:pPr>
    </w:p>
    <w:p w:rsidR="00AF0FDB" w:rsidRDefault="00AF0FDB" w:rsidP="002C7000">
      <w:pPr>
        <w:pStyle w:val="BodyText"/>
        <w:spacing w:line="360" w:lineRule="auto"/>
        <w:jc w:val="left"/>
        <w:rPr>
          <w:b/>
          <w:bCs/>
        </w:rPr>
      </w:pPr>
    </w:p>
    <w:p w:rsidR="00AF0FDB" w:rsidRPr="00226B38" w:rsidRDefault="00AF0FDB" w:rsidP="002C7000">
      <w:pPr>
        <w:pStyle w:val="BodyText"/>
        <w:spacing w:line="360" w:lineRule="auto"/>
        <w:jc w:val="left"/>
        <w:rPr>
          <w:b/>
          <w:bCs/>
        </w:rPr>
      </w:pPr>
      <w:r>
        <w:rPr>
          <w:b/>
          <w:bCs/>
        </w:rPr>
        <w:t>Baseny kąpielowe</w:t>
      </w:r>
    </w:p>
    <w:p w:rsidR="00AF0FDB" w:rsidRDefault="00AF0FDB" w:rsidP="00A848D8">
      <w:pPr>
        <w:jc w:val="both"/>
      </w:pPr>
      <w:r>
        <w:t xml:space="preserve">W 2018 roku objęto nadzorem 34 obiekty basenowe (69 niecek basenowych </w:t>
      </w:r>
      <w:r>
        <w:br/>
        <w:t xml:space="preserve">w obiektach krytych i 7 niecek obiektów letnich). Badania jakości wody prowadzono </w:t>
      </w:r>
      <w:r>
        <w:br/>
        <w:t xml:space="preserve">z częstotliwością raz w miesiącu. Pobrano 1750 próbek wody z niecek basenowych, do badań bakteriologicznych i fizyko – chemicznych. </w:t>
      </w:r>
    </w:p>
    <w:p w:rsidR="00AF0FDB" w:rsidRDefault="00AF0FDB" w:rsidP="00A848D8">
      <w:pPr>
        <w:jc w:val="both"/>
      </w:pPr>
      <w:r>
        <w:t>Wymogów określonych w rozporządzeniu Ministra Zdrowia z dnia 9 listopada 2015 r. w sprawie wymagań, jakim powinna odpowiadać woda na pływalniach (Dz. U. z 2015 r., poz. 2016)</w:t>
      </w:r>
      <w:r w:rsidRPr="001529C7">
        <w:t xml:space="preserve"> </w:t>
      </w:r>
      <w:r>
        <w:t>nie spełniało 148 zbadanych próbek. Stwierdzano przekroczenia zarówno parametrów mikrobiologicznych takich jak: o</w:t>
      </w:r>
      <w:r w:rsidRPr="0061104B">
        <w:t>gólna liczba</w:t>
      </w:r>
      <w:r>
        <w:t xml:space="preserve"> mikroorganizmów w 36°C ± 2</w:t>
      </w:r>
      <w:r>
        <w:rPr>
          <w:vertAlign w:val="superscript"/>
        </w:rPr>
        <w:t>o</w:t>
      </w:r>
      <w:r>
        <w:t xml:space="preserve">C, </w:t>
      </w:r>
      <w:r>
        <w:rPr>
          <w:i/>
          <w:iCs/>
        </w:rPr>
        <w:t>Escherichia coli,</w:t>
      </w:r>
      <w:r>
        <w:t xml:space="preserve"> </w:t>
      </w:r>
      <w:r>
        <w:rPr>
          <w:i/>
          <w:iCs/>
        </w:rPr>
        <w:t xml:space="preserve">Pseudomonas aeruginosa, </w:t>
      </w:r>
      <w:r>
        <w:t>Gronkowce koagulazododatnie,</w:t>
      </w:r>
      <w:r>
        <w:rPr>
          <w:i/>
          <w:iCs/>
        </w:rPr>
        <w:t xml:space="preserve"> Legionella sp</w:t>
      </w:r>
      <w:r>
        <w:t xml:space="preserve">. jak </w:t>
      </w:r>
      <w:r>
        <w:br/>
        <w:t xml:space="preserve">i parametrów fizykochemicznych takich jak: chloroform, ∑ THM, utlenialność, mętność, azotyny.  </w:t>
      </w:r>
    </w:p>
    <w:p w:rsidR="00AF0FDB" w:rsidRDefault="00AF0FDB" w:rsidP="00E502DC">
      <w:pPr>
        <w:spacing w:before="0"/>
        <w:jc w:val="both"/>
      </w:pPr>
      <w:r>
        <w:t xml:space="preserve">W przypadku pogorszenia jakości wody basenowej natychmiast informowano właściciela obiektu oraz zalecano przeprowadzenie działań naprawczych, prowadzących do poprawy jej jakości. Niemniej jednak czterokrotnie wydano decyzje nakazujące wyłączenie </w:t>
      </w:r>
      <w:r>
        <w:br/>
        <w:t xml:space="preserve">z użytkowania niecek basenowych ze względu na przekroczenie parametrów mikrobiologicznych, nadając przedmiotowym decyzjom rygor natychmiastowej wykonalności. </w:t>
      </w:r>
    </w:p>
    <w:p w:rsidR="00AF0FDB" w:rsidRDefault="00AF0FDB" w:rsidP="00E502DC">
      <w:pPr>
        <w:spacing w:before="0"/>
        <w:jc w:val="both"/>
      </w:pPr>
      <w:r>
        <w:t>Przeprowadzono 48 kontroli oceniających stan sanitarno – higieniczny.</w:t>
      </w:r>
    </w:p>
    <w:p w:rsidR="00AF0FDB" w:rsidRDefault="00AF0FDB" w:rsidP="00A848D8">
      <w:pPr>
        <w:jc w:val="both"/>
      </w:pPr>
      <w:r>
        <w:t>Ze względu na stwierdzone nieprawidłowości wydano 1 decyzję administracyjną oraz nałożono 2 mandaty karne.</w:t>
      </w:r>
    </w:p>
    <w:p w:rsidR="00AF0FDB" w:rsidRDefault="00AF0FDB" w:rsidP="00A848D8">
      <w:pPr>
        <w:jc w:val="both"/>
        <w:rPr>
          <w:b/>
          <w:bCs/>
        </w:rPr>
      </w:pPr>
      <w:r>
        <w:t xml:space="preserve">Badania jakości wody w ramach kontroli wewnętrznej prowadzili również zarządzający pływalniami. Ogółem zbadano 3116 próbek wody, z czego 277 nie spełniało wymagań określonych w przytoczonym powyżej rozporządzeniu. Najczęściej ze względu na </w:t>
      </w:r>
      <w:r w:rsidRPr="0061104B">
        <w:t>przekroczenia parametrów takich jak: chloroform, ∑ THM, azotany, utlenialność, mętność, Ogólna liczba mikroorganizmów</w:t>
      </w:r>
      <w:r>
        <w:t xml:space="preserve"> w 36°C ± 2</w:t>
      </w:r>
      <w:r>
        <w:rPr>
          <w:vertAlign w:val="superscript"/>
        </w:rPr>
        <w:t>o</w:t>
      </w:r>
      <w:r>
        <w:t xml:space="preserve">C, </w:t>
      </w:r>
      <w:r>
        <w:rPr>
          <w:i/>
          <w:iCs/>
        </w:rPr>
        <w:t>Pseudomonas aeruginosa</w:t>
      </w:r>
      <w:r>
        <w:t>,</w:t>
      </w:r>
      <w:r>
        <w:rPr>
          <w:i/>
          <w:iCs/>
        </w:rPr>
        <w:t xml:space="preserve"> Escherichia coli, Legionella sp</w:t>
      </w:r>
      <w:r>
        <w:t xml:space="preserve">. </w:t>
      </w:r>
    </w:p>
    <w:p w:rsidR="00AF0FDB" w:rsidRPr="00466A75" w:rsidRDefault="00AF0FDB" w:rsidP="00045BFA">
      <w:pPr>
        <w:pStyle w:val="BodyText"/>
        <w:rPr>
          <w:b/>
          <w:bCs/>
        </w:rPr>
      </w:pPr>
    </w:p>
    <w:p w:rsidR="00AF0FDB" w:rsidRDefault="00AF0FDB" w:rsidP="00E07893">
      <w:pPr>
        <w:pStyle w:val="Heading1"/>
        <w:spacing w:before="0" w:line="276" w:lineRule="auto"/>
        <w:rPr>
          <w:rFonts w:ascii="Times New Roman" w:hAnsi="Times New Roman" w:cs="Times New Roman"/>
          <w:sz w:val="24"/>
          <w:szCs w:val="24"/>
        </w:rPr>
      </w:pPr>
      <w:bookmarkStart w:id="44" w:name="_Toc179815"/>
      <w:bookmarkStart w:id="45" w:name="_Toc855349"/>
      <w:bookmarkStart w:id="46" w:name="_Toc938792"/>
    </w:p>
    <w:p w:rsidR="00AF0FDB" w:rsidRPr="00773A84" w:rsidRDefault="00AF0FDB" w:rsidP="00773A84"/>
    <w:p w:rsidR="00AF0FDB" w:rsidRDefault="00AF0FDB" w:rsidP="00E07893">
      <w:pPr>
        <w:pStyle w:val="Heading1"/>
        <w:spacing w:before="0" w:line="276" w:lineRule="auto"/>
        <w:rPr>
          <w:rFonts w:ascii="Times New Roman" w:hAnsi="Times New Roman" w:cs="Times New Roman"/>
          <w:sz w:val="24"/>
          <w:szCs w:val="24"/>
        </w:rPr>
      </w:pPr>
    </w:p>
    <w:p w:rsidR="00AF0FDB" w:rsidRPr="00082602" w:rsidRDefault="00AF0FDB" w:rsidP="00E07893">
      <w:pPr>
        <w:pStyle w:val="Heading1"/>
        <w:spacing w:before="0" w:line="276" w:lineRule="auto"/>
        <w:rPr>
          <w:rFonts w:ascii="Times New Roman" w:hAnsi="Times New Roman" w:cs="Times New Roman"/>
          <w:sz w:val="24"/>
          <w:szCs w:val="24"/>
        </w:rPr>
      </w:pPr>
      <w:r w:rsidRPr="00082602">
        <w:rPr>
          <w:rFonts w:ascii="Times New Roman" w:hAnsi="Times New Roman" w:cs="Times New Roman"/>
          <w:sz w:val="24"/>
          <w:szCs w:val="24"/>
        </w:rPr>
        <w:t>Ocena jakości wody w kąpieliskach oraz miejscach</w:t>
      </w:r>
      <w:bookmarkEnd w:id="44"/>
      <w:bookmarkEnd w:id="45"/>
      <w:bookmarkEnd w:id="46"/>
      <w:r w:rsidRPr="00082602">
        <w:rPr>
          <w:rFonts w:ascii="Times New Roman" w:hAnsi="Times New Roman" w:cs="Times New Roman"/>
          <w:sz w:val="24"/>
          <w:szCs w:val="24"/>
        </w:rPr>
        <w:t xml:space="preserve"> </w:t>
      </w:r>
    </w:p>
    <w:p w:rsidR="00AF0FDB" w:rsidRPr="00082602" w:rsidRDefault="00AF0FDB" w:rsidP="00E07893">
      <w:pPr>
        <w:pStyle w:val="Heading1"/>
        <w:spacing w:before="0" w:line="276" w:lineRule="auto"/>
        <w:rPr>
          <w:rFonts w:ascii="Times New Roman" w:hAnsi="Times New Roman" w:cs="Times New Roman"/>
          <w:sz w:val="24"/>
          <w:szCs w:val="24"/>
        </w:rPr>
      </w:pPr>
      <w:bookmarkStart w:id="47" w:name="_Toc179816"/>
      <w:bookmarkStart w:id="48" w:name="_Toc855350"/>
      <w:bookmarkStart w:id="49" w:name="_Toc938793"/>
      <w:r w:rsidRPr="00082602">
        <w:rPr>
          <w:rFonts w:ascii="Times New Roman" w:hAnsi="Times New Roman" w:cs="Times New Roman"/>
          <w:sz w:val="24"/>
          <w:szCs w:val="24"/>
        </w:rPr>
        <w:t>wykorzystywanych do kąpieli</w:t>
      </w:r>
      <w:bookmarkEnd w:id="47"/>
      <w:bookmarkEnd w:id="48"/>
      <w:bookmarkEnd w:id="49"/>
    </w:p>
    <w:p w:rsidR="00AF0FDB" w:rsidRPr="00466A75" w:rsidRDefault="00AF0FDB" w:rsidP="00045BFA">
      <w:pPr>
        <w:pStyle w:val="BodyText"/>
      </w:pPr>
    </w:p>
    <w:p w:rsidR="00AF0FDB" w:rsidRDefault="00AF0FDB" w:rsidP="00161C96">
      <w:pPr>
        <w:jc w:val="both"/>
      </w:pPr>
      <w:bookmarkStart w:id="50" w:name="_Toc179817"/>
      <w:r>
        <w:t>Nadzorem objęto 14 kąpielisk zorganizowanych na jeziorach:</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1" w:name="_Hlk534274389"/>
      <w:r w:rsidRPr="00161C96">
        <w:rPr>
          <w:rFonts w:ascii="Times New Roman" w:hAnsi="Times New Roman" w:cs="Times New Roman"/>
        </w:rPr>
        <w:t>kąpielisko Malta na jeziorze Maltańskim</w:t>
      </w:r>
      <w:bookmarkEnd w:id="51"/>
      <w:r w:rsidRPr="00161C96">
        <w:rPr>
          <w:rFonts w:ascii="Times New Roman" w:hAnsi="Times New Roman" w:cs="Times New Roman"/>
        </w:rPr>
        <w:t xml:space="preserve">, </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2" w:name="_Hlk534274514"/>
      <w:r w:rsidRPr="00161C96">
        <w:rPr>
          <w:rFonts w:ascii="Times New Roman" w:hAnsi="Times New Roman" w:cs="Times New Roman"/>
        </w:rPr>
        <w:t xml:space="preserve">kąpielisko Rusałka na jeziorze Rusałka, </w:t>
      </w:r>
    </w:p>
    <w:bookmarkEnd w:id="52"/>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 xml:space="preserve">kąpielisko Strzeszynek na jeziorze Strzeszyńskim, </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3" w:name="_Hlk534275550"/>
      <w:r w:rsidRPr="00161C96">
        <w:rPr>
          <w:rFonts w:ascii="Times New Roman" w:hAnsi="Times New Roman" w:cs="Times New Roman"/>
        </w:rPr>
        <w:t>kąpielisko Krzyżowniki na jeziorze Kierskim w Poznaniu – Krzyżownikach</w:t>
      </w:r>
      <w:bookmarkEnd w:id="53"/>
      <w:r w:rsidRPr="00161C96">
        <w:rPr>
          <w:rFonts w:ascii="Times New Roman" w:hAnsi="Times New Roman" w:cs="Times New Roman"/>
        </w:rPr>
        <w:t>,</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4" w:name="_Hlk534275799"/>
      <w:r w:rsidRPr="00161C96">
        <w:rPr>
          <w:rFonts w:ascii="Times New Roman" w:hAnsi="Times New Roman" w:cs="Times New Roman"/>
        </w:rPr>
        <w:t>kąpielisko Kaskada na jeziorze Kierskim w Poznaniu – Krzyżownikach</w:t>
      </w:r>
      <w:bookmarkEnd w:id="54"/>
      <w:r w:rsidRPr="00161C96">
        <w:rPr>
          <w:rFonts w:ascii="Times New Roman" w:hAnsi="Times New Roman" w:cs="Times New Roman"/>
        </w:rPr>
        <w:t>,</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5" w:name="_Hlk534275943"/>
      <w:r w:rsidRPr="00161C96">
        <w:rPr>
          <w:rFonts w:ascii="Times New Roman" w:hAnsi="Times New Roman" w:cs="Times New Roman"/>
        </w:rPr>
        <w:t>kąpielisko nad Jeziorem Niepruszewskim w Niepruszewie</w:t>
      </w:r>
      <w:bookmarkEnd w:id="55"/>
      <w:r w:rsidRPr="00161C96">
        <w:rPr>
          <w:rFonts w:ascii="Times New Roman" w:hAnsi="Times New Roman" w:cs="Times New Roman"/>
        </w:rPr>
        <w:t xml:space="preserve">, </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6" w:name="_Hlk534276085"/>
      <w:bookmarkStart w:id="57" w:name="_Hlk521584342"/>
      <w:r w:rsidRPr="00161C96">
        <w:rPr>
          <w:rFonts w:ascii="Times New Roman" w:hAnsi="Times New Roman" w:cs="Times New Roman"/>
        </w:rPr>
        <w:t xml:space="preserve">kąpielisko – zbiornik </w:t>
      </w:r>
      <w:r>
        <w:rPr>
          <w:rFonts w:ascii="Times New Roman" w:hAnsi="Times New Roman" w:cs="Times New Roman"/>
        </w:rPr>
        <w:t>po</w:t>
      </w:r>
      <w:r w:rsidRPr="00161C96">
        <w:rPr>
          <w:rFonts w:ascii="Times New Roman" w:hAnsi="Times New Roman" w:cs="Times New Roman"/>
        </w:rPr>
        <w:t>żwirowy AKWEN TROPICANA w Owińskach</w:t>
      </w:r>
      <w:bookmarkEnd w:id="56"/>
      <w:r w:rsidRPr="00161C96">
        <w:rPr>
          <w:rFonts w:ascii="Times New Roman" w:hAnsi="Times New Roman" w:cs="Times New Roman"/>
        </w:rPr>
        <w:t>,</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bookmarkStart w:id="58" w:name="_Hlk534276913"/>
      <w:bookmarkEnd w:id="57"/>
      <w:r w:rsidRPr="00161C96">
        <w:rPr>
          <w:rFonts w:ascii="Times New Roman" w:hAnsi="Times New Roman" w:cs="Times New Roman"/>
        </w:rPr>
        <w:t xml:space="preserve">kąpielisko Glinianki  na zbiorniku wodnym Glinianki obręb Mosina, </w:t>
      </w:r>
    </w:p>
    <w:bookmarkEnd w:id="58"/>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kąpielisko przy Hotelu Szablewskim na jeziorze Łódzko – Dymaczewskim obręb Dymaczewo Nowe,</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 xml:space="preserve">kąpielisko „OAZA – BŁONIE” nad jeziorem Kórnickim w Kórniku, </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 xml:space="preserve">kąpielisko nad jeziorem Chomęcickim w Chomęcicach, </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kąpielisko „OWOCOWA PLAŻA W ZBOROWIE” nad jeziorem Niepruszewskim,</w:t>
      </w:r>
    </w:p>
    <w:p w:rsidR="00AF0FDB" w:rsidRPr="00161C96" w:rsidRDefault="00AF0FDB" w:rsidP="00DE0EFA">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 xml:space="preserve">kąpielisko </w:t>
      </w:r>
      <w:bookmarkStart w:id="59" w:name="_Hlk534023295"/>
      <w:r w:rsidRPr="00161C96">
        <w:rPr>
          <w:rFonts w:ascii="Times New Roman" w:hAnsi="Times New Roman" w:cs="Times New Roman"/>
        </w:rPr>
        <w:t>nad jeziorem Lusowskim obręb Lusowo</w:t>
      </w:r>
      <w:bookmarkEnd w:id="59"/>
      <w:r w:rsidRPr="00161C96">
        <w:rPr>
          <w:rFonts w:ascii="Times New Roman" w:hAnsi="Times New Roman" w:cs="Times New Roman"/>
        </w:rPr>
        <w:t>,</w:t>
      </w:r>
    </w:p>
    <w:p w:rsidR="00AF0FDB" w:rsidRPr="007150DE" w:rsidRDefault="00AF0FDB" w:rsidP="00161C96">
      <w:pPr>
        <w:pStyle w:val="ListParagraph"/>
        <w:numPr>
          <w:ilvl w:val="0"/>
          <w:numId w:val="34"/>
        </w:numPr>
        <w:suppressAutoHyphens/>
        <w:spacing w:after="0" w:line="360" w:lineRule="auto"/>
        <w:contextualSpacing w:val="0"/>
        <w:jc w:val="both"/>
        <w:rPr>
          <w:rFonts w:ascii="Times New Roman" w:hAnsi="Times New Roman" w:cs="Times New Roman"/>
        </w:rPr>
      </w:pPr>
      <w:r w:rsidRPr="00161C96">
        <w:rPr>
          <w:rFonts w:ascii="Times New Roman" w:hAnsi="Times New Roman" w:cs="Times New Roman"/>
        </w:rPr>
        <w:t>kąpielisko nad Jeziorem Biezdruchowskim w Pobiedziskach.</w:t>
      </w:r>
    </w:p>
    <w:p w:rsidR="00AF0FDB" w:rsidRDefault="00AF0FDB" w:rsidP="00161C96">
      <w:pPr>
        <w:jc w:val="both"/>
      </w:pPr>
      <w:r>
        <w:t xml:space="preserve">Kąpielisko zlokalizowane nad Jeziorem Biezdruchowskim w Pobiedziskach ze względu na przedłużające się prace budowlane nie zostało otwarte również w sezonie kąpielowym </w:t>
      </w:r>
      <w:r>
        <w:br/>
      </w:r>
      <w:r w:rsidRPr="0061104B">
        <w:t>w</w:t>
      </w:r>
      <w:r>
        <w:t xml:space="preserve"> 2018 roku (podobnie jak w sezonie 2017), pomimo podjętej przez Radę Miejską Gminy Pobiedziska uchwały dotyczącej jego utworzenia i dokonanym zgłoszeniu do Powiatowej Stacji Sanitarno – Epidemiologicznej w Poznaniu.</w:t>
      </w:r>
    </w:p>
    <w:p w:rsidR="00AF0FDB" w:rsidRDefault="00AF0FDB" w:rsidP="00161C96">
      <w:pPr>
        <w:jc w:val="both"/>
      </w:pPr>
      <w:r>
        <w:t xml:space="preserve">Wszystkie kąpieliska posiadały opracowane profile wody oraz ustalone wcześniej </w:t>
      </w:r>
      <w:r>
        <w:br/>
        <w:t xml:space="preserve">i zaakceptowane przez Państwowego Powiatowego Inspektora Sanitarnego w Poznaniu, harmonogramy pobierania próbek wody na 2018 rok. </w:t>
      </w:r>
    </w:p>
    <w:p w:rsidR="00AF0FDB" w:rsidRDefault="00AF0FDB" w:rsidP="00161C96">
      <w:pPr>
        <w:jc w:val="both"/>
      </w:pPr>
      <w:r>
        <w:t xml:space="preserve">Kontrola i ocena jakości wody w kąpieliskach w sezonie 2018 roku była prowadzona zgodnie z obowiązującymi przepisami prawa, tj. rozporządzeniem Ministra Zdrowia z dnia </w:t>
      </w:r>
      <w:r>
        <w:br/>
        <w:t xml:space="preserve">8 kwietnia 2011 roku w sprawie prowadzenia nadzoru nad jakością wody w kąpielisku </w:t>
      </w:r>
      <w:r>
        <w:br/>
        <w:t xml:space="preserve">i miejscu wykorzystywanym do kąpieli. </w:t>
      </w:r>
    </w:p>
    <w:p w:rsidR="00AF0FDB" w:rsidRDefault="00AF0FDB" w:rsidP="00161C96">
      <w:pPr>
        <w:tabs>
          <w:tab w:val="left" w:pos="5880"/>
        </w:tabs>
        <w:jc w:val="both"/>
      </w:pPr>
      <w:r>
        <w:t>Przeprowadzono 28 kontroli stanu sanitarno – higienicznego kąpielisk. Podczas kontroli urzędowej każdego z wymienionych kąpielisk sprawdzono m.in. czy i jak prowadzona jest dokumentacja z kontroli wewnętrznej. Nie stwierdzono nieprawidłowości w tym zakresie. Wszystkie kąpieliska zostały prawidłowo oznakowane. Posiadały wyznaczone i trwale oznakowane strefy do kąpieli, dostęp do wody przeznaczonej do spożycia, sanitariaty, kosze na odpady, pomosty, wyznaczoną strefę na plaży do rekreacji, a także zapewnioną opiekę ratowników.</w:t>
      </w:r>
    </w:p>
    <w:p w:rsidR="00AF0FDB" w:rsidRPr="005E7F1C" w:rsidRDefault="00AF0FDB" w:rsidP="00161C96">
      <w:pPr>
        <w:tabs>
          <w:tab w:val="left" w:pos="5880"/>
        </w:tabs>
        <w:jc w:val="both"/>
      </w:pPr>
      <w:r>
        <w:t xml:space="preserve">Pobrano 14 próbek wody do badań laboratoryjnych, przez pracowników Powiatowej Stacji Sanitarno – Epidemiologicznej w Poznaniu oraz 44 próbki wody przez organizatorów kąpielisk. </w:t>
      </w:r>
    </w:p>
    <w:p w:rsidR="00AF0FDB" w:rsidRPr="005E7F1C" w:rsidRDefault="00AF0FDB" w:rsidP="00161C96">
      <w:pPr>
        <w:tabs>
          <w:tab w:val="left" w:pos="5880"/>
        </w:tabs>
        <w:jc w:val="both"/>
      </w:pPr>
      <w:r w:rsidRPr="005E7F1C">
        <w:t xml:space="preserve">Jakość wody przez cały sezon była przydatna do kąpieli w następujących kąpieliskach: </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 xml:space="preserve">kąpielisko Rusałka na jeziorze Rusałka, </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 xml:space="preserve">kąpielisko Strzeszynek na jeziorze Strzeszyńskim, </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kąpielisko Krzyżowniki na jeziorze Kierskim w Poznaniu – Krzyżownikach,</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kąpielisko Kaskada na jeziorze Kierskim w Poznaniu – Krzyżownikach,</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 xml:space="preserve">kąpielisko Glinianki  na zbiorniku wodnym Glinianki obręb Mosina, </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kąpielisko przy Hotelu Szablewskim na jeziorze Łódzko – Dymaczewskim obręb Dymaczewo Nowe,</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 xml:space="preserve">kąpielisko nad jeziorem Chomęcickim w Chomęcicach, </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kąpielisko „OWOCOWA PLAŻA W ZBOROWIE” nad jeziorem Niepruszewskim,</w:t>
      </w:r>
    </w:p>
    <w:p w:rsidR="00AF0FDB" w:rsidRPr="005E7F1C" w:rsidRDefault="00AF0FDB" w:rsidP="00DE0EFA">
      <w:pPr>
        <w:pStyle w:val="ListParagraph"/>
        <w:numPr>
          <w:ilvl w:val="0"/>
          <w:numId w:val="33"/>
        </w:numPr>
        <w:suppressAutoHyphens/>
        <w:spacing w:after="0" w:line="360" w:lineRule="auto"/>
        <w:ind w:left="426"/>
        <w:contextualSpacing w:val="0"/>
        <w:jc w:val="both"/>
        <w:rPr>
          <w:rFonts w:ascii="Times New Roman" w:hAnsi="Times New Roman" w:cs="Times New Roman"/>
          <w:sz w:val="24"/>
          <w:szCs w:val="24"/>
        </w:rPr>
      </w:pPr>
      <w:r w:rsidRPr="005E7F1C">
        <w:rPr>
          <w:rFonts w:ascii="Times New Roman" w:hAnsi="Times New Roman" w:cs="Times New Roman"/>
          <w:sz w:val="24"/>
          <w:szCs w:val="24"/>
        </w:rPr>
        <w:t>kąpielisko nad jeziorem Lusowskim obręb Lusowo.</w:t>
      </w:r>
    </w:p>
    <w:p w:rsidR="00AF0FDB" w:rsidRDefault="00AF0FDB" w:rsidP="00161C96">
      <w:pPr>
        <w:pStyle w:val="ListParagraph"/>
        <w:spacing w:line="360" w:lineRule="auto"/>
        <w:ind w:left="0"/>
        <w:jc w:val="both"/>
        <w:rPr>
          <w:rFonts w:ascii="Times New Roman" w:hAnsi="Times New Roman" w:cs="Times New Roman"/>
          <w:sz w:val="24"/>
          <w:szCs w:val="24"/>
          <w:lang w:eastAsia="pl-PL"/>
        </w:rPr>
      </w:pPr>
    </w:p>
    <w:p w:rsidR="00AF0FDB" w:rsidRPr="005E7F1C" w:rsidRDefault="00AF0FDB" w:rsidP="00161C96">
      <w:pPr>
        <w:pStyle w:val="ListParagraph"/>
        <w:spacing w:line="360" w:lineRule="auto"/>
        <w:ind w:left="0"/>
        <w:jc w:val="both"/>
        <w:rPr>
          <w:rFonts w:ascii="Times New Roman" w:hAnsi="Times New Roman" w:cs="Times New Roman"/>
          <w:sz w:val="24"/>
          <w:szCs w:val="24"/>
        </w:rPr>
      </w:pPr>
      <w:r w:rsidRPr="005E7F1C">
        <w:rPr>
          <w:rFonts w:ascii="Times New Roman" w:hAnsi="Times New Roman" w:cs="Times New Roman"/>
          <w:sz w:val="24"/>
          <w:szCs w:val="24"/>
        </w:rPr>
        <w:t xml:space="preserve">W kąpielisku „OAZA – BŁONIE” nad jeziorem Kórnickim w Kórniku ze względu na stwierdzone przekroczenie dopuszczalnej wartości parametru </w:t>
      </w:r>
      <w:r w:rsidRPr="005E7F1C">
        <w:rPr>
          <w:rFonts w:ascii="Times New Roman" w:hAnsi="Times New Roman" w:cs="Times New Roman"/>
          <w:i/>
          <w:iCs/>
          <w:sz w:val="24"/>
          <w:szCs w:val="24"/>
        </w:rPr>
        <w:t>Escherichia coli</w:t>
      </w:r>
      <w:r w:rsidRPr="005E7F1C">
        <w:rPr>
          <w:rFonts w:ascii="Times New Roman" w:hAnsi="Times New Roman" w:cs="Times New Roman"/>
          <w:sz w:val="24"/>
          <w:szCs w:val="24"/>
        </w:rPr>
        <w:t xml:space="preserve"> obowiązywał tymczasowy zakaz kąpieli w dniach od 17 do 24 sierpnia 2018 r. </w:t>
      </w:r>
    </w:p>
    <w:p w:rsidR="00AF0FDB" w:rsidRDefault="00AF0FDB" w:rsidP="00161C96">
      <w:pPr>
        <w:jc w:val="both"/>
      </w:pPr>
      <w:r>
        <w:t xml:space="preserve">Tymczasowy zakaz kąpieli ze względu na stwierdzony zakwit sinic wprowadzono </w:t>
      </w:r>
      <w:r>
        <w:br/>
        <w:t>w następujących kąpieliskach:</w:t>
      </w:r>
    </w:p>
    <w:p w:rsidR="00AF0FDB" w:rsidRDefault="00AF0FDB" w:rsidP="00DE0EFA">
      <w:pPr>
        <w:numPr>
          <w:ilvl w:val="0"/>
          <w:numId w:val="31"/>
        </w:numPr>
        <w:suppressAutoHyphens/>
        <w:spacing w:before="0" w:after="0"/>
        <w:ind w:left="426"/>
        <w:jc w:val="both"/>
      </w:pPr>
      <w:r>
        <w:t xml:space="preserve">kąpielisko Malta na jeziorze Maltańskim, zakaz obowiązywał  w okresach: 23 – 27 lipca 2018 r. oraz od 19 sierpnia 2018 r. do końca sezonu, </w:t>
      </w:r>
    </w:p>
    <w:p w:rsidR="00AF0FDB" w:rsidRDefault="00AF0FDB" w:rsidP="00DE0EFA">
      <w:pPr>
        <w:numPr>
          <w:ilvl w:val="0"/>
          <w:numId w:val="31"/>
        </w:numPr>
        <w:suppressAutoHyphens/>
        <w:spacing w:before="0" w:after="0"/>
        <w:ind w:left="426"/>
        <w:jc w:val="both"/>
      </w:pPr>
      <w:r>
        <w:t>kąpielisko nad Jeziorem Niepruszewskim w Niepruszewie, zakaz obowiązywał od 31 lipca do 6 sierpnia 2018 r.,</w:t>
      </w:r>
    </w:p>
    <w:p w:rsidR="00AF0FDB" w:rsidRDefault="00AF0FDB" w:rsidP="00DE0EFA">
      <w:pPr>
        <w:numPr>
          <w:ilvl w:val="0"/>
          <w:numId w:val="31"/>
        </w:numPr>
        <w:suppressAutoHyphens/>
        <w:spacing w:before="0" w:after="0"/>
        <w:ind w:left="426"/>
        <w:jc w:val="both"/>
      </w:pPr>
      <w:r>
        <w:t>kąpielisko – zbiornik pożwirowy AKWEN TROPICANA w Owińskach, zakaz obowiązywał od 25 lipca do 3 sierpnia 2018 r.</w:t>
      </w:r>
    </w:p>
    <w:p w:rsidR="00AF0FDB" w:rsidRDefault="00AF0FDB" w:rsidP="00161C96">
      <w:pPr>
        <w:ind w:left="66"/>
        <w:jc w:val="both"/>
      </w:pPr>
      <w:r>
        <w:t xml:space="preserve">Państwowy Powiatowy Inspektor Sanitarny w Poznaniu dokonał również czteroletniej oceny jakości wody w 6 kąpieliskach. Wyniki przeprowadzonej klasyfikacji jakości wody </w:t>
      </w:r>
      <w:r>
        <w:br/>
        <w:t>w kąpieliskach za lata 2015 – 2018 przedstawiają się następująco:</w:t>
      </w:r>
    </w:p>
    <w:p w:rsidR="00AF0FDB" w:rsidRDefault="00AF0FDB" w:rsidP="00161C96">
      <w:pPr>
        <w:numPr>
          <w:ilvl w:val="0"/>
          <w:numId w:val="10"/>
        </w:numPr>
        <w:tabs>
          <w:tab w:val="clear" w:pos="1428"/>
          <w:tab w:val="num" w:pos="0"/>
        </w:tabs>
        <w:suppressAutoHyphens/>
        <w:spacing w:before="0" w:after="0"/>
        <w:ind w:left="426" w:hanging="426"/>
        <w:jc w:val="both"/>
      </w:pPr>
      <w:r>
        <w:t>Kąpielisko – zbiornik Malta – jakość doskonała;</w:t>
      </w:r>
    </w:p>
    <w:p w:rsidR="00AF0FDB" w:rsidRDefault="00AF0FDB" w:rsidP="00161C96">
      <w:pPr>
        <w:numPr>
          <w:ilvl w:val="0"/>
          <w:numId w:val="10"/>
        </w:numPr>
        <w:tabs>
          <w:tab w:val="clear" w:pos="1428"/>
          <w:tab w:val="num" w:pos="0"/>
        </w:tabs>
        <w:suppressAutoHyphens/>
        <w:spacing w:before="0" w:after="0"/>
        <w:ind w:left="426" w:hanging="426"/>
        <w:jc w:val="both"/>
      </w:pPr>
      <w:r>
        <w:t>Kąpielisko nad jeziorem Strzeszyńskim – jakość doskonała;</w:t>
      </w:r>
    </w:p>
    <w:p w:rsidR="00AF0FDB" w:rsidRDefault="00AF0FDB" w:rsidP="00161C96">
      <w:pPr>
        <w:numPr>
          <w:ilvl w:val="0"/>
          <w:numId w:val="10"/>
        </w:numPr>
        <w:tabs>
          <w:tab w:val="clear" w:pos="1428"/>
          <w:tab w:val="num" w:pos="0"/>
        </w:tabs>
        <w:suppressAutoHyphens/>
        <w:spacing w:before="0" w:after="0"/>
        <w:ind w:left="426" w:hanging="426"/>
        <w:jc w:val="both"/>
      </w:pPr>
      <w:r>
        <w:t>Kąpielisko nad jeziorem Rusałka – jakość doskonała;</w:t>
      </w:r>
    </w:p>
    <w:p w:rsidR="00AF0FDB" w:rsidRDefault="00AF0FDB" w:rsidP="00161C96">
      <w:pPr>
        <w:numPr>
          <w:ilvl w:val="0"/>
          <w:numId w:val="10"/>
        </w:numPr>
        <w:tabs>
          <w:tab w:val="clear" w:pos="1428"/>
          <w:tab w:val="num" w:pos="0"/>
        </w:tabs>
        <w:suppressAutoHyphens/>
        <w:spacing w:before="0" w:after="0"/>
        <w:ind w:left="426" w:hanging="426"/>
        <w:jc w:val="both"/>
      </w:pPr>
      <w:r>
        <w:t>Kąpielisko w Krzyżownikach nad jeziorem Kierskim – jakość doskonała;</w:t>
      </w:r>
    </w:p>
    <w:p w:rsidR="00AF0FDB" w:rsidRDefault="00AF0FDB" w:rsidP="00161C96">
      <w:pPr>
        <w:numPr>
          <w:ilvl w:val="0"/>
          <w:numId w:val="10"/>
        </w:numPr>
        <w:tabs>
          <w:tab w:val="clear" w:pos="1428"/>
          <w:tab w:val="num" w:pos="0"/>
        </w:tabs>
        <w:suppressAutoHyphens/>
        <w:spacing w:before="0" w:after="0"/>
        <w:ind w:left="426" w:hanging="426"/>
        <w:jc w:val="both"/>
      </w:pPr>
      <w:r>
        <w:t>Kąpielisko Akwen Tropicana w Owińskach – jakość doskonała;</w:t>
      </w:r>
    </w:p>
    <w:p w:rsidR="00AF0FDB" w:rsidRDefault="00AF0FDB" w:rsidP="00161C96">
      <w:pPr>
        <w:numPr>
          <w:ilvl w:val="0"/>
          <w:numId w:val="10"/>
        </w:numPr>
        <w:tabs>
          <w:tab w:val="clear" w:pos="1428"/>
          <w:tab w:val="num" w:pos="0"/>
        </w:tabs>
        <w:suppressAutoHyphens/>
        <w:spacing w:before="0" w:after="0"/>
        <w:ind w:left="426" w:hanging="426"/>
        <w:jc w:val="both"/>
      </w:pPr>
      <w:r>
        <w:t>Kąpielisko w Niepruszewie nad jeziorem Niepruszewskim – jakość doskonała.</w:t>
      </w:r>
    </w:p>
    <w:p w:rsidR="00AF0FDB" w:rsidRDefault="00AF0FDB" w:rsidP="00161C96">
      <w:pPr>
        <w:jc w:val="both"/>
      </w:pPr>
      <w:r>
        <w:t xml:space="preserve">Pozostałe kąpieliska funkcjonowały krócej niż cztery sezony kąpielowe, dlatego w ich przypadku Państwowy Powiatowy Inspektor Sanitarny w Poznaniu dokonywał jedynie oceny bieżącej i sezonowej. W ewidencji Państwowego Powiatowego Inspektora Sanitarnego w Poznaniu w sezonie letnim 2018 roku obok wyżej wymienionych kąpielisk znajdowały się 4 miejsca okazjonalnie wykorzystywane do kąpieli,  zlokalizowane na jeziorach: </w:t>
      </w:r>
    </w:p>
    <w:p w:rsidR="00AF0FDB" w:rsidRDefault="00AF0FDB" w:rsidP="00DE0EFA">
      <w:pPr>
        <w:numPr>
          <w:ilvl w:val="0"/>
          <w:numId w:val="32"/>
        </w:numPr>
        <w:suppressAutoHyphens/>
        <w:overflowPunct w:val="0"/>
        <w:autoSpaceDE w:val="0"/>
        <w:spacing w:before="0" w:after="0"/>
        <w:ind w:left="426"/>
        <w:jc w:val="both"/>
      </w:pPr>
      <w:r>
        <w:t>Kamińsko,</w:t>
      </w:r>
    </w:p>
    <w:p w:rsidR="00AF0FDB" w:rsidRDefault="00AF0FDB" w:rsidP="00DE0EFA">
      <w:pPr>
        <w:numPr>
          <w:ilvl w:val="0"/>
          <w:numId w:val="32"/>
        </w:numPr>
        <w:suppressAutoHyphens/>
        <w:overflowPunct w:val="0"/>
        <w:autoSpaceDE w:val="0"/>
        <w:spacing w:before="0" w:after="0"/>
        <w:ind w:left="426"/>
        <w:jc w:val="both"/>
      </w:pPr>
      <w:r>
        <w:t>Łódzko – Dymaczewskim,</w:t>
      </w:r>
    </w:p>
    <w:p w:rsidR="00AF0FDB" w:rsidRDefault="00AF0FDB" w:rsidP="00DE0EFA">
      <w:pPr>
        <w:numPr>
          <w:ilvl w:val="0"/>
          <w:numId w:val="32"/>
        </w:numPr>
        <w:suppressAutoHyphens/>
        <w:overflowPunct w:val="0"/>
        <w:autoSpaceDE w:val="0"/>
        <w:spacing w:before="0" w:after="0"/>
        <w:ind w:left="426"/>
        <w:jc w:val="both"/>
      </w:pPr>
      <w:r>
        <w:t>Lipno,</w:t>
      </w:r>
    </w:p>
    <w:p w:rsidR="00AF0FDB" w:rsidRDefault="00AF0FDB" w:rsidP="00DE0EFA">
      <w:pPr>
        <w:numPr>
          <w:ilvl w:val="0"/>
          <w:numId w:val="32"/>
        </w:numPr>
        <w:suppressAutoHyphens/>
        <w:overflowPunct w:val="0"/>
        <w:autoSpaceDE w:val="0"/>
        <w:spacing w:before="0" w:after="0"/>
        <w:ind w:left="426"/>
        <w:jc w:val="both"/>
      </w:pPr>
      <w:r>
        <w:t>Strykowskim.</w:t>
      </w:r>
    </w:p>
    <w:p w:rsidR="00AF0FDB" w:rsidRDefault="00AF0FDB" w:rsidP="00161C96">
      <w:pPr>
        <w:tabs>
          <w:tab w:val="left" w:pos="5880"/>
        </w:tabs>
        <w:jc w:val="both"/>
      </w:pPr>
      <w:r>
        <w:t xml:space="preserve">Pracownicy Powiatowej Stacji Sanitarno – Epidemiologicznej w Poznaniu skontrolowali wszystkie nadzorowane miejsca wykorzystywane do kąpieli (4 kontrole). </w:t>
      </w:r>
    </w:p>
    <w:p w:rsidR="00AF0FDB" w:rsidRDefault="00AF0FDB" w:rsidP="00161C96">
      <w:pPr>
        <w:tabs>
          <w:tab w:val="left" w:pos="5880"/>
        </w:tabs>
        <w:jc w:val="both"/>
      </w:pPr>
      <w:r>
        <w:t xml:space="preserve">W 2018 roku jakość wody w miejscach wykorzystywanych do kąpieli nie budziła zastrzeżeń. </w:t>
      </w:r>
    </w:p>
    <w:p w:rsidR="00AF0FDB" w:rsidRDefault="00AF0FDB" w:rsidP="00161C96">
      <w:pPr>
        <w:tabs>
          <w:tab w:val="left" w:pos="5880"/>
        </w:tabs>
        <w:jc w:val="both"/>
      </w:pPr>
      <w:r>
        <w:t xml:space="preserve">Dostępna infrastruktura i zagospodarowanie terenu nie budzą zastrzeżeń Wszystkie miejsca wyposażono w pojemniki na odpady i toalety (również typu TOI-TOI), przebieralnie </w:t>
      </w:r>
      <w:r>
        <w:br/>
        <w:t>i natryski. W przypadku wszystkich miejsc zorganizowano strefę rekreacyjną, w skład której wchodzą np. plac zabaw, boiska, miejsce na grill. Wszystkie miejsca posiadają także wyznaczone strefy kąpieli i wyposażone są w niezbędny sprzęt medyczny, leki i artykuły sanitarne.</w:t>
      </w:r>
    </w:p>
    <w:p w:rsidR="00AF0FDB" w:rsidRPr="00956067" w:rsidRDefault="00AF0FDB" w:rsidP="00956067">
      <w:pPr>
        <w:pStyle w:val="Heading1"/>
        <w:rPr>
          <w:rFonts w:ascii="Times New Roman" w:hAnsi="Times New Roman" w:cs="Times New Roman"/>
          <w:sz w:val="24"/>
          <w:szCs w:val="24"/>
        </w:rPr>
      </w:pPr>
      <w:bookmarkStart w:id="60" w:name="_Toc855351"/>
      <w:bookmarkStart w:id="61" w:name="_Toc938794"/>
      <w:r w:rsidRPr="00082602">
        <w:rPr>
          <w:rFonts w:ascii="Times New Roman" w:hAnsi="Times New Roman" w:cs="Times New Roman"/>
          <w:sz w:val="24"/>
          <w:szCs w:val="24"/>
        </w:rPr>
        <w:t>Stan sanitarny placówek lecznictwa</w:t>
      </w:r>
      <w:bookmarkStart w:id="62" w:name="_Toc506451353"/>
      <w:bookmarkEnd w:id="50"/>
      <w:bookmarkEnd w:id="60"/>
      <w:bookmarkEnd w:id="61"/>
    </w:p>
    <w:p w:rsidR="00AF0FDB" w:rsidRDefault="00AF0FDB" w:rsidP="007150DE">
      <w:pPr>
        <w:jc w:val="both"/>
        <w:outlineLvl w:val="0"/>
      </w:pPr>
      <w:bookmarkStart w:id="63" w:name="_Toc855352"/>
      <w:bookmarkStart w:id="64" w:name="_Toc938795"/>
      <w:bookmarkStart w:id="65" w:name="_Toc506451354"/>
      <w:bookmarkStart w:id="66" w:name="_Toc506553970"/>
      <w:bookmarkEnd w:id="62"/>
      <w:r w:rsidRPr="00CE7A54">
        <w:t>Pod nadzorem Państwowego Powiatowego Inspektora Sanitarnego w Poznaniu w 2018 roku znajdowało się ogółem 2347 placówek medycznych, w tym 37 szpitali (12 publicznych, 25 niepublicznych), 1 zakład rehabilitacji leczniczej w ramach stacjonarnych i całodobowych świadczeń zdrowotnych inne niż szpitalne, 2 inne stacjonarne podmioty lecznicze wykonujące świadczenia inne niż szpitalne, 1104 podmioty lecznicze wykonujące ambulatoryjne świadczenia zdrowotne o charakterze zabiegowym i niezabiegow</w:t>
      </w:r>
      <w:r>
        <w:t>ym, 1203 gabinety indywidualne, specjalistyczne</w:t>
      </w:r>
      <w:r w:rsidRPr="00CE7A54">
        <w:t xml:space="preserve"> i grupowych praktyk lekarskich oraz praktyk pielęgniarek i położnych. W roku 2018 skontrolowano 631 podmiotów wykonujących działalność leczniczą, co stanowi 26,89% ogółu ujętych w ewidencji. Zły stan stwierdzono w 54 jednostkach, tj. w 8,56% skontrolowanych. W związku z prowadzonym nadzorem w roku sprawozdawczym na podstawie prz</w:t>
      </w:r>
      <w:r>
        <w:t>eprowadzonych 765 kontroli</w:t>
      </w:r>
      <w:r w:rsidRPr="00CE7A54">
        <w:t xml:space="preserve"> wydano łącznie 155 decyzji (w tym 50 na podmioty lecznicze wykonujące stacjonarne i całodobowe świadczenia zdrowotne), odnotowano 16 interwencji dotyczących placówek medycznych, wydano 1 postanowienie o nałożeniu grzywny na kwotę 400 zł oraz wydano 12 opinii o wpływie na bezpieczeństwo pacjentów w związku z co najmniej częściowym niezrealizowaniem programów dostosowawczych w zakresie spełnien</w:t>
      </w:r>
      <w:r>
        <w:t xml:space="preserve">ia wymagań przez pomieszczenia </w:t>
      </w:r>
      <w:r w:rsidRPr="00CE7A54">
        <w:t>i urządzenia podmiotów wykonują</w:t>
      </w:r>
      <w:r>
        <w:t>cych działalność leczniczą.</w:t>
      </w:r>
      <w:bookmarkStart w:id="67" w:name="_Toc179819"/>
      <w:bookmarkStart w:id="68" w:name="_Toc855353"/>
      <w:bookmarkStart w:id="69" w:name="_Toc938796"/>
      <w:bookmarkEnd w:id="63"/>
      <w:bookmarkEnd w:id="64"/>
    </w:p>
    <w:p w:rsidR="00AF0FDB" w:rsidRPr="007150DE" w:rsidRDefault="00AF0FDB" w:rsidP="007150DE">
      <w:pPr>
        <w:jc w:val="both"/>
        <w:outlineLvl w:val="0"/>
      </w:pPr>
      <w:r w:rsidRPr="00B260B8">
        <w:rPr>
          <w:b/>
          <w:bCs/>
          <w:sz w:val="20"/>
          <w:szCs w:val="20"/>
        </w:rPr>
        <w:t>Tab. 2.</w:t>
      </w:r>
      <w:r w:rsidRPr="00B260B8">
        <w:rPr>
          <w:sz w:val="20"/>
          <w:szCs w:val="20"/>
        </w:rPr>
        <w:t xml:space="preserve"> Działalność kontrolna w pla</w:t>
      </w:r>
      <w:r>
        <w:rPr>
          <w:sz w:val="20"/>
          <w:szCs w:val="20"/>
        </w:rPr>
        <w:t>cówkach służby zdrowia w 2018 roku</w:t>
      </w:r>
      <w:bookmarkEnd w:id="65"/>
      <w:bookmarkEnd w:id="66"/>
      <w:bookmarkEnd w:id="67"/>
      <w:bookmarkEnd w:id="68"/>
      <w:bookmarkEnd w:id="69"/>
      <w:r w:rsidRPr="00B260B8">
        <w:rPr>
          <w:sz w:val="20"/>
          <w:szCs w:val="20"/>
        </w:rPr>
        <w:t xml:space="preserve"> </w:t>
      </w:r>
    </w:p>
    <w:tbl>
      <w:tblPr>
        <w:tblW w:w="0" w:type="auto"/>
        <w:tblInd w:w="-176"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0A0"/>
      </w:tblPr>
      <w:tblGrid>
        <w:gridCol w:w="2411"/>
        <w:gridCol w:w="1842"/>
        <w:gridCol w:w="1560"/>
        <w:gridCol w:w="1561"/>
        <w:gridCol w:w="1801"/>
      </w:tblGrid>
      <w:tr w:rsidR="00AF0FDB" w:rsidRPr="00CD2C79">
        <w:trPr>
          <w:trHeight w:val="677"/>
        </w:trPr>
        <w:tc>
          <w:tcPr>
            <w:tcW w:w="2411" w:type="dxa"/>
            <w:tcBorders>
              <w:bottom w:val="single" w:sz="18" w:space="0" w:color="A5A5A5"/>
            </w:tcBorders>
          </w:tcPr>
          <w:p w:rsidR="00AF0FDB" w:rsidRPr="002C4F7C" w:rsidRDefault="00AF0FDB" w:rsidP="002C4F7C">
            <w:pPr>
              <w:jc w:val="center"/>
              <w:outlineLvl w:val="0"/>
              <w:rPr>
                <w:b/>
                <w:bCs/>
                <w:sz w:val="18"/>
                <w:szCs w:val="18"/>
              </w:rPr>
            </w:pPr>
            <w:bookmarkStart w:id="70" w:name="_Toc506451355"/>
            <w:bookmarkStart w:id="71" w:name="_Toc506553971"/>
            <w:bookmarkStart w:id="72" w:name="_Toc179820"/>
            <w:bookmarkStart w:id="73" w:name="_Toc855354"/>
            <w:bookmarkStart w:id="74" w:name="_Toc861432"/>
            <w:bookmarkStart w:id="75" w:name="_Toc938797"/>
            <w:r w:rsidRPr="002C4F7C">
              <w:rPr>
                <w:b/>
                <w:bCs/>
                <w:sz w:val="18"/>
                <w:szCs w:val="18"/>
              </w:rPr>
              <w:t>Rodzaj placówki</w:t>
            </w:r>
            <w:bookmarkEnd w:id="70"/>
            <w:bookmarkEnd w:id="71"/>
            <w:bookmarkEnd w:id="72"/>
            <w:bookmarkEnd w:id="73"/>
            <w:bookmarkEnd w:id="74"/>
            <w:bookmarkEnd w:id="75"/>
          </w:p>
        </w:tc>
        <w:tc>
          <w:tcPr>
            <w:tcW w:w="1842" w:type="dxa"/>
            <w:tcBorders>
              <w:bottom w:val="single" w:sz="18" w:space="0" w:color="A5A5A5"/>
            </w:tcBorders>
          </w:tcPr>
          <w:p w:rsidR="00AF0FDB" w:rsidRPr="002C4F7C" w:rsidRDefault="00AF0FDB" w:rsidP="002C4F7C">
            <w:pPr>
              <w:jc w:val="center"/>
              <w:outlineLvl w:val="0"/>
              <w:rPr>
                <w:b/>
                <w:bCs/>
                <w:sz w:val="18"/>
                <w:szCs w:val="18"/>
              </w:rPr>
            </w:pPr>
            <w:bookmarkStart w:id="76" w:name="_Toc506451356"/>
            <w:bookmarkStart w:id="77" w:name="_Toc506553972"/>
            <w:bookmarkStart w:id="78" w:name="_Toc179821"/>
            <w:bookmarkStart w:id="79" w:name="_Toc855355"/>
            <w:bookmarkStart w:id="80" w:name="_Toc861433"/>
            <w:bookmarkStart w:id="81" w:name="_Toc938798"/>
            <w:r w:rsidRPr="002C4F7C">
              <w:rPr>
                <w:b/>
                <w:bCs/>
                <w:sz w:val="18"/>
                <w:szCs w:val="18"/>
              </w:rPr>
              <w:t>Liczba obiektów w ewidencji</w:t>
            </w:r>
            <w:bookmarkEnd w:id="76"/>
            <w:bookmarkEnd w:id="77"/>
            <w:bookmarkEnd w:id="78"/>
            <w:bookmarkEnd w:id="79"/>
            <w:bookmarkEnd w:id="80"/>
            <w:bookmarkEnd w:id="81"/>
          </w:p>
        </w:tc>
        <w:tc>
          <w:tcPr>
            <w:tcW w:w="1560" w:type="dxa"/>
            <w:tcBorders>
              <w:bottom w:val="single" w:sz="18" w:space="0" w:color="A5A5A5"/>
            </w:tcBorders>
          </w:tcPr>
          <w:p w:rsidR="00AF0FDB" w:rsidRPr="002C4F7C" w:rsidRDefault="00AF0FDB" w:rsidP="002C4F7C">
            <w:pPr>
              <w:jc w:val="center"/>
              <w:outlineLvl w:val="0"/>
              <w:rPr>
                <w:b/>
                <w:bCs/>
                <w:sz w:val="18"/>
                <w:szCs w:val="18"/>
              </w:rPr>
            </w:pPr>
            <w:bookmarkStart w:id="82" w:name="_Toc506451357"/>
            <w:bookmarkStart w:id="83" w:name="_Toc506553973"/>
            <w:bookmarkStart w:id="84" w:name="_Toc179822"/>
            <w:bookmarkStart w:id="85" w:name="_Toc855356"/>
            <w:bookmarkStart w:id="86" w:name="_Toc861434"/>
            <w:bookmarkStart w:id="87" w:name="_Toc938799"/>
            <w:r w:rsidRPr="002C4F7C">
              <w:rPr>
                <w:b/>
                <w:bCs/>
                <w:sz w:val="18"/>
                <w:szCs w:val="18"/>
              </w:rPr>
              <w:t>Skontrolowano</w:t>
            </w:r>
            <w:bookmarkEnd w:id="82"/>
            <w:bookmarkEnd w:id="83"/>
            <w:bookmarkEnd w:id="84"/>
            <w:bookmarkEnd w:id="85"/>
            <w:bookmarkEnd w:id="86"/>
            <w:bookmarkEnd w:id="87"/>
          </w:p>
        </w:tc>
        <w:tc>
          <w:tcPr>
            <w:tcW w:w="1561" w:type="dxa"/>
            <w:tcBorders>
              <w:bottom w:val="single" w:sz="18" w:space="0" w:color="A5A5A5"/>
            </w:tcBorders>
          </w:tcPr>
          <w:p w:rsidR="00AF0FDB" w:rsidRPr="002C4F7C" w:rsidRDefault="00AF0FDB" w:rsidP="002C4F7C">
            <w:pPr>
              <w:jc w:val="center"/>
              <w:outlineLvl w:val="0"/>
              <w:rPr>
                <w:b/>
                <w:bCs/>
                <w:sz w:val="18"/>
                <w:szCs w:val="18"/>
              </w:rPr>
            </w:pPr>
            <w:bookmarkStart w:id="88" w:name="_Toc506451358"/>
            <w:bookmarkStart w:id="89" w:name="_Toc506553974"/>
            <w:bookmarkStart w:id="90" w:name="_Toc179823"/>
            <w:bookmarkStart w:id="91" w:name="_Toc855357"/>
            <w:bookmarkStart w:id="92" w:name="_Toc861435"/>
            <w:bookmarkStart w:id="93" w:name="_Toc938800"/>
            <w:r w:rsidRPr="002C4F7C">
              <w:rPr>
                <w:b/>
                <w:bCs/>
                <w:sz w:val="18"/>
                <w:szCs w:val="18"/>
              </w:rPr>
              <w:t>% obiektów skontrolowanych</w:t>
            </w:r>
            <w:bookmarkEnd w:id="88"/>
            <w:bookmarkEnd w:id="89"/>
            <w:bookmarkEnd w:id="90"/>
            <w:bookmarkEnd w:id="91"/>
            <w:bookmarkEnd w:id="92"/>
            <w:bookmarkEnd w:id="93"/>
          </w:p>
        </w:tc>
        <w:tc>
          <w:tcPr>
            <w:tcW w:w="1801" w:type="dxa"/>
            <w:tcBorders>
              <w:bottom w:val="single" w:sz="18" w:space="0" w:color="A5A5A5"/>
            </w:tcBorders>
          </w:tcPr>
          <w:p w:rsidR="00AF0FDB" w:rsidRPr="002C4F7C" w:rsidRDefault="00AF0FDB" w:rsidP="002C4F7C">
            <w:pPr>
              <w:jc w:val="center"/>
              <w:outlineLvl w:val="0"/>
              <w:rPr>
                <w:b/>
                <w:bCs/>
                <w:sz w:val="18"/>
                <w:szCs w:val="18"/>
              </w:rPr>
            </w:pPr>
            <w:bookmarkStart w:id="94" w:name="_Toc506451359"/>
            <w:bookmarkStart w:id="95" w:name="_Toc506553975"/>
            <w:bookmarkStart w:id="96" w:name="_Toc179824"/>
            <w:bookmarkStart w:id="97" w:name="_Toc855358"/>
            <w:bookmarkStart w:id="98" w:name="_Toc861436"/>
            <w:bookmarkStart w:id="99" w:name="_Toc938801"/>
            <w:r w:rsidRPr="002C4F7C">
              <w:rPr>
                <w:b/>
                <w:bCs/>
                <w:sz w:val="18"/>
                <w:szCs w:val="18"/>
              </w:rPr>
              <w:t>% obiektów ze złym stanem</w:t>
            </w:r>
            <w:bookmarkEnd w:id="94"/>
            <w:bookmarkEnd w:id="95"/>
            <w:bookmarkEnd w:id="96"/>
            <w:bookmarkEnd w:id="97"/>
            <w:bookmarkEnd w:id="98"/>
            <w:bookmarkEnd w:id="99"/>
            <w:r w:rsidRPr="002C4F7C">
              <w:rPr>
                <w:b/>
                <w:bCs/>
                <w:sz w:val="18"/>
                <w:szCs w:val="18"/>
              </w:rPr>
              <w:t xml:space="preserve"> </w:t>
            </w:r>
          </w:p>
        </w:tc>
      </w:tr>
      <w:tr w:rsidR="00AF0FDB" w:rsidRPr="00CD2C79">
        <w:trPr>
          <w:trHeight w:val="759"/>
        </w:trPr>
        <w:tc>
          <w:tcPr>
            <w:tcW w:w="2411" w:type="dxa"/>
            <w:shd w:val="clear" w:color="auto" w:fill="E8E8E8"/>
          </w:tcPr>
          <w:p w:rsidR="00AF0FDB" w:rsidRPr="002C4F7C" w:rsidRDefault="00AF0FDB" w:rsidP="002C4F7C">
            <w:pPr>
              <w:spacing w:line="276" w:lineRule="auto"/>
              <w:outlineLvl w:val="0"/>
              <w:rPr>
                <w:b/>
                <w:bCs/>
                <w:sz w:val="18"/>
                <w:szCs w:val="18"/>
              </w:rPr>
            </w:pPr>
            <w:bookmarkStart w:id="100" w:name="_Toc506553976"/>
            <w:bookmarkStart w:id="101" w:name="_Toc179825"/>
            <w:bookmarkStart w:id="102" w:name="_Toc855359"/>
            <w:bookmarkStart w:id="103" w:name="_Toc938802"/>
            <w:r w:rsidRPr="002C4F7C">
              <w:rPr>
                <w:b/>
                <w:bCs/>
                <w:sz w:val="18"/>
                <w:szCs w:val="18"/>
              </w:rPr>
              <w:t>Podmioty lecznicze</w:t>
            </w:r>
            <w:bookmarkEnd w:id="100"/>
            <w:bookmarkEnd w:id="101"/>
            <w:bookmarkEnd w:id="102"/>
            <w:bookmarkEnd w:id="103"/>
          </w:p>
        </w:tc>
        <w:tc>
          <w:tcPr>
            <w:tcW w:w="1842" w:type="dxa"/>
            <w:shd w:val="clear" w:color="auto" w:fill="E8E8E8"/>
          </w:tcPr>
          <w:p w:rsidR="00AF0FDB" w:rsidRPr="002C4F7C" w:rsidRDefault="00AF0FDB" w:rsidP="002C4F7C">
            <w:pPr>
              <w:jc w:val="center"/>
              <w:outlineLvl w:val="0"/>
              <w:rPr>
                <w:sz w:val="20"/>
                <w:szCs w:val="20"/>
              </w:rPr>
            </w:pPr>
            <w:bookmarkStart w:id="104" w:name="_Toc506451361"/>
            <w:bookmarkStart w:id="105" w:name="_Toc506553977"/>
            <w:bookmarkStart w:id="106" w:name="_Toc179826"/>
            <w:bookmarkStart w:id="107" w:name="_Toc179928"/>
            <w:bookmarkStart w:id="108" w:name="_Toc855360"/>
            <w:bookmarkStart w:id="109" w:name="_Toc861438"/>
            <w:bookmarkStart w:id="110" w:name="_Toc938803"/>
            <w:r w:rsidRPr="002C4F7C">
              <w:rPr>
                <w:sz w:val="20"/>
                <w:szCs w:val="20"/>
              </w:rPr>
              <w:t>11</w:t>
            </w:r>
            <w:bookmarkEnd w:id="104"/>
            <w:bookmarkEnd w:id="105"/>
            <w:bookmarkEnd w:id="106"/>
            <w:bookmarkEnd w:id="107"/>
            <w:r w:rsidRPr="002C4F7C">
              <w:rPr>
                <w:sz w:val="20"/>
                <w:szCs w:val="20"/>
              </w:rPr>
              <w:t>44</w:t>
            </w:r>
            <w:bookmarkEnd w:id="108"/>
            <w:bookmarkEnd w:id="109"/>
            <w:bookmarkEnd w:id="110"/>
          </w:p>
        </w:tc>
        <w:tc>
          <w:tcPr>
            <w:tcW w:w="1560" w:type="dxa"/>
            <w:shd w:val="clear" w:color="auto" w:fill="E8E8E8"/>
          </w:tcPr>
          <w:p w:rsidR="00AF0FDB" w:rsidRPr="002C4F7C" w:rsidRDefault="00AF0FDB" w:rsidP="002C4F7C">
            <w:pPr>
              <w:jc w:val="center"/>
              <w:outlineLvl w:val="0"/>
              <w:rPr>
                <w:sz w:val="20"/>
                <w:szCs w:val="20"/>
                <w:highlight w:val="yellow"/>
              </w:rPr>
            </w:pPr>
            <w:bookmarkStart w:id="111" w:name="_Toc506451362"/>
            <w:bookmarkStart w:id="112" w:name="_Toc506553978"/>
            <w:bookmarkStart w:id="113" w:name="_Toc179827"/>
            <w:bookmarkStart w:id="114" w:name="_Toc179929"/>
            <w:bookmarkStart w:id="115" w:name="_Toc855361"/>
            <w:bookmarkStart w:id="116" w:name="_Toc861439"/>
            <w:bookmarkStart w:id="117" w:name="_Toc938804"/>
            <w:r w:rsidRPr="002C4F7C">
              <w:rPr>
                <w:sz w:val="20"/>
                <w:szCs w:val="20"/>
              </w:rPr>
              <w:t>4</w:t>
            </w:r>
            <w:bookmarkEnd w:id="111"/>
            <w:bookmarkEnd w:id="112"/>
            <w:bookmarkEnd w:id="113"/>
            <w:bookmarkEnd w:id="114"/>
            <w:r w:rsidRPr="002C4F7C">
              <w:rPr>
                <w:sz w:val="20"/>
                <w:szCs w:val="20"/>
              </w:rPr>
              <w:t>01</w:t>
            </w:r>
            <w:bookmarkEnd w:id="115"/>
            <w:bookmarkEnd w:id="116"/>
            <w:bookmarkEnd w:id="117"/>
          </w:p>
        </w:tc>
        <w:tc>
          <w:tcPr>
            <w:tcW w:w="1561" w:type="dxa"/>
            <w:shd w:val="clear" w:color="auto" w:fill="E8E8E8"/>
          </w:tcPr>
          <w:p w:rsidR="00AF0FDB" w:rsidRPr="002C4F7C" w:rsidRDefault="00AF0FDB" w:rsidP="002C4F7C">
            <w:pPr>
              <w:jc w:val="center"/>
              <w:outlineLvl w:val="0"/>
              <w:rPr>
                <w:sz w:val="20"/>
                <w:szCs w:val="20"/>
                <w:highlight w:val="yellow"/>
              </w:rPr>
            </w:pPr>
            <w:bookmarkStart w:id="118" w:name="_Toc506451363"/>
            <w:bookmarkStart w:id="119" w:name="_Toc506553979"/>
            <w:bookmarkStart w:id="120" w:name="_Toc179828"/>
            <w:bookmarkStart w:id="121" w:name="_Toc179930"/>
            <w:bookmarkStart w:id="122" w:name="_Toc855362"/>
            <w:bookmarkStart w:id="123" w:name="_Toc861440"/>
            <w:bookmarkStart w:id="124" w:name="_Toc938805"/>
            <w:r w:rsidRPr="002C4F7C">
              <w:rPr>
                <w:sz w:val="20"/>
                <w:szCs w:val="20"/>
              </w:rPr>
              <w:t>35,05%</w:t>
            </w:r>
            <w:bookmarkEnd w:id="118"/>
            <w:bookmarkEnd w:id="119"/>
            <w:bookmarkEnd w:id="120"/>
            <w:bookmarkEnd w:id="121"/>
            <w:bookmarkEnd w:id="122"/>
            <w:bookmarkEnd w:id="123"/>
            <w:bookmarkEnd w:id="124"/>
            <w:r w:rsidRPr="002C4F7C">
              <w:rPr>
                <w:sz w:val="20"/>
                <w:szCs w:val="20"/>
              </w:rPr>
              <w:t xml:space="preserve"> </w:t>
            </w:r>
          </w:p>
        </w:tc>
        <w:tc>
          <w:tcPr>
            <w:tcW w:w="1801" w:type="dxa"/>
            <w:shd w:val="clear" w:color="auto" w:fill="E8E8E8"/>
          </w:tcPr>
          <w:p w:rsidR="00AF0FDB" w:rsidRPr="002C4F7C" w:rsidRDefault="00AF0FDB" w:rsidP="002C4F7C">
            <w:pPr>
              <w:jc w:val="center"/>
              <w:outlineLvl w:val="0"/>
              <w:rPr>
                <w:sz w:val="20"/>
                <w:szCs w:val="20"/>
                <w:highlight w:val="yellow"/>
              </w:rPr>
            </w:pPr>
            <w:bookmarkStart w:id="125" w:name="_Toc506451364"/>
            <w:bookmarkStart w:id="126" w:name="_Toc506553980"/>
            <w:bookmarkStart w:id="127" w:name="_Toc179829"/>
            <w:bookmarkStart w:id="128" w:name="_Toc179931"/>
            <w:bookmarkStart w:id="129" w:name="_Toc855363"/>
            <w:bookmarkStart w:id="130" w:name="_Toc861441"/>
            <w:bookmarkStart w:id="131" w:name="_Toc938806"/>
            <w:r w:rsidRPr="002C4F7C">
              <w:rPr>
                <w:sz w:val="20"/>
                <w:szCs w:val="20"/>
              </w:rPr>
              <w:t>10,72%</w:t>
            </w:r>
            <w:bookmarkEnd w:id="125"/>
            <w:bookmarkEnd w:id="126"/>
            <w:bookmarkEnd w:id="127"/>
            <w:bookmarkEnd w:id="128"/>
            <w:bookmarkEnd w:id="129"/>
            <w:bookmarkEnd w:id="130"/>
            <w:bookmarkEnd w:id="131"/>
            <w:r w:rsidRPr="002C4F7C">
              <w:rPr>
                <w:sz w:val="20"/>
                <w:szCs w:val="20"/>
              </w:rPr>
              <w:t xml:space="preserve"> </w:t>
            </w:r>
          </w:p>
        </w:tc>
      </w:tr>
      <w:tr w:rsidR="00AF0FDB" w:rsidRPr="00CD2C79">
        <w:trPr>
          <w:trHeight w:val="853"/>
        </w:trPr>
        <w:tc>
          <w:tcPr>
            <w:tcW w:w="2411" w:type="dxa"/>
          </w:tcPr>
          <w:p w:rsidR="00AF0FDB" w:rsidRPr="002C4F7C" w:rsidRDefault="00AF0FDB" w:rsidP="002C4F7C">
            <w:pPr>
              <w:autoSpaceDE w:val="0"/>
              <w:autoSpaceDN w:val="0"/>
              <w:adjustRightInd w:val="0"/>
              <w:spacing w:before="0" w:after="0" w:line="240" w:lineRule="auto"/>
              <w:rPr>
                <w:b/>
                <w:bCs/>
                <w:color w:val="222222"/>
                <w:sz w:val="18"/>
                <w:szCs w:val="18"/>
              </w:rPr>
            </w:pPr>
            <w:r w:rsidRPr="002C4F7C">
              <w:rPr>
                <w:b/>
                <w:bCs/>
                <w:color w:val="222222"/>
                <w:sz w:val="18"/>
                <w:szCs w:val="18"/>
              </w:rPr>
              <w:t>Indywidualna, indywidualna</w:t>
            </w:r>
          </w:p>
          <w:p w:rsidR="00AF0FDB" w:rsidRPr="002C4F7C" w:rsidRDefault="00AF0FDB" w:rsidP="002C4F7C">
            <w:pPr>
              <w:autoSpaceDE w:val="0"/>
              <w:autoSpaceDN w:val="0"/>
              <w:adjustRightInd w:val="0"/>
              <w:spacing w:before="0" w:after="0" w:line="240" w:lineRule="auto"/>
              <w:rPr>
                <w:b/>
                <w:bCs/>
                <w:color w:val="222222"/>
                <w:sz w:val="18"/>
                <w:szCs w:val="18"/>
              </w:rPr>
            </w:pPr>
            <w:r w:rsidRPr="002C4F7C">
              <w:rPr>
                <w:b/>
                <w:bCs/>
                <w:color w:val="222222"/>
                <w:sz w:val="18"/>
                <w:szCs w:val="18"/>
              </w:rPr>
              <w:t>specjalistyczna oraz grupowa praktyka lekarska</w:t>
            </w:r>
          </w:p>
        </w:tc>
        <w:tc>
          <w:tcPr>
            <w:tcW w:w="1842" w:type="dxa"/>
          </w:tcPr>
          <w:p w:rsidR="00AF0FDB" w:rsidRPr="002C4F7C" w:rsidRDefault="00AF0FDB" w:rsidP="002C4F7C">
            <w:pPr>
              <w:jc w:val="center"/>
              <w:outlineLvl w:val="0"/>
              <w:rPr>
                <w:sz w:val="20"/>
                <w:szCs w:val="20"/>
                <w:highlight w:val="yellow"/>
              </w:rPr>
            </w:pPr>
            <w:bookmarkStart w:id="132" w:name="_Toc506451365"/>
            <w:bookmarkStart w:id="133" w:name="_Toc506553981"/>
            <w:bookmarkStart w:id="134" w:name="_Toc179830"/>
            <w:bookmarkStart w:id="135" w:name="_Toc179932"/>
            <w:bookmarkStart w:id="136" w:name="_Toc855364"/>
            <w:bookmarkStart w:id="137" w:name="_Toc861442"/>
            <w:bookmarkStart w:id="138" w:name="_Toc938807"/>
            <w:r w:rsidRPr="002C4F7C">
              <w:rPr>
                <w:sz w:val="20"/>
                <w:szCs w:val="20"/>
              </w:rPr>
              <w:t>5</w:t>
            </w:r>
            <w:bookmarkEnd w:id="132"/>
            <w:bookmarkEnd w:id="133"/>
            <w:bookmarkEnd w:id="134"/>
            <w:bookmarkEnd w:id="135"/>
            <w:r w:rsidRPr="002C4F7C">
              <w:rPr>
                <w:sz w:val="20"/>
                <w:szCs w:val="20"/>
              </w:rPr>
              <w:t>56</w:t>
            </w:r>
            <w:bookmarkEnd w:id="136"/>
            <w:bookmarkEnd w:id="137"/>
            <w:bookmarkEnd w:id="138"/>
          </w:p>
        </w:tc>
        <w:tc>
          <w:tcPr>
            <w:tcW w:w="1560" w:type="dxa"/>
          </w:tcPr>
          <w:p w:rsidR="00AF0FDB" w:rsidRPr="002C4F7C" w:rsidRDefault="00AF0FDB" w:rsidP="002C4F7C">
            <w:pPr>
              <w:jc w:val="center"/>
              <w:outlineLvl w:val="0"/>
              <w:rPr>
                <w:sz w:val="20"/>
                <w:szCs w:val="20"/>
                <w:highlight w:val="yellow"/>
              </w:rPr>
            </w:pPr>
            <w:bookmarkStart w:id="139" w:name="_Toc506451366"/>
            <w:bookmarkStart w:id="140" w:name="_Toc506553982"/>
            <w:bookmarkStart w:id="141" w:name="_Toc179831"/>
            <w:bookmarkStart w:id="142" w:name="_Toc855365"/>
            <w:bookmarkStart w:id="143" w:name="_Toc861443"/>
            <w:bookmarkStart w:id="144" w:name="_Toc938808"/>
            <w:r w:rsidRPr="002C4F7C">
              <w:rPr>
                <w:sz w:val="20"/>
                <w:szCs w:val="20"/>
              </w:rPr>
              <w:t>118</w:t>
            </w:r>
            <w:bookmarkEnd w:id="139"/>
            <w:bookmarkEnd w:id="140"/>
            <w:bookmarkEnd w:id="141"/>
            <w:bookmarkEnd w:id="142"/>
            <w:bookmarkEnd w:id="143"/>
            <w:bookmarkEnd w:id="144"/>
          </w:p>
        </w:tc>
        <w:tc>
          <w:tcPr>
            <w:tcW w:w="1561" w:type="dxa"/>
          </w:tcPr>
          <w:p w:rsidR="00AF0FDB" w:rsidRPr="002C4F7C" w:rsidRDefault="00AF0FDB" w:rsidP="002C4F7C">
            <w:pPr>
              <w:jc w:val="center"/>
              <w:outlineLvl w:val="0"/>
              <w:rPr>
                <w:sz w:val="20"/>
                <w:szCs w:val="20"/>
                <w:highlight w:val="yellow"/>
              </w:rPr>
            </w:pPr>
            <w:bookmarkStart w:id="145" w:name="_Toc506451367"/>
            <w:bookmarkStart w:id="146" w:name="_Toc506553983"/>
            <w:bookmarkStart w:id="147" w:name="_Toc179832"/>
            <w:bookmarkStart w:id="148" w:name="_Toc179934"/>
            <w:bookmarkStart w:id="149" w:name="_Toc855366"/>
            <w:bookmarkStart w:id="150" w:name="_Toc861444"/>
            <w:bookmarkStart w:id="151" w:name="_Toc938809"/>
            <w:r w:rsidRPr="002C4F7C">
              <w:rPr>
                <w:sz w:val="20"/>
                <w:szCs w:val="20"/>
              </w:rPr>
              <w:t>21,22%</w:t>
            </w:r>
            <w:bookmarkEnd w:id="145"/>
            <w:bookmarkEnd w:id="146"/>
            <w:bookmarkEnd w:id="147"/>
            <w:bookmarkEnd w:id="148"/>
            <w:bookmarkEnd w:id="149"/>
            <w:bookmarkEnd w:id="150"/>
            <w:bookmarkEnd w:id="151"/>
            <w:r w:rsidRPr="002C4F7C">
              <w:rPr>
                <w:sz w:val="20"/>
                <w:szCs w:val="20"/>
              </w:rPr>
              <w:t xml:space="preserve"> </w:t>
            </w:r>
          </w:p>
        </w:tc>
        <w:tc>
          <w:tcPr>
            <w:tcW w:w="1801" w:type="dxa"/>
          </w:tcPr>
          <w:p w:rsidR="00AF0FDB" w:rsidRPr="002C4F7C" w:rsidRDefault="00AF0FDB" w:rsidP="002C4F7C">
            <w:pPr>
              <w:jc w:val="center"/>
              <w:outlineLvl w:val="0"/>
              <w:rPr>
                <w:sz w:val="20"/>
                <w:szCs w:val="20"/>
                <w:highlight w:val="yellow"/>
              </w:rPr>
            </w:pPr>
            <w:bookmarkStart w:id="152" w:name="_Toc506451368"/>
            <w:bookmarkStart w:id="153" w:name="_Toc506553984"/>
            <w:bookmarkStart w:id="154" w:name="_Toc179833"/>
            <w:bookmarkStart w:id="155" w:name="_Toc855367"/>
            <w:bookmarkStart w:id="156" w:name="_Toc861445"/>
            <w:bookmarkStart w:id="157" w:name="_Toc938810"/>
            <w:r w:rsidRPr="002C4F7C">
              <w:rPr>
                <w:sz w:val="20"/>
                <w:szCs w:val="20"/>
              </w:rPr>
              <w:t>4,24%</w:t>
            </w:r>
            <w:bookmarkEnd w:id="152"/>
            <w:bookmarkEnd w:id="153"/>
            <w:bookmarkEnd w:id="154"/>
            <w:bookmarkEnd w:id="155"/>
            <w:bookmarkEnd w:id="156"/>
            <w:bookmarkEnd w:id="157"/>
            <w:r w:rsidRPr="002C4F7C">
              <w:rPr>
                <w:sz w:val="20"/>
                <w:szCs w:val="20"/>
              </w:rPr>
              <w:t xml:space="preserve"> </w:t>
            </w:r>
          </w:p>
        </w:tc>
      </w:tr>
      <w:tr w:rsidR="00AF0FDB" w:rsidRPr="00CD2C79">
        <w:trPr>
          <w:trHeight w:val="1219"/>
        </w:trPr>
        <w:tc>
          <w:tcPr>
            <w:tcW w:w="2411" w:type="dxa"/>
            <w:shd w:val="clear" w:color="auto" w:fill="E8E8E8"/>
          </w:tcPr>
          <w:p w:rsidR="00AF0FDB" w:rsidRPr="002C4F7C" w:rsidRDefault="00AF0FDB" w:rsidP="002C4F7C">
            <w:pPr>
              <w:autoSpaceDE w:val="0"/>
              <w:autoSpaceDN w:val="0"/>
              <w:adjustRightInd w:val="0"/>
              <w:spacing w:before="0" w:after="0" w:line="276" w:lineRule="auto"/>
              <w:rPr>
                <w:b/>
                <w:bCs/>
                <w:color w:val="222222"/>
                <w:sz w:val="18"/>
                <w:szCs w:val="18"/>
              </w:rPr>
            </w:pPr>
            <w:r w:rsidRPr="002C4F7C">
              <w:rPr>
                <w:b/>
                <w:bCs/>
                <w:color w:val="222222"/>
                <w:sz w:val="18"/>
                <w:szCs w:val="18"/>
              </w:rPr>
              <w:t>Indywidualna, indywidualna</w:t>
            </w:r>
          </w:p>
          <w:p w:rsidR="00AF0FDB" w:rsidRPr="002C4F7C" w:rsidRDefault="00AF0FDB" w:rsidP="002C4F7C">
            <w:pPr>
              <w:autoSpaceDE w:val="0"/>
              <w:autoSpaceDN w:val="0"/>
              <w:adjustRightInd w:val="0"/>
              <w:spacing w:before="0" w:after="0" w:line="276" w:lineRule="auto"/>
              <w:rPr>
                <w:b/>
                <w:bCs/>
                <w:color w:val="222222"/>
                <w:sz w:val="18"/>
                <w:szCs w:val="18"/>
              </w:rPr>
            </w:pPr>
            <w:r w:rsidRPr="002C4F7C">
              <w:rPr>
                <w:b/>
                <w:bCs/>
                <w:color w:val="222222"/>
                <w:sz w:val="18"/>
                <w:szCs w:val="18"/>
              </w:rPr>
              <w:t>specjalistyczna oraz grupowa praktyka lekarzy</w:t>
            </w:r>
          </w:p>
          <w:p w:rsidR="00AF0FDB" w:rsidRPr="002C4F7C" w:rsidRDefault="00AF0FDB" w:rsidP="002C4F7C">
            <w:pPr>
              <w:autoSpaceDE w:val="0"/>
              <w:autoSpaceDN w:val="0"/>
              <w:adjustRightInd w:val="0"/>
              <w:spacing w:before="0" w:after="0" w:line="276" w:lineRule="auto"/>
              <w:rPr>
                <w:b/>
                <w:bCs/>
                <w:color w:val="000000"/>
                <w:sz w:val="18"/>
                <w:szCs w:val="18"/>
              </w:rPr>
            </w:pPr>
            <w:r w:rsidRPr="002C4F7C">
              <w:rPr>
                <w:b/>
                <w:bCs/>
                <w:color w:val="222222"/>
                <w:sz w:val="18"/>
                <w:szCs w:val="18"/>
              </w:rPr>
              <w:t>dentystów</w:t>
            </w:r>
          </w:p>
        </w:tc>
        <w:tc>
          <w:tcPr>
            <w:tcW w:w="1842" w:type="dxa"/>
            <w:shd w:val="clear" w:color="auto" w:fill="E8E8E8"/>
          </w:tcPr>
          <w:p w:rsidR="00AF0FDB" w:rsidRPr="002C4F7C" w:rsidRDefault="00AF0FDB" w:rsidP="002C4F7C">
            <w:pPr>
              <w:jc w:val="center"/>
              <w:outlineLvl w:val="0"/>
              <w:rPr>
                <w:sz w:val="20"/>
                <w:szCs w:val="20"/>
                <w:highlight w:val="yellow"/>
              </w:rPr>
            </w:pPr>
            <w:bookmarkStart w:id="158" w:name="_Toc506451369"/>
            <w:bookmarkStart w:id="159" w:name="_Toc506553985"/>
            <w:bookmarkStart w:id="160" w:name="_Toc179834"/>
            <w:bookmarkStart w:id="161" w:name="_Toc855368"/>
            <w:bookmarkStart w:id="162" w:name="_Toc861446"/>
            <w:bookmarkStart w:id="163" w:name="_Toc938811"/>
            <w:r w:rsidRPr="002C4F7C">
              <w:rPr>
                <w:sz w:val="20"/>
                <w:szCs w:val="20"/>
              </w:rPr>
              <w:t>5</w:t>
            </w:r>
            <w:bookmarkEnd w:id="158"/>
            <w:bookmarkEnd w:id="159"/>
            <w:bookmarkEnd w:id="160"/>
            <w:r w:rsidRPr="002C4F7C">
              <w:rPr>
                <w:sz w:val="20"/>
                <w:szCs w:val="20"/>
              </w:rPr>
              <w:t>97</w:t>
            </w:r>
            <w:bookmarkEnd w:id="161"/>
            <w:bookmarkEnd w:id="162"/>
            <w:bookmarkEnd w:id="163"/>
          </w:p>
        </w:tc>
        <w:tc>
          <w:tcPr>
            <w:tcW w:w="1560" w:type="dxa"/>
            <w:shd w:val="clear" w:color="auto" w:fill="E8E8E8"/>
          </w:tcPr>
          <w:p w:rsidR="00AF0FDB" w:rsidRPr="002C4F7C" w:rsidRDefault="00AF0FDB" w:rsidP="002C4F7C">
            <w:pPr>
              <w:jc w:val="center"/>
              <w:outlineLvl w:val="0"/>
              <w:rPr>
                <w:sz w:val="20"/>
                <w:szCs w:val="20"/>
                <w:highlight w:val="yellow"/>
              </w:rPr>
            </w:pPr>
            <w:bookmarkStart w:id="164" w:name="_Toc506451370"/>
            <w:bookmarkStart w:id="165" w:name="_Toc506553986"/>
            <w:bookmarkStart w:id="166" w:name="_Toc179835"/>
            <w:bookmarkStart w:id="167" w:name="_Toc855369"/>
            <w:bookmarkStart w:id="168" w:name="_Toc861447"/>
            <w:bookmarkStart w:id="169" w:name="_Toc938812"/>
            <w:r w:rsidRPr="002C4F7C">
              <w:rPr>
                <w:sz w:val="20"/>
                <w:szCs w:val="20"/>
              </w:rPr>
              <w:t>1</w:t>
            </w:r>
            <w:bookmarkEnd w:id="164"/>
            <w:bookmarkEnd w:id="165"/>
            <w:bookmarkEnd w:id="166"/>
            <w:r w:rsidRPr="002C4F7C">
              <w:rPr>
                <w:sz w:val="20"/>
                <w:szCs w:val="20"/>
              </w:rPr>
              <w:t>06</w:t>
            </w:r>
            <w:bookmarkEnd w:id="167"/>
            <w:bookmarkEnd w:id="168"/>
            <w:bookmarkEnd w:id="169"/>
          </w:p>
        </w:tc>
        <w:tc>
          <w:tcPr>
            <w:tcW w:w="1561" w:type="dxa"/>
            <w:shd w:val="clear" w:color="auto" w:fill="E8E8E8"/>
          </w:tcPr>
          <w:p w:rsidR="00AF0FDB" w:rsidRPr="002C4F7C" w:rsidRDefault="00AF0FDB" w:rsidP="002C4F7C">
            <w:pPr>
              <w:jc w:val="center"/>
              <w:outlineLvl w:val="0"/>
              <w:rPr>
                <w:sz w:val="20"/>
                <w:szCs w:val="20"/>
                <w:highlight w:val="yellow"/>
              </w:rPr>
            </w:pPr>
            <w:bookmarkStart w:id="170" w:name="_Toc506451371"/>
            <w:bookmarkStart w:id="171" w:name="_Toc506553987"/>
            <w:bookmarkStart w:id="172" w:name="_Toc179836"/>
            <w:bookmarkStart w:id="173" w:name="_Toc855370"/>
            <w:bookmarkStart w:id="174" w:name="_Toc861448"/>
            <w:bookmarkStart w:id="175" w:name="_Toc938813"/>
            <w:r w:rsidRPr="002C4F7C">
              <w:rPr>
                <w:sz w:val="20"/>
                <w:szCs w:val="20"/>
              </w:rPr>
              <w:t>17,76%</w:t>
            </w:r>
            <w:bookmarkEnd w:id="170"/>
            <w:bookmarkEnd w:id="171"/>
            <w:bookmarkEnd w:id="172"/>
            <w:bookmarkEnd w:id="173"/>
            <w:bookmarkEnd w:id="174"/>
            <w:bookmarkEnd w:id="175"/>
            <w:r w:rsidRPr="002C4F7C">
              <w:rPr>
                <w:sz w:val="20"/>
                <w:szCs w:val="20"/>
              </w:rPr>
              <w:t xml:space="preserve"> </w:t>
            </w:r>
          </w:p>
        </w:tc>
        <w:tc>
          <w:tcPr>
            <w:tcW w:w="1801" w:type="dxa"/>
            <w:shd w:val="clear" w:color="auto" w:fill="E8E8E8"/>
          </w:tcPr>
          <w:p w:rsidR="00AF0FDB" w:rsidRPr="002C4F7C" w:rsidRDefault="00AF0FDB" w:rsidP="002C4F7C">
            <w:pPr>
              <w:jc w:val="center"/>
              <w:outlineLvl w:val="0"/>
              <w:rPr>
                <w:sz w:val="20"/>
                <w:szCs w:val="20"/>
                <w:highlight w:val="yellow"/>
              </w:rPr>
            </w:pPr>
            <w:bookmarkStart w:id="176" w:name="_Toc506451372"/>
            <w:bookmarkStart w:id="177" w:name="_Toc506553988"/>
            <w:bookmarkStart w:id="178" w:name="_Toc179837"/>
            <w:bookmarkStart w:id="179" w:name="_Toc855371"/>
            <w:bookmarkStart w:id="180" w:name="_Toc861449"/>
            <w:bookmarkStart w:id="181" w:name="_Toc938814"/>
            <w:r w:rsidRPr="002C4F7C">
              <w:rPr>
                <w:sz w:val="20"/>
                <w:szCs w:val="20"/>
              </w:rPr>
              <w:t>5,66%</w:t>
            </w:r>
            <w:bookmarkEnd w:id="176"/>
            <w:bookmarkEnd w:id="177"/>
            <w:bookmarkEnd w:id="178"/>
            <w:bookmarkEnd w:id="179"/>
            <w:bookmarkEnd w:id="180"/>
            <w:bookmarkEnd w:id="181"/>
            <w:r w:rsidRPr="002C4F7C">
              <w:rPr>
                <w:sz w:val="20"/>
                <w:szCs w:val="20"/>
              </w:rPr>
              <w:t xml:space="preserve"> </w:t>
            </w:r>
          </w:p>
        </w:tc>
      </w:tr>
      <w:tr w:rsidR="00AF0FDB" w:rsidRPr="00CD2C79">
        <w:trPr>
          <w:trHeight w:val="975"/>
        </w:trPr>
        <w:tc>
          <w:tcPr>
            <w:tcW w:w="2411" w:type="dxa"/>
          </w:tcPr>
          <w:p w:rsidR="00AF0FDB" w:rsidRPr="002C4F7C" w:rsidRDefault="00AF0FDB" w:rsidP="002C4F7C">
            <w:pPr>
              <w:autoSpaceDE w:val="0"/>
              <w:autoSpaceDN w:val="0"/>
              <w:adjustRightInd w:val="0"/>
              <w:spacing w:before="0" w:after="0" w:line="276" w:lineRule="auto"/>
              <w:rPr>
                <w:b/>
                <w:bCs/>
                <w:color w:val="222222"/>
                <w:sz w:val="18"/>
                <w:szCs w:val="18"/>
              </w:rPr>
            </w:pPr>
            <w:r w:rsidRPr="002C4F7C">
              <w:rPr>
                <w:b/>
                <w:bCs/>
                <w:color w:val="222222"/>
                <w:sz w:val="18"/>
                <w:szCs w:val="18"/>
              </w:rPr>
              <w:t>Indywidualna, indywidualna</w:t>
            </w:r>
          </w:p>
          <w:p w:rsidR="00AF0FDB" w:rsidRPr="002C4F7C" w:rsidRDefault="00AF0FDB" w:rsidP="002C4F7C">
            <w:pPr>
              <w:autoSpaceDE w:val="0"/>
              <w:autoSpaceDN w:val="0"/>
              <w:adjustRightInd w:val="0"/>
              <w:spacing w:before="0" w:after="0" w:line="276" w:lineRule="auto"/>
              <w:rPr>
                <w:b/>
                <w:bCs/>
                <w:color w:val="222222"/>
                <w:sz w:val="18"/>
                <w:szCs w:val="18"/>
              </w:rPr>
            </w:pPr>
            <w:r w:rsidRPr="002C4F7C">
              <w:rPr>
                <w:b/>
                <w:bCs/>
                <w:color w:val="222222"/>
                <w:sz w:val="18"/>
                <w:szCs w:val="18"/>
              </w:rPr>
              <w:t>specjalistyczna oraz grupowa praktyka</w:t>
            </w:r>
          </w:p>
          <w:p w:rsidR="00AF0FDB" w:rsidRPr="002C4F7C" w:rsidRDefault="00AF0FDB" w:rsidP="002C4F7C">
            <w:pPr>
              <w:autoSpaceDE w:val="0"/>
              <w:autoSpaceDN w:val="0"/>
              <w:adjustRightInd w:val="0"/>
              <w:spacing w:before="0" w:after="0" w:line="276" w:lineRule="auto"/>
              <w:rPr>
                <w:b/>
                <w:bCs/>
                <w:color w:val="000000"/>
                <w:sz w:val="18"/>
                <w:szCs w:val="18"/>
              </w:rPr>
            </w:pPr>
            <w:r w:rsidRPr="002C4F7C">
              <w:rPr>
                <w:b/>
                <w:bCs/>
                <w:color w:val="222222"/>
                <w:sz w:val="18"/>
                <w:szCs w:val="18"/>
              </w:rPr>
              <w:t>pielęgniarska</w:t>
            </w:r>
          </w:p>
        </w:tc>
        <w:tc>
          <w:tcPr>
            <w:tcW w:w="1842" w:type="dxa"/>
          </w:tcPr>
          <w:p w:rsidR="00AF0FDB" w:rsidRPr="002C4F7C" w:rsidRDefault="00AF0FDB" w:rsidP="002C4F7C">
            <w:pPr>
              <w:spacing w:after="0"/>
              <w:jc w:val="center"/>
              <w:outlineLvl w:val="0"/>
              <w:rPr>
                <w:sz w:val="20"/>
                <w:szCs w:val="20"/>
                <w:highlight w:val="yellow"/>
              </w:rPr>
            </w:pPr>
            <w:bookmarkStart w:id="182" w:name="_Toc855372"/>
            <w:bookmarkStart w:id="183" w:name="_Toc861450"/>
            <w:bookmarkStart w:id="184" w:name="_Toc938815"/>
            <w:r w:rsidRPr="002C4F7C">
              <w:rPr>
                <w:sz w:val="20"/>
                <w:szCs w:val="20"/>
              </w:rPr>
              <w:t>50</w:t>
            </w:r>
            <w:bookmarkEnd w:id="182"/>
            <w:bookmarkEnd w:id="183"/>
            <w:bookmarkEnd w:id="184"/>
          </w:p>
        </w:tc>
        <w:tc>
          <w:tcPr>
            <w:tcW w:w="1560" w:type="dxa"/>
          </w:tcPr>
          <w:p w:rsidR="00AF0FDB" w:rsidRPr="002C4F7C" w:rsidRDefault="00AF0FDB" w:rsidP="002C4F7C">
            <w:pPr>
              <w:spacing w:after="0"/>
              <w:jc w:val="center"/>
              <w:outlineLvl w:val="0"/>
              <w:rPr>
                <w:sz w:val="20"/>
                <w:szCs w:val="20"/>
                <w:highlight w:val="yellow"/>
              </w:rPr>
            </w:pPr>
            <w:bookmarkStart w:id="185" w:name="_Toc855373"/>
            <w:bookmarkStart w:id="186" w:name="_Toc861451"/>
            <w:bookmarkStart w:id="187" w:name="_Toc938816"/>
            <w:r w:rsidRPr="002C4F7C">
              <w:rPr>
                <w:sz w:val="20"/>
                <w:szCs w:val="20"/>
              </w:rPr>
              <w:t>6</w:t>
            </w:r>
            <w:bookmarkEnd w:id="185"/>
            <w:bookmarkEnd w:id="186"/>
            <w:bookmarkEnd w:id="187"/>
          </w:p>
        </w:tc>
        <w:tc>
          <w:tcPr>
            <w:tcW w:w="1561" w:type="dxa"/>
          </w:tcPr>
          <w:p w:rsidR="00AF0FDB" w:rsidRPr="002C4F7C" w:rsidRDefault="00AF0FDB" w:rsidP="002C4F7C">
            <w:pPr>
              <w:spacing w:after="0"/>
              <w:jc w:val="center"/>
              <w:outlineLvl w:val="0"/>
              <w:rPr>
                <w:sz w:val="20"/>
                <w:szCs w:val="20"/>
                <w:highlight w:val="yellow"/>
              </w:rPr>
            </w:pPr>
            <w:bookmarkStart w:id="188" w:name="_Toc506451375"/>
            <w:bookmarkStart w:id="189" w:name="_Toc506553991"/>
            <w:bookmarkStart w:id="190" w:name="_Toc179840"/>
            <w:bookmarkStart w:id="191" w:name="_Toc855374"/>
            <w:bookmarkStart w:id="192" w:name="_Toc861452"/>
            <w:bookmarkStart w:id="193" w:name="_Toc938817"/>
            <w:r w:rsidRPr="002C4F7C">
              <w:rPr>
                <w:sz w:val="20"/>
                <w:szCs w:val="20"/>
              </w:rPr>
              <w:t>12%</w:t>
            </w:r>
            <w:bookmarkEnd w:id="188"/>
            <w:bookmarkEnd w:id="189"/>
            <w:bookmarkEnd w:id="190"/>
            <w:bookmarkEnd w:id="191"/>
            <w:bookmarkEnd w:id="192"/>
            <w:bookmarkEnd w:id="193"/>
          </w:p>
        </w:tc>
        <w:tc>
          <w:tcPr>
            <w:tcW w:w="1801" w:type="dxa"/>
          </w:tcPr>
          <w:p w:rsidR="00AF0FDB" w:rsidRPr="002C4F7C" w:rsidRDefault="00AF0FDB" w:rsidP="002C4F7C">
            <w:pPr>
              <w:spacing w:after="0"/>
              <w:jc w:val="center"/>
              <w:outlineLvl w:val="0"/>
              <w:rPr>
                <w:sz w:val="20"/>
                <w:szCs w:val="20"/>
                <w:highlight w:val="yellow"/>
              </w:rPr>
            </w:pPr>
            <w:bookmarkStart w:id="194" w:name="_Toc506451376"/>
            <w:bookmarkStart w:id="195" w:name="_Toc506553992"/>
            <w:bookmarkStart w:id="196" w:name="_Toc179841"/>
            <w:bookmarkStart w:id="197" w:name="_Toc855375"/>
            <w:bookmarkStart w:id="198" w:name="_Toc861453"/>
            <w:bookmarkStart w:id="199" w:name="_Toc938818"/>
            <w:r w:rsidRPr="002C4F7C">
              <w:rPr>
                <w:sz w:val="20"/>
                <w:szCs w:val="20"/>
              </w:rPr>
              <w:t>0%</w:t>
            </w:r>
            <w:bookmarkEnd w:id="194"/>
            <w:bookmarkEnd w:id="195"/>
            <w:bookmarkEnd w:id="196"/>
            <w:bookmarkEnd w:id="197"/>
            <w:bookmarkEnd w:id="198"/>
            <w:bookmarkEnd w:id="199"/>
          </w:p>
        </w:tc>
      </w:tr>
      <w:tr w:rsidR="00AF0FDB" w:rsidRPr="00CD2C79">
        <w:trPr>
          <w:trHeight w:val="396"/>
        </w:trPr>
        <w:tc>
          <w:tcPr>
            <w:tcW w:w="2411" w:type="dxa"/>
            <w:shd w:val="clear" w:color="auto" w:fill="E8E8E8"/>
          </w:tcPr>
          <w:p w:rsidR="00AF0FDB" w:rsidRPr="002C4F7C" w:rsidRDefault="00AF0FDB" w:rsidP="002C4F7C">
            <w:pPr>
              <w:autoSpaceDE w:val="0"/>
              <w:autoSpaceDN w:val="0"/>
              <w:adjustRightInd w:val="0"/>
              <w:spacing w:before="0"/>
              <w:jc w:val="center"/>
              <w:rPr>
                <w:b/>
                <w:bCs/>
                <w:color w:val="222222"/>
                <w:sz w:val="18"/>
                <w:szCs w:val="18"/>
              </w:rPr>
            </w:pPr>
            <w:r w:rsidRPr="002C4F7C">
              <w:rPr>
                <w:b/>
                <w:bCs/>
                <w:color w:val="222222"/>
                <w:sz w:val="18"/>
                <w:szCs w:val="18"/>
              </w:rPr>
              <w:t>Ogółem</w:t>
            </w:r>
          </w:p>
        </w:tc>
        <w:tc>
          <w:tcPr>
            <w:tcW w:w="1842" w:type="dxa"/>
            <w:shd w:val="clear" w:color="auto" w:fill="E8E8E8"/>
          </w:tcPr>
          <w:p w:rsidR="00AF0FDB" w:rsidRPr="002C4F7C" w:rsidRDefault="00AF0FDB" w:rsidP="002C4F7C">
            <w:pPr>
              <w:spacing w:before="0"/>
              <w:jc w:val="center"/>
              <w:outlineLvl w:val="0"/>
              <w:rPr>
                <w:b/>
                <w:bCs/>
                <w:sz w:val="18"/>
                <w:szCs w:val="18"/>
                <w:highlight w:val="yellow"/>
              </w:rPr>
            </w:pPr>
            <w:bookmarkStart w:id="200" w:name="_Toc506451377"/>
            <w:bookmarkStart w:id="201" w:name="_Toc506553993"/>
            <w:bookmarkStart w:id="202" w:name="_Toc179842"/>
            <w:bookmarkStart w:id="203" w:name="_Toc855376"/>
            <w:bookmarkStart w:id="204" w:name="_Toc861454"/>
            <w:bookmarkStart w:id="205" w:name="_Toc938819"/>
            <w:r w:rsidRPr="002C4F7C">
              <w:rPr>
                <w:b/>
                <w:bCs/>
                <w:sz w:val="18"/>
                <w:szCs w:val="18"/>
              </w:rPr>
              <w:t>2</w:t>
            </w:r>
            <w:bookmarkEnd w:id="200"/>
            <w:bookmarkEnd w:id="201"/>
            <w:bookmarkEnd w:id="202"/>
            <w:r w:rsidRPr="002C4F7C">
              <w:rPr>
                <w:b/>
                <w:bCs/>
                <w:sz w:val="18"/>
                <w:szCs w:val="18"/>
              </w:rPr>
              <w:t>347</w:t>
            </w:r>
            <w:bookmarkEnd w:id="203"/>
            <w:bookmarkEnd w:id="204"/>
            <w:bookmarkEnd w:id="205"/>
          </w:p>
        </w:tc>
        <w:tc>
          <w:tcPr>
            <w:tcW w:w="1560" w:type="dxa"/>
            <w:shd w:val="clear" w:color="auto" w:fill="E8E8E8"/>
          </w:tcPr>
          <w:p w:rsidR="00AF0FDB" w:rsidRPr="002C4F7C" w:rsidRDefault="00AF0FDB" w:rsidP="002C4F7C">
            <w:pPr>
              <w:spacing w:before="0"/>
              <w:jc w:val="center"/>
              <w:outlineLvl w:val="0"/>
              <w:rPr>
                <w:b/>
                <w:bCs/>
                <w:sz w:val="18"/>
                <w:szCs w:val="18"/>
                <w:highlight w:val="yellow"/>
              </w:rPr>
            </w:pPr>
            <w:bookmarkStart w:id="206" w:name="_Toc506451378"/>
            <w:bookmarkStart w:id="207" w:name="_Toc506553994"/>
            <w:bookmarkStart w:id="208" w:name="_Toc179843"/>
            <w:bookmarkStart w:id="209" w:name="_Toc855377"/>
            <w:bookmarkStart w:id="210" w:name="_Toc861455"/>
            <w:bookmarkStart w:id="211" w:name="_Toc938820"/>
            <w:r w:rsidRPr="002C4F7C">
              <w:rPr>
                <w:b/>
                <w:bCs/>
                <w:sz w:val="18"/>
                <w:szCs w:val="18"/>
              </w:rPr>
              <w:t>6</w:t>
            </w:r>
            <w:bookmarkEnd w:id="206"/>
            <w:bookmarkEnd w:id="207"/>
            <w:bookmarkEnd w:id="208"/>
            <w:r w:rsidRPr="002C4F7C">
              <w:rPr>
                <w:b/>
                <w:bCs/>
                <w:sz w:val="18"/>
                <w:szCs w:val="18"/>
              </w:rPr>
              <w:t>31</w:t>
            </w:r>
            <w:bookmarkEnd w:id="209"/>
            <w:bookmarkEnd w:id="210"/>
            <w:bookmarkEnd w:id="211"/>
          </w:p>
        </w:tc>
        <w:tc>
          <w:tcPr>
            <w:tcW w:w="1561" w:type="dxa"/>
            <w:shd w:val="clear" w:color="auto" w:fill="E8E8E8"/>
          </w:tcPr>
          <w:p w:rsidR="00AF0FDB" w:rsidRPr="002C4F7C" w:rsidRDefault="00AF0FDB" w:rsidP="002C4F7C">
            <w:pPr>
              <w:spacing w:before="0"/>
              <w:jc w:val="center"/>
              <w:outlineLvl w:val="0"/>
              <w:rPr>
                <w:b/>
                <w:bCs/>
                <w:sz w:val="18"/>
                <w:szCs w:val="18"/>
                <w:highlight w:val="yellow"/>
              </w:rPr>
            </w:pPr>
            <w:bookmarkStart w:id="212" w:name="_Toc506451379"/>
            <w:bookmarkStart w:id="213" w:name="_Toc506553995"/>
            <w:bookmarkStart w:id="214" w:name="_Toc179844"/>
            <w:bookmarkStart w:id="215" w:name="_Toc855378"/>
            <w:bookmarkStart w:id="216" w:name="_Toc861456"/>
            <w:bookmarkStart w:id="217" w:name="_Toc938821"/>
            <w:r w:rsidRPr="002C4F7C">
              <w:rPr>
                <w:b/>
                <w:bCs/>
                <w:sz w:val="18"/>
                <w:szCs w:val="18"/>
              </w:rPr>
              <w:t>26,89%</w:t>
            </w:r>
            <w:bookmarkEnd w:id="212"/>
            <w:bookmarkEnd w:id="213"/>
            <w:bookmarkEnd w:id="214"/>
            <w:bookmarkEnd w:id="215"/>
            <w:bookmarkEnd w:id="216"/>
            <w:bookmarkEnd w:id="217"/>
          </w:p>
        </w:tc>
        <w:tc>
          <w:tcPr>
            <w:tcW w:w="1801" w:type="dxa"/>
            <w:shd w:val="clear" w:color="auto" w:fill="E8E8E8"/>
          </w:tcPr>
          <w:p w:rsidR="00AF0FDB" w:rsidRPr="002C4F7C" w:rsidRDefault="00AF0FDB" w:rsidP="002C4F7C">
            <w:pPr>
              <w:spacing w:before="0"/>
              <w:jc w:val="center"/>
              <w:outlineLvl w:val="0"/>
              <w:rPr>
                <w:b/>
                <w:bCs/>
                <w:sz w:val="18"/>
                <w:szCs w:val="18"/>
                <w:highlight w:val="yellow"/>
              </w:rPr>
            </w:pPr>
            <w:bookmarkStart w:id="218" w:name="_Toc506451380"/>
            <w:bookmarkStart w:id="219" w:name="_Toc506553996"/>
            <w:bookmarkStart w:id="220" w:name="_Toc179845"/>
            <w:bookmarkStart w:id="221" w:name="_Toc855379"/>
            <w:bookmarkStart w:id="222" w:name="_Toc861457"/>
            <w:bookmarkStart w:id="223" w:name="_Toc938822"/>
            <w:r w:rsidRPr="002C4F7C">
              <w:rPr>
                <w:b/>
                <w:bCs/>
                <w:sz w:val="18"/>
                <w:szCs w:val="18"/>
              </w:rPr>
              <w:t>8,56%</w:t>
            </w:r>
            <w:bookmarkEnd w:id="218"/>
            <w:bookmarkEnd w:id="219"/>
            <w:bookmarkEnd w:id="220"/>
            <w:bookmarkEnd w:id="221"/>
            <w:bookmarkEnd w:id="222"/>
            <w:bookmarkEnd w:id="223"/>
          </w:p>
        </w:tc>
      </w:tr>
    </w:tbl>
    <w:p w:rsidR="00AF0FDB" w:rsidRPr="00082602" w:rsidRDefault="00AF0FDB" w:rsidP="004574F2">
      <w:pPr>
        <w:pStyle w:val="Heading1"/>
        <w:ind w:left="6372"/>
        <w:jc w:val="left"/>
        <w:rPr>
          <w:rFonts w:ascii="Times New Roman" w:hAnsi="Times New Roman" w:cs="Times New Roman"/>
          <w:sz w:val="24"/>
          <w:szCs w:val="24"/>
        </w:rPr>
      </w:pPr>
      <w:bookmarkStart w:id="224" w:name="_Toc855380"/>
      <w:bookmarkStart w:id="225" w:name="_Toc938823"/>
      <w:r w:rsidRPr="00082602">
        <w:rPr>
          <w:rFonts w:ascii="Times New Roman" w:hAnsi="Times New Roman" w:cs="Times New Roman"/>
          <w:sz w:val="24"/>
          <w:szCs w:val="24"/>
        </w:rPr>
        <w:t>Lecznictwo zamknięte</w:t>
      </w:r>
      <w:bookmarkEnd w:id="224"/>
      <w:bookmarkEnd w:id="225"/>
    </w:p>
    <w:p w:rsidR="00AF0FDB" w:rsidRPr="00967F6B" w:rsidRDefault="00AF0FDB" w:rsidP="00967F6B">
      <w:pPr>
        <w:suppressAutoHyphens/>
        <w:spacing w:before="0" w:after="0"/>
        <w:jc w:val="both"/>
        <w:rPr>
          <w:lang w:eastAsia="ar-SA"/>
        </w:rPr>
      </w:pPr>
      <w:r w:rsidRPr="00967F6B">
        <w:rPr>
          <w:lang w:eastAsia="ar-SA"/>
        </w:rPr>
        <w:t xml:space="preserve">W roku 2018 nadzorem Państwowego Powiatowego Inspektora Sanitarnego w Poznaniu objęte było 40 podmiotów leczniczych udzielających stacjonarnych i całodobowych świadczeń zdrowotnych – szpitalnych i innych niż szpitalne – w tym 37 szpitali (z czego 13 szpitali jednodniowych), 1 zakład rehabilitacji leczniczej w ramach stacjonarnych </w:t>
      </w:r>
      <w:r w:rsidRPr="00967F6B">
        <w:rPr>
          <w:lang w:eastAsia="ar-SA"/>
        </w:rPr>
        <w:br/>
        <w:t>i całodobowych świadczeń zdrowotnych inne niż szpitalne oraz 2 inne podmioty lecznicze (ośrodki leczenia uzależnień). W roku sprawozdawczym skontrolowano łącznie 27 podmiotów lecznictwa stacjonarnego – w tym 25 szpitali  (z czego 11 szpitali jednodniowych), 1 zakład rehabilitacji leczniczej i 1 ośrodek leczenia uzależnień, przeprowadzając kontrole kompleksowe obiektów oraz kontrole tematyczne, wynikające  ze specyfiki i zakresu prowadzonej działalności medycznej. Na podstawie 95 przeprowadzonych kontroli Państwowy Powiatowy Inspektor Sanitarny w Poznaniu wydał 50 decyzji.</w:t>
      </w:r>
    </w:p>
    <w:p w:rsidR="00AF0FDB" w:rsidRPr="00967F6B" w:rsidRDefault="00AF0FDB" w:rsidP="00756D72">
      <w:pPr>
        <w:suppressAutoHyphens/>
        <w:spacing w:before="0" w:after="0"/>
        <w:jc w:val="both"/>
        <w:rPr>
          <w:lang w:eastAsia="ar-SA"/>
        </w:rPr>
      </w:pPr>
      <w:r w:rsidRPr="00967F6B">
        <w:rPr>
          <w:lang w:eastAsia="ar-SA"/>
        </w:rPr>
        <w:t xml:space="preserve">W roku sprawozdawczym na ogólną liczbę 27 skontrolowanych placówek lecznictwa stacjonarnego 9 placówek spełnia wymagania określone w rozporządzeniu Ministra Zdrowia z dnia 26 czerwca 2012 roku w sprawie wymagań, jakim powinny odpowiadać pomieszczenia i urządzenia podmiotu wykonującego działalność leczniczą, natomiast pozostałe 18 placówek nie spełnia tych wymagań. W większości przypadków sytuacja ta  wynika z niezrealizowania opracowanych programów dostosowawczych, które zgodnie z zapisami ustawy z dnia 15 kwietnia 2011 r. o działalności leczniczej (Dz. U. z 2018 r. poz. 2190), powinny być zakończone i wykonane do dnia 31 grudnia 2017 r. Placówki nie spełniające stosownych wymogów podejmowały działania zmierzające do zapewnienia właściwych warunków </w:t>
      </w:r>
      <w:r w:rsidRPr="00967F6B">
        <w:rPr>
          <w:lang w:eastAsia="ar-SA"/>
        </w:rPr>
        <w:br/>
      </w:r>
      <w:r w:rsidRPr="00967F6B">
        <w:rPr>
          <w:lang w:eastAsia="ar-SA"/>
        </w:rPr>
        <w:t>i prowadziły prace w celu wykonania programów dostosowawczych, jednak nie zrealizowały ich w całości. W związku z co najmniej częściowym niezrealizowaniem programów dostosowawczych podmioty udzielające stacjonarnych świadczeń zdrowotnych mogły skorzystać z przysługującego im prawa składając wnioski o wydanie opinii o wpływie niespełnienia na bezpieczeństwo pacjentów, co uczyniło 11 szpitali stacjonarnych. Państwowy Powiatowy Inspektor Sanitarny wydał 9 opinii o znacznym wpływie na bezpieczeństwo pacjentów, a w 2 przypadkach zadaniem tutejszego organu Państwowej Inspekcji Sanitarnej, wpływ niewykonanego programu dostosowawczego ma nieznaczny wpływ na bezpieczeństwo pacjentów. Natomiast samo zrealizowanie programu dostosowawczego przez podmiot lecznictwa stacjonarnego nie jest jednoznaczne z tym, że placówka taka będzie spełniała wymagania rozporządze</w:t>
      </w:r>
      <w:r>
        <w:rPr>
          <w:lang w:eastAsia="ar-SA"/>
        </w:rPr>
        <w:t>nia Ministra Zdrowia</w:t>
      </w:r>
      <w:r w:rsidRPr="00967F6B">
        <w:rPr>
          <w:lang w:eastAsia="ar-SA"/>
        </w:rPr>
        <w:t xml:space="preserve"> </w:t>
      </w:r>
      <w:r w:rsidRPr="00967F6B">
        <w:rPr>
          <w:color w:val="000000"/>
          <w:lang w:eastAsia="ar-SA"/>
        </w:rPr>
        <w:t>z</w:t>
      </w:r>
      <w:r w:rsidRPr="00967F6B">
        <w:rPr>
          <w:lang w:eastAsia="ar-SA"/>
        </w:rPr>
        <w:t xml:space="preserve"> dnia 26 czerwca 2012 r. w sprawie szczegółowych wymagań, jakim powinny odpowiadać pomieszczenia i urządzenia podmiotu wykonującego działalność leczniczą, gdyż program mógł nie obejmować poszczególnych wymogów. Sytuacja taka dotyczyła 2 podmiotów </w:t>
      </w:r>
      <w:r>
        <w:rPr>
          <w:lang w:eastAsia="ar-SA"/>
        </w:rPr>
        <w:t xml:space="preserve"> </w:t>
      </w:r>
      <w:r w:rsidRPr="00967F6B">
        <w:rPr>
          <w:lang w:eastAsia="ar-SA"/>
        </w:rPr>
        <w:t>(1 szpital, 1 szpital jednego dnia), w związku z czym tutejszy organ Państwowej Inspekcji Sanitarnej prowadził stosowne postępowanie administracyjne. Ponadto, w roku sprawozdawczym 1 placówka, która poszerzyła działalność leczniczą o świadczenia z zakresu stacjonarnych i całodobowych świadczeń zdrowotnych innych niż szpitalne w ramach rehabilitacji leczniczej, nie zapewniła stosownych wymogów określonych dla tego typu obiektów. Po przeprowadzonej kontroli sanitarnej, tutejszy organ Państwowej Inspekcji Sanitarnej wydał stosowną decyzję administracyjną.</w:t>
      </w:r>
    </w:p>
    <w:p w:rsidR="00AF0FDB" w:rsidRPr="00967F6B" w:rsidRDefault="00AF0FDB" w:rsidP="00967F6B">
      <w:pPr>
        <w:suppressAutoHyphens/>
        <w:spacing w:before="0" w:after="0"/>
        <w:jc w:val="both"/>
        <w:rPr>
          <w:lang w:eastAsia="ar-SA"/>
        </w:rPr>
      </w:pPr>
      <w:r w:rsidRPr="00967F6B">
        <w:rPr>
          <w:lang w:eastAsia="ar-SA"/>
        </w:rPr>
        <w:t xml:space="preserve">W szpitalach, które realizowały plany modernizacyjne oraz prowadziły prace remontowe </w:t>
      </w:r>
      <w:r w:rsidRPr="00967F6B">
        <w:rPr>
          <w:lang w:eastAsia="ar-SA"/>
        </w:rPr>
        <w:br/>
      </w:r>
      <w:r w:rsidRPr="00967F6B">
        <w:rPr>
          <w:lang w:eastAsia="ar-SA"/>
        </w:rPr>
        <w:t>w związku z bieżącymi potrzebami, działania te odbywały się bez przerywania udzielania świadczeń zdrowotnych dla pacjentów.</w:t>
      </w:r>
    </w:p>
    <w:p w:rsidR="00AF0FDB" w:rsidRPr="00967F6B" w:rsidRDefault="00AF0FDB" w:rsidP="00967F6B">
      <w:pPr>
        <w:suppressAutoHyphens/>
        <w:spacing w:before="0" w:after="0"/>
        <w:jc w:val="both"/>
        <w:rPr>
          <w:lang w:eastAsia="ar-SA"/>
        </w:rPr>
      </w:pPr>
      <w:r w:rsidRPr="00967F6B">
        <w:rPr>
          <w:lang w:eastAsia="ar-SA"/>
        </w:rPr>
        <w:t xml:space="preserve">Podczas kontroli oceniano stan techniczny i funkcjonalny pomieszczeń, stan sanitarno-techniczny urządzeń i wyposażenia placówek, i w przypadkach uzasadnionych koniecznością zapobieżenia rozprzestrzenianiu się zakażeń wydawano decyzje administracyjne w oparciu </w:t>
      </w:r>
    </w:p>
    <w:p w:rsidR="00AF0FDB" w:rsidRPr="00967F6B" w:rsidRDefault="00AF0FDB" w:rsidP="00967F6B">
      <w:pPr>
        <w:suppressAutoHyphens/>
        <w:spacing w:before="0" w:after="0"/>
        <w:jc w:val="both"/>
        <w:rPr>
          <w:lang w:eastAsia="ar-SA"/>
        </w:rPr>
      </w:pPr>
      <w:r w:rsidRPr="00967F6B">
        <w:rPr>
          <w:lang w:eastAsia="ar-SA"/>
        </w:rPr>
        <w:t xml:space="preserve">o obowiązujące przepisy prawa. W grupie nieprawidłowości technicznych w lecznictwie stacjonarnym najczęściej stwierdzano niewłaściwy stan funkcjonalny pokojów łóżkowych, </w:t>
      </w:r>
      <w:r w:rsidRPr="00967F6B">
        <w:rPr>
          <w:lang w:eastAsia="ar-SA"/>
        </w:rPr>
        <w:br/>
      </w:r>
      <w:r w:rsidRPr="00967F6B">
        <w:rPr>
          <w:lang w:eastAsia="ar-SA"/>
        </w:rPr>
        <w:t xml:space="preserve">w tym brak swobodnego dostępu do łóżek pacjentów; zły stan techniczny sal chorych, gabinetów diagnostyczno – zabiegowych w oddziałach łóżkowych; braki w odpowiednim wyposażeniu brudowników w oddziałach szpitalnych; nieprawidłowy stan techniczny </w:t>
      </w:r>
      <w:r w:rsidRPr="00967F6B">
        <w:rPr>
          <w:lang w:eastAsia="ar-SA"/>
        </w:rPr>
        <w:br/>
      </w:r>
      <w:r w:rsidRPr="00967F6B">
        <w:rPr>
          <w:lang w:eastAsia="ar-SA"/>
        </w:rPr>
        <w:t>i funkcjonalny bloków operacyjnych; zły stan techniczny pomieszczeń higieniczno-sanitarnych i ich wyposażenia w oddziałach i pracowniach; zły stan pomieszczeń pracowni diagnostycznych, izb przyjęć, sterylizatorni, pomieszczeń magazynowych oraz ciągów komunikacyjnych. Ponadto stwierdzano zły stan techniczny mebli i sprzętów stanowiących wyposażenie oddziałów łóżkowych, sal zabiegowych czy  pracowni diagnostycznych. W roku sprawozdawczym w pojedynczych przypadkach stwierdzano nieprawidłowe warunki przechowywania sterylnych materiałów oraz narzędzi wielokrotnego użytku, niezbędnych do udzielania świadczeń zdrowotnych, jak również niewłaściwe warunki przechowywania bielizny. Odnośnie stanu higieniczno-sanitarnego placówek lecznictwa stacjonarnego, w roku sprawozdawczym najczęściej stwierdzano uchybienia dotyczące nieutrzymywania bieżącej czystości pomieszczeń i ich wyposażenia w pomieszczeniach higieniczno-sanitarnych dla pacjentów, oddziałach łóżkowych, pomieszczeniach magazynowych. W związku ze stwierdzonymi nieprawidłowościami wydawano stosowne polecenia lub decyzje administracyjne.</w:t>
      </w:r>
    </w:p>
    <w:p w:rsidR="00AF0FDB" w:rsidRPr="00967F6B" w:rsidRDefault="00AF0FDB" w:rsidP="00967F6B">
      <w:pPr>
        <w:suppressAutoHyphens/>
        <w:spacing w:before="0" w:after="0"/>
        <w:jc w:val="both"/>
        <w:rPr>
          <w:lang w:eastAsia="ar-SA"/>
        </w:rPr>
      </w:pPr>
      <w:r w:rsidRPr="00967F6B">
        <w:rPr>
          <w:lang w:eastAsia="ar-SA"/>
        </w:rPr>
        <w:t xml:space="preserve">Nadzór nad placówkami lecznictwa stacjonarnego obejmował także postępowanie z odpadami medycznymi w miejscu ich wytwarzania, gromadzenia odpadów medycznych oraz warunki ich magazynowania do czasu przekazania do utylizacji. W przypadku stwierdzenia nieprawidłowości w zakresie postępowania z odpadami medycznymi wydawano zalecenia pokontrolne lub decyzje administracyjne.  </w:t>
      </w:r>
    </w:p>
    <w:p w:rsidR="00AF0FDB" w:rsidRPr="00967F6B" w:rsidRDefault="00AF0FDB" w:rsidP="00967F6B">
      <w:pPr>
        <w:suppressAutoHyphens/>
        <w:spacing w:before="0" w:after="0"/>
        <w:jc w:val="both"/>
        <w:rPr>
          <w:lang w:eastAsia="ar-SA"/>
        </w:rPr>
      </w:pPr>
      <w:r w:rsidRPr="00967F6B">
        <w:rPr>
          <w:lang w:eastAsia="ar-SA"/>
        </w:rPr>
        <w:t xml:space="preserve">W roku sprawozdawczym ze złym stanem higieniczno – sanitarnym i technicznym wykazano 10 placówek lecznictwa stacjonarnego (w tym 4 publiczne i 6 niepublicznych). Spośród kwestionowanych obiektów 2 to „szpitale jednodniowe” oraz 1 zakład rehabilitacji leczniczej. </w:t>
      </w:r>
    </w:p>
    <w:p w:rsidR="00AF0FDB" w:rsidRDefault="00AF0FDB" w:rsidP="005913C3">
      <w:pPr>
        <w:suppressAutoHyphens/>
        <w:spacing w:before="0" w:after="0"/>
        <w:jc w:val="both"/>
        <w:rPr>
          <w:lang w:eastAsia="ar-SA"/>
        </w:rPr>
      </w:pPr>
      <w:r w:rsidRPr="00967F6B">
        <w:rPr>
          <w:lang w:eastAsia="ar-SA"/>
        </w:rPr>
        <w:t>W roku sprawozdawczym zgłoszono łącznie 6 interwencji (5 dotyczyło placówek publicznych, 1 placówki niepublicznej), z których 2 interwencje potwierdziły się (dotyczyły placówek publicznych). Państwowy Powiatowy Inspektor Sanitarny w Poznaniu podjął stosowne działania – wydał decyzję administracyjną nakazującą doprowadzenie do właściwego stanu sanitarno-technicznego w ciągu komunikacyjnym  oraz Pracowni Neurofizjologii ścian, sufitów i podłóg, oraz w drugim przypadku wydał polecenia dotyczące zapewnienia właściwego stanu higienicznego wyposażenia pomieszczeń higieniczno-sanitarnych dla pacjentów na Oddziale Dermatologii.</w:t>
      </w:r>
      <w:bookmarkStart w:id="226" w:name="_Toc855381"/>
      <w:bookmarkStart w:id="227" w:name="_Toc938824"/>
    </w:p>
    <w:p w:rsidR="00AF0FDB" w:rsidRPr="005913C3" w:rsidRDefault="00AF0FDB" w:rsidP="005913C3">
      <w:pPr>
        <w:suppressAutoHyphens/>
        <w:spacing w:before="0" w:after="0"/>
        <w:jc w:val="both"/>
        <w:rPr>
          <w:shd w:val="clear" w:color="auto" w:fill="FFFF00"/>
          <w:lang w:eastAsia="ar-SA"/>
        </w:rPr>
      </w:pPr>
    </w:p>
    <w:p w:rsidR="00AF0FDB" w:rsidRPr="009D518B" w:rsidRDefault="00AF0FDB" w:rsidP="009D518B">
      <w:pPr>
        <w:pStyle w:val="Heading1"/>
        <w:rPr>
          <w:rFonts w:ascii="Times New Roman" w:hAnsi="Times New Roman" w:cs="Times New Roman"/>
          <w:sz w:val="24"/>
          <w:szCs w:val="24"/>
        </w:rPr>
      </w:pPr>
      <w:r w:rsidRPr="00E07893">
        <w:rPr>
          <w:rFonts w:ascii="Times New Roman" w:hAnsi="Times New Roman" w:cs="Times New Roman"/>
          <w:sz w:val="24"/>
          <w:szCs w:val="24"/>
        </w:rPr>
        <w:t>Lecznictwo otwarte</w:t>
      </w:r>
      <w:bookmarkEnd w:id="226"/>
      <w:bookmarkEnd w:id="227"/>
    </w:p>
    <w:p w:rsidR="00AF0FDB" w:rsidRDefault="00AF0FDB" w:rsidP="00D3053B">
      <w:pPr>
        <w:jc w:val="both"/>
      </w:pPr>
      <w:r>
        <w:t xml:space="preserve">W roku 2018 skontrolowano 26,18% placówek lecznictwa otwartego ujętych w ewidencji. </w:t>
      </w:r>
      <w:r>
        <w:br/>
        <w:t xml:space="preserve">W związku z prowadzonym nadzorem Państwowy Powiatowy Inspektor Sanitarny </w:t>
      </w:r>
      <w:r>
        <w:br/>
        <w:t xml:space="preserve">w Poznaniu, na podstawie 670 przeprowadzonych kontroli wydał 105 decyzji, odnotowano 10 interwencji dotyczących placówek medycznych oraz wydano 1 opinię o wpływie na bezpieczeństwo pacjentów w związku z co najmniej częściowym niezrealizowaniem programu dostosowawczego w zakresie spełnienia wymagań przez pomieszczenia i urządzenia podmiotu wykonującego działalność leczniczą. </w:t>
      </w:r>
    </w:p>
    <w:p w:rsidR="00AF0FDB" w:rsidRDefault="00AF0FDB" w:rsidP="00D3053B">
      <w:pPr>
        <w:jc w:val="both"/>
      </w:pPr>
      <w:r>
        <w:t xml:space="preserve">Stan techniczny i warunki higieniczno – sanitarne jakie powinien spełniać personel, sprzęt oraz wyposażenie, a także sposób postępowania z wytwarzanymi odpadami w skontrolowanych placówkach lecznictwa otwartego był zróżnicowany. W tej grupie obiektów zły stan higieniczno – sanitarny oraz techniczny stwierdzono ogółem w 44 placówkach – 33 podmiotach leczniczych i 11 praktykach zawodowych lekarzy. Najczęściej stwierdzane nieprawidłowości w placówkach lecznictwa otwartego to: niewłaściwy stan sanitarno – techniczny sufitów, ścian i podłóg w pomieszczeniach, brak umywalki do mycia rąk w pomieszczeniach wykonywania badań lub zabiegów, zły stan techniczny mebli </w:t>
      </w:r>
      <w:r>
        <w:br/>
        <w:t xml:space="preserve">i sprzętów stanowiących wyposażenie placówek, brak zachowanego ciągu technologicznego sterylizatorni, niewłaściwie zorganizowane lub wyposażone stanowiska higienicznego mycia rąk (brak dozowników z preparatem dezynfekcyjnym, brak podajników na ręczniki jednorazowego użytku, zepsute dozowniki), nieprawidłowe postępowanie z odpadami medycznymi, niewłaściwe warunki czasowego magazynowania odpadów medycznych, brak opracowanych lub nieprzestrzeganie procedur higienicznych, brak prowadzenia </w:t>
      </w:r>
      <w:r>
        <w:br/>
        <w:t xml:space="preserve">i dokumentowania kontroli wewnętrznych w obszarze realizacji działań zapobiegających szerzeniu się zakażeń i chorób zakaźnych. Podczas prowadzonych kontroli w placówkach lecznictwa otwartego oceniano wykonywanie procesów dezynfekcji i sterylizacji materiałów </w:t>
      </w:r>
      <w:r>
        <w:br/>
        <w:t xml:space="preserve">i sprzętu medycznego oraz egzekwowano prawidłowe postępowanie w tym zakresie. </w:t>
      </w:r>
      <w:r>
        <w:br/>
        <w:t xml:space="preserve">W placówkach udzielających świadczeń zdrowotnych przy zastosowaniu narzędzi i sprzętu wielokrotnego użytku, procesy dezynfekcji i sterylizacji prowadzone są w sterylizatorniach zorganizowanych w gabinetach diagnostyczno – zabiegowych lub w odrębnych, wydzielonych pomieszczeniach. Obiekty nie posiadające możliwości zorganizowania sterylizatorni zawierały umowy na usługi sterylizacji bądź stosowały wyłącznie sprzęt sterylny jednorazowego użycia. W ramach nadzoru oceniano również postępowanie z odpadami medycznymi powstającymi w wyniku udzielania świadczeń zdrowotnych. Nieprawidłowości w zakresie postępowania z odpadami medycznymi stwierdzono łącznie w 109 placówkach, w tym w 66 praktykach zawodowych lekarzy oraz w 43 podmiotach leczniczych wykonujących ambulatoryjne świadczenia zdrowotne, a dotyczyły one braku dokumentacji potwierdzającej unieszkodliwienie odpadów medycznych, nieprawidłowego gromadzenia odpadów medycznych w miejscu ich powstawania, nieprawidłowego magazynowania odpadów medycznych przed przekazaniem ich do utylizacji, oraz w pojedynczych przypadkach braku opracowanej procedury postępowania z wytwarzanymi odpadami medycznymi i niewłaściwego transportu wewnętrznego odpadów w praktyce zawodowej lekarza. W związku ze stwierdzonymi nieprawidłowościami wydawano stosowne zalecenia oraz decyzje administracyjne. W roku sprawozdawczym nie stwierdzano uchybień w zakresie postępowania z bielizną. W placówkach ambulatoryjnych bardzo często stosowana jest wyłącznie bielizna jednorazowego użytku, która w zależności od specyfiki wykonywanych świadczeń traktowana jest jako odpad medyczny bądź komunalny. Zachowywana jest segregacja  bielizny czystej i brudnej oraz rozdział odzieży ochronnej od osobistej (dotyczy transportu i przechowywania). W zakresie utrzymania czystości bieżącej w placówkach lecznictwa otwartego w roku sprawozdawczym najczęściej stwierdzano uchybienia dotyczące brudnych ścian, sufitów i podłóg w pomieszczeniach wykonywania badań oraz przyjęć pacjentów, w ciągach komunikacyjnych, pomieszczeniach higieniczno-sanitarnych dla pacjentów i personelu. </w:t>
      </w:r>
    </w:p>
    <w:p w:rsidR="00AF0FDB" w:rsidRDefault="00AF0FDB" w:rsidP="00D3053B">
      <w:pPr>
        <w:jc w:val="both"/>
      </w:pPr>
      <w:r>
        <w:t>W związku ze stwierdzanymi nieprawidłowościami wydawano stosowne zalecenia lub decyzje administracyjne.</w:t>
      </w:r>
    </w:p>
    <w:p w:rsidR="00AF0FDB" w:rsidRDefault="00AF0FDB" w:rsidP="008B311E">
      <w:pPr>
        <w:jc w:val="both"/>
      </w:pPr>
      <w:r>
        <w:t xml:space="preserve">W roku sprawozdawczym do Państwowego Powiatowego Inspektora Sanitarnego </w:t>
      </w:r>
      <w:r>
        <w:br/>
        <w:t xml:space="preserve">w Poznaniu zgłoszono ogółem 10 interwencji, w związku z którymi przeprowadzono 14 kontroli w podmiotach udzielających ambulatoryjnych świadczeń zdrowotnych. Interwencje dotyczyły m.in.: braku zaopatrzenia w preparaty dezynfekcyjne do powierzchni i do rąk, zaniechania dezynfekcji rąk przez personel medyczny, niewłaściwego postępowania ze sprzętem medycznym, w tym nieprawidłowej dekontaminacji tego sprzętu, niewłaściwego postępowania z odpadami medycznymi, złego stanu sanitarno-higienicznego toalet </w:t>
      </w:r>
      <w:r>
        <w:br/>
        <w:t xml:space="preserve">i pomieszczeń udzielania świadczeń medycznych. Przeprowadzone kontrole potwierdziły zgłoszone nieprawidłowości w 8 przypadkach, w związku z czym wydawano stosowne polecenia i decyzje administracyjne.  </w:t>
      </w:r>
    </w:p>
    <w:p w:rsidR="00AF0FDB" w:rsidRPr="008B311E" w:rsidRDefault="00AF0FDB" w:rsidP="008B311E">
      <w:pPr>
        <w:jc w:val="both"/>
        <w:rPr>
          <w:rFonts w:ascii="Arial" w:hAnsi="Arial" w:cs="Arial"/>
          <w:b/>
          <w:bCs/>
          <w:sz w:val="28"/>
          <w:szCs w:val="28"/>
        </w:rPr>
      </w:pPr>
    </w:p>
    <w:p w:rsidR="00AF0FDB" w:rsidRPr="00082602" w:rsidRDefault="00AF0FDB" w:rsidP="00082602">
      <w:pPr>
        <w:pStyle w:val="Heading1"/>
        <w:spacing w:before="0" w:after="0"/>
        <w:rPr>
          <w:rFonts w:ascii="Times New Roman" w:hAnsi="Times New Roman" w:cs="Times New Roman"/>
          <w:sz w:val="24"/>
          <w:szCs w:val="24"/>
        </w:rPr>
      </w:pPr>
      <w:bookmarkStart w:id="228" w:name="_Toc855382"/>
      <w:bookmarkStart w:id="229" w:name="_Toc938825"/>
      <w:r w:rsidRPr="00082602">
        <w:rPr>
          <w:rFonts w:ascii="Times New Roman" w:hAnsi="Times New Roman" w:cs="Times New Roman"/>
          <w:sz w:val="24"/>
          <w:szCs w:val="24"/>
        </w:rPr>
        <w:t>Domy Pomocy Społecznej</w:t>
      </w:r>
      <w:bookmarkEnd w:id="228"/>
      <w:bookmarkEnd w:id="229"/>
      <w:r w:rsidRPr="00082602">
        <w:rPr>
          <w:rFonts w:ascii="Times New Roman" w:hAnsi="Times New Roman" w:cs="Times New Roman"/>
          <w:sz w:val="24"/>
          <w:szCs w:val="24"/>
        </w:rPr>
        <w:t xml:space="preserve"> </w:t>
      </w:r>
    </w:p>
    <w:p w:rsidR="00AF0FDB" w:rsidRDefault="00AF0FDB" w:rsidP="009D518B">
      <w:pPr>
        <w:pStyle w:val="Heading1"/>
        <w:spacing w:before="0" w:after="0"/>
        <w:rPr>
          <w:rFonts w:ascii="Times New Roman" w:hAnsi="Times New Roman" w:cs="Times New Roman"/>
          <w:sz w:val="24"/>
          <w:szCs w:val="24"/>
        </w:rPr>
      </w:pPr>
      <w:bookmarkStart w:id="230" w:name="_Toc506451384"/>
      <w:bookmarkStart w:id="231" w:name="_Toc506554000"/>
      <w:bookmarkStart w:id="232" w:name="_Toc855383"/>
      <w:bookmarkStart w:id="233" w:name="_Toc938826"/>
      <w:r w:rsidRPr="00082602">
        <w:rPr>
          <w:rFonts w:ascii="Times New Roman" w:hAnsi="Times New Roman" w:cs="Times New Roman"/>
          <w:sz w:val="24"/>
          <w:szCs w:val="24"/>
        </w:rPr>
        <w:t>i inne jednostki organizacyjne pomocy społecznej</w:t>
      </w:r>
      <w:bookmarkEnd w:id="230"/>
      <w:bookmarkEnd w:id="231"/>
      <w:bookmarkEnd w:id="232"/>
      <w:bookmarkEnd w:id="233"/>
    </w:p>
    <w:p w:rsidR="00AF0FDB" w:rsidRPr="0072363C" w:rsidRDefault="00AF0FDB" w:rsidP="0072363C">
      <w:pPr>
        <w:spacing w:before="0" w:line="240" w:lineRule="auto"/>
      </w:pPr>
    </w:p>
    <w:p w:rsidR="00AF0FDB" w:rsidRDefault="00AF0FDB" w:rsidP="00762F47">
      <w:pPr>
        <w:jc w:val="both"/>
      </w:pPr>
      <w:r>
        <w:t xml:space="preserve">W 2018 roku kontrolą objęto ogółem 56 obiektów (49 w miastach  i 7 na terenach wiejskich): 4 Domy Pomocy Społecznej, 27 innych jednostek organizacyjnych pomocy społecznej, 16 placówek zapewniających całodobową opiekę oraz 9 noclegowni i domów dla bezdomnych. Skontrolowano 56 obiektów, przeprowadzając łącznie 58 kontroli. Skontrolowane obiekty spełniały wymagania sanitarno – higieniczne. </w:t>
      </w:r>
    </w:p>
    <w:p w:rsidR="00AF0FDB" w:rsidRDefault="00AF0FDB" w:rsidP="00762F47">
      <w:pPr>
        <w:jc w:val="both"/>
      </w:pPr>
      <w:r>
        <w:t xml:space="preserve">W roku sprawozdawczym objęto nadzorem 3 nowe obiekty:  </w:t>
      </w:r>
    </w:p>
    <w:p w:rsidR="00AF0FDB" w:rsidRDefault="00AF0FDB" w:rsidP="009D5E10">
      <w:pPr>
        <w:numPr>
          <w:ilvl w:val="0"/>
          <w:numId w:val="14"/>
        </w:numPr>
        <w:tabs>
          <w:tab w:val="clear" w:pos="720"/>
          <w:tab w:val="num" w:pos="426"/>
        </w:tabs>
        <w:suppressAutoHyphens/>
        <w:spacing w:before="0" w:after="0"/>
        <w:ind w:left="426" w:hanging="426"/>
        <w:jc w:val="both"/>
      </w:pPr>
      <w:r>
        <w:t xml:space="preserve">Dzienny Dom „Senior-Wigor” ul. Sienkiewicza 21 w Swarzędzu to obiekt zlokalizowany w  budynku wolnostojącym, jednokondygnacyjnym. Jest to placówka dziennego pobytu dla osób starszych (60+), nieaktywnych zawodowo, zapewniająca 30 miejsc. Obiekt jest dostosowany dla osób niepełnosprawnych, bez barier architektonicznych. W skład obiektu wchodzą następujące pomieszczenia: sala terapii indywidualnej, sala relaksu, sala ćwiczeń, sala klubowa, sala główna, aneks kuchenny, gabinet pielęgniarski pełniący również funkcję pomieszczenia biurowego, toalety (męska, damska) i pomieszczenie gospodarcze. Stan sanitarno – techniczny pomieszczeń nie budzi zastrzeżeń, czystość bieżąca zachowana. Wyznaczono miejsce na sprzęt porządkowy oraz środki czystościowe i dezynfekcyjne. Zapewniono właściwy zapas środków czystościowych i dezynfekcyjnych. Podstawowym źródłem zaopatrzenia w wodę jest wodociąg sieciowy. Nieczystości płynne odprowadzane są do sieci kanalizacyjnej miejskiej. W zakresie stanu sanitarno – higienicznego i sanitarno – technicznego, postępowania z odpadami komunalnymi i zaopatrzenia w środki czystościowe i dezynfekcyjne w skontrolowanej placówce nie stwierdzono nieprawidłowości. W obiekcie zatrudnione są takie osoby jak: pracownik socjalny, terapeuta zajęciowy, psycholog, instruktor zajęć muzycznych, pracownik do prowadzenia zajęć ruchowych. </w:t>
      </w:r>
    </w:p>
    <w:p w:rsidR="00AF0FDB" w:rsidRDefault="00AF0FDB" w:rsidP="009D5E10">
      <w:pPr>
        <w:pStyle w:val="Standard"/>
        <w:numPr>
          <w:ilvl w:val="0"/>
          <w:numId w:val="34"/>
        </w:numPr>
        <w:autoSpaceDN/>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Fundacja „Wspólnym Krokiem” w Łodzi  ul. Mosińska 2, gm. Stęszew jest to placówka zlokalizowana w budynku wolnostojącym trzykondygnacyjnym. W obrębie nieruchomości zapewniono parking, plac zabaw oraz wybieg z namiotem ochronnym dla koni wykorzystywanych do zajęć hipoterapeutycznych. Na parterze i piętrze budynku wydzielono pomieszczenia dla osób korzystających z opieki fundacji, pomieszczenia przeznaczone dla osób niepełnosprawnych zlokalizowano na poziomie parteru. Zapewniono także podjazd umożliwiający dostęp dla osób z ograniczoną zdolnością ruchową i jedną toaletę ogólnodostępną przystosowaną dla osób niepełnosprawnych. W obiekcie udziela się fachowej pomocy terapeutycznej dzieciom. Placówka zapewnia również całodobowy pobyt prowadzony w formie turnusów rehabilitacyjnych. Podopieczni przebywają na terenie placówki wyłącznie z opiekunami prawnymi. W budynku znajduje się 25 pokoi dwuosobowych dla podopiecznych z opiekunami (15 pokoi na parterze i 10 pokoi na poziomie 1), które posiadają własny węzeł sanitarno – higieniczny z umywalką, miską ustępową i łatwo dostępnym prysznicem, na obu poziomach znajdują się również aneksy kuchenne. Do dyspozycji podopiecznych przeznaczono gabinety: terapii manualnej, kinezyterapii, terapii ręki, terapii pedagogicznej, terapii przestrzennej, neurologopedyczny oraz część rekreacyjną ze strefą basenową i szatniami. Ponadto na parterze wydzielone są następujące pomieszczenia: magazyn gospodarczy, pomieszczenie biurowe, pomieszczenie gospodarcze z pralkami podręcznymi dla osób przebywających na turnusie rehabilitacyjnym, pomieszczenie ergo – active z łazienką, jadalnia z zapleczem kuchennym oraz trzy toalety (w tym jedna dla niepełnosprawnych). Natomiast na poziomie 1 oprócz 10 pokoi i aneksu kuchennego znajdują się także pomieszczenie biurowe, pomieszczenie gospodarcze oraz pomieszczenie kinezyterapii. W obiekcie nie ma gabinetu pielęgniarskiego ani lekarskiego. W razie potrzeby wzywane jest pogotowie. W placówce zatrudnionych jest 14 fizjoterapeutów oraz 6 pracowników administracyjnych. Pracami porządkowymi w obiekcie zajmuje się zatrudniony personel. </w:t>
      </w:r>
    </w:p>
    <w:p w:rsidR="00AF0FDB" w:rsidRDefault="00AF0FDB" w:rsidP="004574F2">
      <w:pPr>
        <w:pStyle w:val="Standard"/>
        <w:autoSpaceDN/>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Rodzice dzieci przebywających w obiekcie korzystają z podręcznych udostępnionych pralek oraz suszarek. Podstawowym źródłem zaopatrzenia w wodę jest wodociąg sieciowy. Nieczystości płynne odprowadzane są do zbiornika bezodpływowego. </w:t>
      </w:r>
    </w:p>
    <w:p w:rsidR="00AF0FDB" w:rsidRDefault="00AF0FDB" w:rsidP="00762F47">
      <w:pPr>
        <w:pStyle w:val="Standard"/>
        <w:widowControl w:val="0"/>
        <w:spacing w:after="0" w:line="360" w:lineRule="auto"/>
        <w:ind w:left="426"/>
        <w:jc w:val="both"/>
        <w:rPr>
          <w:rFonts w:cs="Times New Roman"/>
        </w:rPr>
      </w:pPr>
      <w:r>
        <w:rPr>
          <w:rFonts w:ascii="Times New Roman" w:hAnsi="Times New Roman" w:cs="Times New Roman"/>
          <w:sz w:val="24"/>
          <w:szCs w:val="24"/>
        </w:rPr>
        <w:t xml:space="preserve">W zakresie stanu sanitarno – higienicznego, postępowania z odpadami komunalnymi </w:t>
      </w:r>
      <w:r>
        <w:rPr>
          <w:rFonts w:ascii="Times New Roman" w:hAnsi="Times New Roman" w:cs="Times New Roman"/>
          <w:sz w:val="24"/>
          <w:szCs w:val="24"/>
        </w:rPr>
        <w:br/>
        <w:t xml:space="preserve">i zaopatrzenia w środki czystościowe i dezynfekcyjne w skontrolowanej placówce nie stwierdzono nieprawidłowości. Fundacja korzysta również z usług pralniczych firmy zewnętrznej, do której oddawana jest brudna bielizna wielokrotnego użytku oraz koce. </w:t>
      </w:r>
      <w:r>
        <w:rPr>
          <w:rFonts w:ascii="Times New Roman" w:hAnsi="Times New Roman" w:cs="Times New Roman"/>
          <w:sz w:val="24"/>
          <w:szCs w:val="24"/>
        </w:rPr>
        <w:br/>
        <w:t>W wyniku kontroli przeprowadzonej w październiku ubiegłego roku wydano jedynie doraźne zalecenia dotyczące zapewnienia kart charakterystyki preparatów niebezpiecznych stosowanych w placówce oraz wyposażenia obiektu w środki do dezynfekcji  rąk.</w:t>
      </w:r>
    </w:p>
    <w:p w:rsidR="00AF0FDB" w:rsidRDefault="00AF0FDB" w:rsidP="00DE0EFA">
      <w:pPr>
        <w:numPr>
          <w:ilvl w:val="0"/>
          <w:numId w:val="33"/>
        </w:numPr>
        <w:suppressAutoHyphens/>
        <w:spacing w:before="0" w:after="0"/>
        <w:ind w:left="426" w:hanging="426"/>
        <w:jc w:val="both"/>
      </w:pPr>
      <w:r>
        <w:t xml:space="preserve">Dom Charytatywny Przystań ul. Krańcowa 10 w Poznaniu to obiekt zlokalizowany </w:t>
      </w:r>
      <w:r>
        <w:br/>
        <w:t xml:space="preserve">w budynku trzykondygnacyjnym, wolnostojącym przeznaczony dla 45 kobiet </w:t>
      </w:r>
      <w:r>
        <w:br/>
        <w:t xml:space="preserve">i mężczyzn znajdujących się w trudnej sytuacji życiowej. W skład obiektu wchodzą następujące pomieszczenia: biura, 11 pokoi mieszkalnych, toaleta ogólnodostępna dla pracowników, 2 łazienki ogólnodostępne dla mieszkańców z prysznicami, magazyn sprzętu porządkowego, kaplica, świetlica, kuchnia, magazyn bielizny czystej, podręczna kuchnia, magazyn żywności suchej, punkt apteczny. W pomieszczeniu piwnicznym znajduje się pralnia, magazyn środków czystości i dezynfekcyjnych oraz magazyn odzieży. Obiekt nie jest przystosowany dla osób niepełnosprawnych. Stan sanitarno – techniczny pomieszczeń nie budzi zastrzeżeń, czystość bieżąca zachowana. Kontrola czystości pomieszczeń odbywa się na bieżąco przez opiekuna pokoi raz w tygodniu. Odzież, ręczniki, bielizna  prana jest indywidualnie przez mieszkańców w pralkach zlokalizowanych w pomieszczeniu pralniczym. Odzież osób przyjmowanych do domu jest segregowana w śluzie higieniczno – sanitarnej. Pranie odzieży i bielizny odbywa się na miejscu w pralni. Wewnętrznej kontroli podlegają również bagaże osób przyjmowanych do domu, w celu uniknięcia insektów. Odzież zawszawiona traktowana jest jako odpad komunalny i składowana w workach foliowych oraz pojemnikach. Zapewniono właściwy zapas środków czystościowych i dezynfekcyjnych. Placówka posiada karty charakterystyki do stosowanych preparatów chemicznych. Utrzymaniem czystości w obiekcie zajmują się mieszkańcy zgodnie z ustalonym harmonogramem. Podstawowym źródłem zaopatrzenia w wodę jest wodociąg sieciowy. Nieczystości płynne odprowadzane są do sieci kanalizacyjnej. W zakresie stanu sanitarno – higienicznego, postępowania z odpadami komunalnymi i zaopatrzenia w środki czystościowe i dezynfekcyjne w skontrolowanej placówce nie stwierdzono nieprawidłowości. </w:t>
      </w:r>
    </w:p>
    <w:p w:rsidR="00AF0FDB" w:rsidRDefault="00AF0FDB" w:rsidP="004574F2">
      <w:pPr>
        <w:suppressAutoHyphens/>
        <w:spacing w:before="0" w:after="0"/>
        <w:ind w:left="426"/>
        <w:jc w:val="both"/>
      </w:pPr>
      <w:r>
        <w:t>W obiekcie zatrudnieni są opiekunowie oraz asystenci. Kontrolę sanitarną przeprowadzono w związku ze zgłoszoną przez mieszkańca placówki interwencją dotyczącą</w:t>
      </w:r>
      <w:r>
        <w:rPr>
          <w:shd w:val="clear" w:color="auto" w:fill="FFFFFF"/>
        </w:rPr>
        <w:t xml:space="preserve"> występowania insektów w obiekcie. Przeprowadzona kontrola nie potwierdziła zgłoszonych zarzutów.</w:t>
      </w:r>
    </w:p>
    <w:p w:rsidR="00AF0FDB" w:rsidRDefault="00AF0FDB" w:rsidP="003D4126">
      <w:pPr>
        <w:pStyle w:val="Heading1"/>
        <w:rPr>
          <w:rFonts w:ascii="Times New Roman" w:hAnsi="Times New Roman" w:cs="Times New Roman"/>
          <w:sz w:val="24"/>
          <w:szCs w:val="24"/>
        </w:rPr>
      </w:pPr>
      <w:bookmarkStart w:id="234" w:name="_Toc855384"/>
      <w:bookmarkStart w:id="235" w:name="_Toc938827"/>
      <w:r w:rsidRPr="00082602">
        <w:rPr>
          <w:rFonts w:ascii="Times New Roman" w:hAnsi="Times New Roman" w:cs="Times New Roman"/>
          <w:sz w:val="24"/>
          <w:szCs w:val="24"/>
        </w:rPr>
        <w:t>Ustępy publiczne</w:t>
      </w:r>
      <w:bookmarkEnd w:id="234"/>
      <w:bookmarkEnd w:id="235"/>
    </w:p>
    <w:p w:rsidR="00AF0FDB" w:rsidRPr="0072363C" w:rsidRDefault="00AF0FDB" w:rsidP="0072363C">
      <w:pPr>
        <w:spacing w:before="0" w:line="240" w:lineRule="auto"/>
      </w:pPr>
    </w:p>
    <w:p w:rsidR="00AF0FDB" w:rsidRDefault="00AF0FDB" w:rsidP="00762F47">
      <w:pPr>
        <w:pStyle w:val="BodyText"/>
        <w:spacing w:line="360" w:lineRule="auto"/>
        <w:rPr>
          <w:color w:val="000000"/>
        </w:rPr>
      </w:pPr>
      <w:r>
        <w:t xml:space="preserve">Nadzorem objęto 38 ustępów publicznych (w tym 30 w Poznaniu i 8 w powiecie poznańskim). Skontrolowano 37 obiektów, przeprowadzono ogółem 83 kontrole. </w:t>
      </w:r>
    </w:p>
    <w:p w:rsidR="00AF0FDB" w:rsidRDefault="00AF0FDB" w:rsidP="00762F47">
      <w:pPr>
        <w:jc w:val="both"/>
      </w:pPr>
      <w:r>
        <w:rPr>
          <w:color w:val="000000"/>
        </w:rPr>
        <w:t xml:space="preserve">Na koniec 2018 r. za zły pod względem technicznym uznano ustęp publiczny przy Rynku Jeżyckim ul. Prusa w Poznaniu. W 2018 r. w związku ze stwierdzonymi nieprawidłowościami wydana została decyzja administracyjna nakazująca doprowadzić do właściwego stanu pomieszczenia obiektu </w:t>
      </w:r>
      <w:r>
        <w:t xml:space="preserve">(drzwi wejściowe do części męskiej i damskiej szaletu, sufit </w:t>
      </w:r>
      <w:r>
        <w:br/>
        <w:t xml:space="preserve">w przedsionku wejścia do części męskiej szaletu, sufity w części damskiej </w:t>
      </w:r>
      <w:r>
        <w:br/>
        <w:t xml:space="preserve">i męskiej szaletu, płytki ścienne i podłogowe przy pisuarach w części męskiej szaletu, płytki ścienne przy drzwiach w przedsionku wejścia do części damskiej szaletu, płytki </w:t>
      </w:r>
      <w:r>
        <w:br/>
        <w:t xml:space="preserve">w kabinach z toaletami w części damskiej i męskiej szaletu) </w:t>
      </w:r>
      <w:r>
        <w:rPr>
          <w:color w:val="000000"/>
        </w:rPr>
        <w:t>do dnia 15 grudnia 2018 r. oraz decyzja kosztowa. P</w:t>
      </w:r>
      <w:r>
        <w:t xml:space="preserve">rzeprowadzona kontrola wykazała niewykonanie nakazów decyzji, czego następstwem jest prowadzone postępowanie egzekucyjne. </w:t>
      </w:r>
    </w:p>
    <w:p w:rsidR="00AF0FDB" w:rsidRDefault="00AF0FDB" w:rsidP="00762F47">
      <w:pPr>
        <w:jc w:val="both"/>
      </w:pPr>
      <w:r>
        <w:t>W  tej grupie obiektów bieżący stan sanitarno – porządkowy nie budził zastrzeżeń. Gospodarka odpadami komunalnymi i płynnymi prowadzona jest w sposób właściwy.</w:t>
      </w:r>
    </w:p>
    <w:p w:rsidR="00AF0FDB" w:rsidRDefault="00AF0FDB" w:rsidP="00D9538B">
      <w:pPr>
        <w:jc w:val="both"/>
      </w:pPr>
      <w:r>
        <w:t xml:space="preserve">Nadzorem objęte są również toalety zlokalizowane na stacjach, przystankach osobowych  PKP, Dworcu Autobusowym PKS w Poznaniu oraz na dworcach autobusowych MPK (Poznań – Śródka, Poznań – Rondo Rataje, Poznań – Os. Jana III Sobieskiego, Poznań </w:t>
      </w:r>
      <w:r>
        <w:br/>
        <w:t xml:space="preserve">– Junikowo), a także w Porcie Lotniczym Poznań – Ławica. Obiekty te nie </w:t>
      </w:r>
      <w:r>
        <w:br/>
        <w:t xml:space="preserve">są wyszczególnione w ewidencji. Kontrole sanitarne ustępów zostały przeprowadzone przy okazji kontroli wyżej wymienionych obiektów, a ich stan sanitarny był zadawalający. </w:t>
      </w:r>
    </w:p>
    <w:p w:rsidR="00AF0FDB" w:rsidRPr="00304E38" w:rsidRDefault="00AF0FDB" w:rsidP="00304E38">
      <w:pPr>
        <w:pStyle w:val="Heading1"/>
        <w:rPr>
          <w:rFonts w:ascii="Times New Roman" w:hAnsi="Times New Roman" w:cs="Times New Roman"/>
          <w:sz w:val="24"/>
          <w:szCs w:val="24"/>
        </w:rPr>
      </w:pPr>
      <w:bookmarkStart w:id="236" w:name="_Toc855385"/>
      <w:bookmarkStart w:id="237" w:name="_Toc938828"/>
      <w:r w:rsidRPr="00082602">
        <w:rPr>
          <w:rFonts w:ascii="Times New Roman" w:hAnsi="Times New Roman" w:cs="Times New Roman"/>
          <w:sz w:val="24"/>
          <w:szCs w:val="24"/>
        </w:rPr>
        <w:t>Baza noclegowa</w:t>
      </w:r>
      <w:bookmarkEnd w:id="236"/>
      <w:bookmarkEnd w:id="237"/>
    </w:p>
    <w:p w:rsidR="00AF0FDB" w:rsidRDefault="00AF0FDB" w:rsidP="00544596">
      <w:pPr>
        <w:spacing w:before="0" w:after="0"/>
        <w:jc w:val="both"/>
      </w:pPr>
      <w:r>
        <w:t xml:space="preserve">W ewidencji Państwowego Powiatowego Inspektora Sanitarnego w Poznaniu znajduje się: 121 hoteli (skontrolowano 83), 6 moteli (skontrolowano 5), 14 pensjonatów (skontrolowano 7), </w:t>
      </w:r>
    </w:p>
    <w:p w:rsidR="00AF0FDB" w:rsidRDefault="00AF0FDB" w:rsidP="00544596">
      <w:pPr>
        <w:spacing w:before="0" w:after="0"/>
        <w:jc w:val="both"/>
      </w:pPr>
      <w:r>
        <w:t>1 kemping (skontrolowano 1), oraz 80 innych obiektów, w których świadczone są usługi hotelarskie (skontrolowano 37). Ponad 80% hoteli posiada kategoryzację.</w:t>
      </w:r>
    </w:p>
    <w:p w:rsidR="00AF0FDB" w:rsidRDefault="00AF0FDB" w:rsidP="00210A2F">
      <w:pPr>
        <w:jc w:val="both"/>
      </w:pPr>
      <w:r>
        <w:t>Na wyróżnienie zasługują obiekty 3, 4 i 5 gwiazdkowe o wysokim standardzie:</w:t>
      </w:r>
    </w:p>
    <w:p w:rsidR="00AF0FDB" w:rsidRPr="00544596" w:rsidRDefault="00AF0FDB" w:rsidP="00DE0EFA">
      <w:pPr>
        <w:numPr>
          <w:ilvl w:val="0"/>
          <w:numId w:val="30"/>
        </w:numPr>
        <w:suppressAutoHyphens/>
        <w:spacing w:before="0" w:after="0"/>
        <w:jc w:val="both"/>
      </w:pPr>
      <w:r w:rsidRPr="00D61460">
        <w:t>Hotel „Sheraton” ul. Bukowska 3/9, Poznań</w:t>
      </w:r>
      <w:r>
        <w:t>,</w:t>
      </w:r>
    </w:p>
    <w:p w:rsidR="00AF0FDB" w:rsidRPr="00544596" w:rsidRDefault="00AF0FDB" w:rsidP="00DE0EFA">
      <w:pPr>
        <w:numPr>
          <w:ilvl w:val="0"/>
          <w:numId w:val="30"/>
        </w:numPr>
        <w:suppressAutoHyphens/>
        <w:spacing w:before="0" w:after="0"/>
        <w:jc w:val="both"/>
        <w:rPr>
          <w:lang w:val="en-US"/>
        </w:rPr>
      </w:pPr>
      <w:r w:rsidRPr="00D61460">
        <w:rPr>
          <w:lang w:val="en-US"/>
        </w:rPr>
        <w:t>Hotel „Andersia” Plac Andersa 5, Poznań</w:t>
      </w:r>
      <w:r>
        <w:rPr>
          <w:lang w:val="en-US"/>
        </w:rPr>
        <w:t>,</w:t>
      </w:r>
    </w:p>
    <w:p w:rsidR="00AF0FDB" w:rsidRPr="00D61460" w:rsidRDefault="00AF0FDB" w:rsidP="00DE0EFA">
      <w:pPr>
        <w:numPr>
          <w:ilvl w:val="0"/>
          <w:numId w:val="30"/>
        </w:numPr>
        <w:suppressAutoHyphens/>
        <w:spacing w:before="0" w:after="0"/>
      </w:pPr>
      <w:r w:rsidRPr="00D61460">
        <w:t>Hotel „Włoski Business” ul. Dolna Wilda</w:t>
      </w:r>
      <w:r>
        <w:t xml:space="preserve"> 8</w:t>
      </w:r>
      <w:r w:rsidRPr="00D61460">
        <w:t>, Poznań</w:t>
      </w:r>
      <w:r>
        <w:t>,</w:t>
      </w:r>
      <w:r w:rsidRPr="00D61460">
        <w:t xml:space="preserve">  </w:t>
      </w:r>
    </w:p>
    <w:p w:rsidR="00AF0FDB" w:rsidRPr="00D61460" w:rsidRDefault="00AF0FDB" w:rsidP="00DE0EFA">
      <w:pPr>
        <w:numPr>
          <w:ilvl w:val="0"/>
          <w:numId w:val="30"/>
        </w:numPr>
        <w:suppressAutoHyphens/>
        <w:spacing w:before="0" w:after="0"/>
      </w:pPr>
      <w:r w:rsidRPr="00D61460">
        <w:t>Hotel ,,Stare Miasto” ul. Rybaki 36, Poznań</w:t>
      </w:r>
      <w:r>
        <w:t>,</w:t>
      </w:r>
    </w:p>
    <w:p w:rsidR="00AF0FDB" w:rsidRPr="00D61460" w:rsidRDefault="00AF0FDB" w:rsidP="00DE0EFA">
      <w:pPr>
        <w:numPr>
          <w:ilvl w:val="0"/>
          <w:numId w:val="30"/>
        </w:numPr>
        <w:suppressAutoHyphens/>
        <w:spacing w:before="0" w:after="0"/>
      </w:pPr>
      <w:r w:rsidRPr="00D61460">
        <w:rPr>
          <w:lang w:val="en-US"/>
        </w:rPr>
        <w:t xml:space="preserve">Hotel ,,Blow Up Hall” ul. </w:t>
      </w:r>
      <w:r w:rsidRPr="00D61460">
        <w:t>Kościuszki 42, Poznań</w:t>
      </w:r>
      <w:r>
        <w:t>,</w:t>
      </w:r>
    </w:p>
    <w:p w:rsidR="00AF0FDB" w:rsidRPr="00D61460" w:rsidRDefault="00AF0FDB" w:rsidP="00DE0EFA">
      <w:pPr>
        <w:numPr>
          <w:ilvl w:val="0"/>
          <w:numId w:val="30"/>
        </w:numPr>
        <w:suppressAutoHyphens/>
        <w:spacing w:before="0" w:after="0"/>
      </w:pPr>
      <w:r w:rsidRPr="00D61460">
        <w:t>Hotel Kortowo ul. Kotowo 62, Poznań</w:t>
      </w:r>
      <w:r>
        <w:t>,</w:t>
      </w:r>
    </w:p>
    <w:p w:rsidR="00AF0FDB" w:rsidRPr="00D61460" w:rsidRDefault="00AF0FDB" w:rsidP="00DE0EFA">
      <w:pPr>
        <w:numPr>
          <w:ilvl w:val="0"/>
          <w:numId w:val="30"/>
        </w:numPr>
        <w:suppressAutoHyphens/>
        <w:spacing w:before="0" w:after="0"/>
      </w:pPr>
      <w:r w:rsidRPr="00D61460">
        <w:t>Hotel Brovaria ul. Stary Rynek 73, Poznań</w:t>
      </w:r>
      <w:r>
        <w:t>,</w:t>
      </w:r>
    </w:p>
    <w:p w:rsidR="00AF0FDB" w:rsidRPr="00D61460" w:rsidRDefault="00AF0FDB" w:rsidP="00DE0EFA">
      <w:pPr>
        <w:numPr>
          <w:ilvl w:val="0"/>
          <w:numId w:val="30"/>
        </w:numPr>
        <w:suppressAutoHyphens/>
        <w:spacing w:before="0" w:after="0"/>
        <w:jc w:val="both"/>
      </w:pPr>
      <w:r w:rsidRPr="00D61460">
        <w:t>Hotel „NH” ul. Św. Marcin 67, Poznań</w:t>
      </w:r>
      <w:r>
        <w:t>,</w:t>
      </w:r>
    </w:p>
    <w:p w:rsidR="00AF0FDB" w:rsidRPr="00D61460" w:rsidRDefault="00AF0FDB" w:rsidP="00DE0EFA">
      <w:pPr>
        <w:numPr>
          <w:ilvl w:val="0"/>
          <w:numId w:val="30"/>
        </w:numPr>
        <w:suppressAutoHyphens/>
        <w:spacing w:before="0" w:after="0"/>
        <w:jc w:val="both"/>
        <w:rPr>
          <w:lang w:val="en-US"/>
        </w:rPr>
      </w:pPr>
      <w:r w:rsidRPr="00D61460">
        <w:rPr>
          <w:lang w:val="en-US"/>
        </w:rPr>
        <w:t>Hotel „Royal” ul. Św. Marcin 71</w:t>
      </w:r>
      <w:bookmarkStart w:id="238" w:name="_GoBack1"/>
      <w:bookmarkEnd w:id="238"/>
      <w:r w:rsidRPr="00D61460">
        <w:t>, Poznań</w:t>
      </w:r>
      <w:r>
        <w:t>,</w:t>
      </w:r>
    </w:p>
    <w:p w:rsidR="00AF0FDB" w:rsidRPr="00544596" w:rsidRDefault="00AF0FDB" w:rsidP="00DE0EFA">
      <w:pPr>
        <w:numPr>
          <w:ilvl w:val="0"/>
          <w:numId w:val="30"/>
        </w:numPr>
        <w:suppressAutoHyphens/>
        <w:spacing w:before="0" w:after="0"/>
        <w:jc w:val="both"/>
        <w:rPr>
          <w:lang w:val="en-US"/>
        </w:rPr>
      </w:pPr>
      <w:r w:rsidRPr="00D61460">
        <w:rPr>
          <w:lang w:val="en-US"/>
        </w:rPr>
        <w:t>Hotel ,,</w:t>
      </w:r>
      <w:r w:rsidRPr="00544596">
        <w:rPr>
          <w:lang w:val="en-US"/>
        </w:rPr>
        <w:t>Mercure” ul. Roosevelta 20, Poznań,</w:t>
      </w:r>
    </w:p>
    <w:p w:rsidR="00AF0FDB" w:rsidRPr="00D61460" w:rsidRDefault="00AF0FDB" w:rsidP="00DE0EFA">
      <w:pPr>
        <w:numPr>
          <w:ilvl w:val="0"/>
          <w:numId w:val="30"/>
        </w:numPr>
        <w:suppressAutoHyphens/>
        <w:spacing w:before="0" w:after="0"/>
        <w:jc w:val="both"/>
      </w:pPr>
      <w:r w:rsidRPr="00D61460">
        <w:t>Rezydencja Solei ul. Wałecka 2, Poznań</w:t>
      </w:r>
      <w:r>
        <w:t>,</w:t>
      </w:r>
    </w:p>
    <w:p w:rsidR="00AF0FDB" w:rsidRPr="00D61460" w:rsidRDefault="00AF0FDB" w:rsidP="00DE0EFA">
      <w:pPr>
        <w:numPr>
          <w:ilvl w:val="0"/>
          <w:numId w:val="30"/>
        </w:numPr>
        <w:suppressAutoHyphens/>
        <w:spacing w:before="0" w:after="0"/>
        <w:jc w:val="both"/>
      </w:pPr>
      <w:r w:rsidRPr="00D61460">
        <w:t>Rezydencja Solei ul. Wenecjańska 1, Poznań</w:t>
      </w:r>
      <w:r>
        <w:t>,</w:t>
      </w:r>
    </w:p>
    <w:p w:rsidR="00AF0FDB" w:rsidRPr="00D61460" w:rsidRDefault="00AF0FDB" w:rsidP="00DE0EFA">
      <w:pPr>
        <w:numPr>
          <w:ilvl w:val="0"/>
          <w:numId w:val="30"/>
        </w:numPr>
        <w:suppressAutoHyphens/>
        <w:spacing w:before="0" w:after="0"/>
        <w:jc w:val="both"/>
      </w:pPr>
      <w:r w:rsidRPr="00D61460">
        <w:t>Hotel „Vivaldi’’ ul. Winogrady 9, Poznań</w:t>
      </w:r>
      <w:r>
        <w:t>,</w:t>
      </w:r>
    </w:p>
    <w:p w:rsidR="00AF0FDB" w:rsidRDefault="00AF0FDB" w:rsidP="00DE0EFA">
      <w:pPr>
        <w:numPr>
          <w:ilvl w:val="0"/>
          <w:numId w:val="30"/>
        </w:numPr>
        <w:suppressAutoHyphens/>
        <w:spacing w:before="0" w:after="0"/>
        <w:jc w:val="both"/>
      </w:pPr>
      <w:r>
        <w:t>Hotel „Regatta” ul. Chojni</w:t>
      </w:r>
      <w:r w:rsidRPr="00544596">
        <w:t>cka 49</w:t>
      </w:r>
      <w:r>
        <w:t>, Poznań,</w:t>
      </w:r>
    </w:p>
    <w:p w:rsidR="00AF0FDB" w:rsidRDefault="00AF0FDB" w:rsidP="00DE0EFA">
      <w:pPr>
        <w:numPr>
          <w:ilvl w:val="0"/>
          <w:numId w:val="30"/>
        </w:numPr>
        <w:suppressAutoHyphens/>
        <w:spacing w:before="0" w:after="0"/>
        <w:jc w:val="both"/>
      </w:pPr>
      <w:r>
        <w:t>PURO Hotel ul. Stawna 12, Poznań,</w:t>
      </w:r>
    </w:p>
    <w:p w:rsidR="00AF0FDB" w:rsidRDefault="00AF0FDB" w:rsidP="00DE0EFA">
      <w:pPr>
        <w:numPr>
          <w:ilvl w:val="0"/>
          <w:numId w:val="30"/>
        </w:numPr>
        <w:suppressAutoHyphens/>
        <w:spacing w:before="0" w:after="0"/>
        <w:jc w:val="both"/>
      </w:pPr>
      <w:r>
        <w:t>Hotel Palazzo Rosso ul. Gołębia 6, Poznań,</w:t>
      </w:r>
    </w:p>
    <w:p w:rsidR="00AF0FDB" w:rsidRDefault="00AF0FDB" w:rsidP="00DE0EFA">
      <w:pPr>
        <w:numPr>
          <w:ilvl w:val="0"/>
          <w:numId w:val="30"/>
        </w:numPr>
        <w:suppressAutoHyphens/>
        <w:spacing w:before="0" w:after="0"/>
        <w:jc w:val="both"/>
      </w:pPr>
      <w:r>
        <w:t>Hotel „Morena” ul. Konopnickiej, Mosina,</w:t>
      </w:r>
    </w:p>
    <w:p w:rsidR="00AF0FDB" w:rsidRDefault="00AF0FDB" w:rsidP="00DE0EFA">
      <w:pPr>
        <w:numPr>
          <w:ilvl w:val="0"/>
          <w:numId w:val="30"/>
        </w:numPr>
        <w:suppressAutoHyphens/>
        <w:spacing w:before="0" w:after="0"/>
        <w:jc w:val="both"/>
      </w:pPr>
      <w:r>
        <w:t>Hot-elarnia ul. Morenowa 33, Puszczykowo,</w:t>
      </w:r>
    </w:p>
    <w:p w:rsidR="00AF0FDB" w:rsidRDefault="00AF0FDB" w:rsidP="00DE0EFA">
      <w:pPr>
        <w:numPr>
          <w:ilvl w:val="0"/>
          <w:numId w:val="30"/>
        </w:numPr>
        <w:suppressAutoHyphens/>
        <w:spacing w:before="0" w:after="0"/>
        <w:jc w:val="both"/>
      </w:pPr>
      <w:r>
        <w:t>Hotel „Max” ul. Kościuszki, Luboń,</w:t>
      </w:r>
    </w:p>
    <w:p w:rsidR="00AF0FDB" w:rsidRDefault="00AF0FDB" w:rsidP="00DE0EFA">
      <w:pPr>
        <w:numPr>
          <w:ilvl w:val="0"/>
          <w:numId w:val="30"/>
        </w:numPr>
        <w:suppressAutoHyphens/>
        <w:spacing w:before="0" w:after="0"/>
        <w:jc w:val="both"/>
      </w:pPr>
      <w:r>
        <w:t>Hotel ,,Poznański” ul. Krańcowa 4, Luboń,</w:t>
      </w:r>
    </w:p>
    <w:p w:rsidR="00AF0FDB" w:rsidRDefault="00AF0FDB" w:rsidP="00DE0EFA">
      <w:pPr>
        <w:numPr>
          <w:ilvl w:val="0"/>
          <w:numId w:val="30"/>
        </w:numPr>
        <w:suppressAutoHyphens/>
        <w:spacing w:before="0" w:after="0"/>
        <w:jc w:val="both"/>
      </w:pPr>
      <w:r>
        <w:t>Hotel „Euro” ul. Cieszkowskiego 33, Swarzędz,</w:t>
      </w:r>
    </w:p>
    <w:p w:rsidR="00AF0FDB" w:rsidRDefault="00AF0FDB" w:rsidP="00DE0EFA">
      <w:pPr>
        <w:numPr>
          <w:ilvl w:val="0"/>
          <w:numId w:val="30"/>
        </w:numPr>
        <w:suppressAutoHyphens/>
        <w:spacing w:before="0" w:after="0"/>
        <w:jc w:val="both"/>
      </w:pPr>
      <w:r>
        <w:t>Hotel ,,Aleksandra” ul. Radosna 6, Pobiedziska,</w:t>
      </w:r>
    </w:p>
    <w:p w:rsidR="00AF0FDB" w:rsidRDefault="00AF0FDB" w:rsidP="00DE0EFA">
      <w:pPr>
        <w:numPr>
          <w:ilvl w:val="0"/>
          <w:numId w:val="30"/>
        </w:numPr>
        <w:suppressAutoHyphens/>
        <w:spacing w:before="0" w:after="0"/>
        <w:jc w:val="both"/>
      </w:pPr>
      <w:r>
        <w:t>Hotel ,,Ossowski” ul. Dąbrówki 1, Kobylnica,</w:t>
      </w:r>
    </w:p>
    <w:p w:rsidR="00AF0FDB" w:rsidRDefault="00AF0FDB" w:rsidP="00DE0EFA">
      <w:pPr>
        <w:numPr>
          <w:ilvl w:val="0"/>
          <w:numId w:val="30"/>
        </w:numPr>
        <w:suppressAutoHyphens/>
        <w:spacing w:before="0" w:after="0"/>
        <w:jc w:val="both"/>
      </w:pPr>
      <w:r>
        <w:t>Hotel Pałac w Krześlicach, Krześlice 1,</w:t>
      </w:r>
    </w:p>
    <w:p w:rsidR="00AF0FDB" w:rsidRDefault="00AF0FDB" w:rsidP="00DE0EFA">
      <w:pPr>
        <w:numPr>
          <w:ilvl w:val="0"/>
          <w:numId w:val="30"/>
        </w:numPr>
        <w:suppressAutoHyphens/>
        <w:spacing w:before="0" w:after="0"/>
        <w:jc w:val="both"/>
      </w:pPr>
      <w:r>
        <w:t>Hotel 500 ul. Poznańska 139, Tarnowo Podgórne,</w:t>
      </w:r>
    </w:p>
    <w:p w:rsidR="00AF0FDB" w:rsidRDefault="00AF0FDB" w:rsidP="00DE0EFA">
      <w:pPr>
        <w:numPr>
          <w:ilvl w:val="0"/>
          <w:numId w:val="30"/>
        </w:numPr>
        <w:suppressAutoHyphens/>
        <w:spacing w:before="0" w:after="0"/>
        <w:jc w:val="both"/>
      </w:pPr>
      <w:r>
        <w:t>Hotel ,,Orange Przeźmierowo” ul. Poznańska 14/7, Przeźmierowo.</w:t>
      </w:r>
    </w:p>
    <w:p w:rsidR="00AF0FDB" w:rsidRDefault="00AF0FDB" w:rsidP="00210A2F">
      <w:pPr>
        <w:spacing w:before="280" w:after="280"/>
        <w:jc w:val="both"/>
      </w:pPr>
      <w:r>
        <w:t>Wyżej wymienione hotele oprócz noclegów oferują swoim gościom restauracje, zespoły odnowy biologicznej oraz zespoły klimatyzowanych sal wielofunkcyjnych i restauracje.</w:t>
      </w:r>
    </w:p>
    <w:p w:rsidR="00AF0FDB" w:rsidRDefault="00AF0FDB" w:rsidP="00210A2F">
      <w:pPr>
        <w:jc w:val="both"/>
      </w:pPr>
      <w:r>
        <w:t xml:space="preserve">Kontrole sanitarne bazy noclegowej przeprowadzone w 2018 roku w ramach bieżącego nadzoru nie wykazały większych nieprawidłowości, jedynie w 6 przypadkach kontrole sanitarne wykazały naruszenie przepisów sanitarno – higienicznych. Wydano 2 decyzje administracyjne nakazujące usunięcie stwierdzonych uchybień, natomiast w 4 przypadkach na osobę odpowiedzialną nałożono  mandat karny. </w:t>
      </w:r>
    </w:p>
    <w:p w:rsidR="00AF0FDB" w:rsidRDefault="00AF0FDB" w:rsidP="00407858">
      <w:pPr>
        <w:jc w:val="both"/>
      </w:pPr>
      <w:r>
        <w:t>Obiekty świadczące usługi noclegowe są przyłączone do sprawnej instalacji wodociągowej, wyjątek stanowi 5 hoteli, które  posiadają własne źródło zaopatrzenia w wodę. Natomiast ścieki usuwane są do sieci kanalizacyjnej lub szczelnych zbiorników bezodpływowych                    (17 skontrolowanych obiektów). Ponadto Ośrodek Campingowy POSiR Malta wyposażony jest w stanowiska do zlewu ścieków caravaningowych, które są na bieżąco myte i dezynfekowane. Przy zlewniach zapewnione są hydranty z wodą do zaopatrzenia pojazdów, płukania zbiornika na ścieki i mycia otoczenia zlewni.</w:t>
      </w:r>
    </w:p>
    <w:p w:rsidR="00AF0FDB" w:rsidRDefault="00AF0FDB" w:rsidP="00210A2F">
      <w:pPr>
        <w:jc w:val="both"/>
      </w:pPr>
      <w:r>
        <w:t xml:space="preserve">Odpady stałe składowane są w pojemnikach lub kontenerach i odbierane przez firmy posiadające wymagane zezwolenia. Częstotliwość odbioru jest dostosowana do ilości wytwarzanych odpadów. </w:t>
      </w:r>
    </w:p>
    <w:p w:rsidR="00AF0FDB" w:rsidRDefault="00AF0FDB" w:rsidP="00210A2F">
      <w:pPr>
        <w:jc w:val="both"/>
      </w:pPr>
      <w:r>
        <w:t xml:space="preserve">Hotele zaopatrzone są w środki czystości przechowywane w wydzielonych pomieszczeniach lub miejscach. Bielizna pościelowa prana jest na zewnątrz w mechanicznych pralniach usługowych nadzorowanych przez Państwową Inspekcję Sanitarną. Wyjątek stanowi 1 obiekt, który posiada własną pralnię. </w:t>
      </w:r>
    </w:p>
    <w:p w:rsidR="00AF0FDB" w:rsidRDefault="00AF0FDB" w:rsidP="00210A2F">
      <w:pPr>
        <w:jc w:val="both"/>
      </w:pPr>
      <w:r>
        <w:t xml:space="preserve">Stan pomieszczeń mieszkalnych, sanitariatów oraz zaplecza nie budził zastrzeżeń. </w:t>
      </w:r>
      <w:r>
        <w:br/>
        <w:t xml:space="preserve">W obiektach raz w roku przeprowadzana jest dezynfekcja koców, kołder, poduszek </w:t>
      </w:r>
      <w:r>
        <w:br/>
        <w:t>i materacy. W trakcie prowadzonych kontroli stwierdzono, że w hotelach dostępne są karty charakterystyki stosowanych substancji i preparatów chemicznych.</w:t>
      </w:r>
    </w:p>
    <w:p w:rsidR="00AF0FDB" w:rsidRDefault="00AF0FDB" w:rsidP="00210A2F">
      <w:pPr>
        <w:jc w:val="both"/>
      </w:pPr>
      <w:r>
        <w:t xml:space="preserve">Podczas kontroli obiektów hotelarskich informowano o konieczności badania wody </w:t>
      </w:r>
      <w:r>
        <w:br/>
        <w:t xml:space="preserve">z instalacji ciepłej wody w kierunku obecności bakterii </w:t>
      </w:r>
      <w:r>
        <w:rPr>
          <w:i/>
          <w:iCs/>
        </w:rPr>
        <w:t>Legionella sp</w:t>
      </w:r>
      <w:r>
        <w:t xml:space="preserve">. zgodnie </w:t>
      </w:r>
      <w:r>
        <w:br/>
        <w:t>z rozporządzeniem Ministra Zdrowia w sprawie jakości wody przeznaczonej do spożycia przez ludzi.</w:t>
      </w:r>
    </w:p>
    <w:p w:rsidR="00AF0FDB" w:rsidRDefault="00AF0FDB" w:rsidP="00407858">
      <w:pPr>
        <w:jc w:val="both"/>
      </w:pPr>
      <w:r>
        <w:t xml:space="preserve">W roku 2018 w 21 obiektach przedsiębiorcy wykonali badania ciepłej wody w ramach kontroli wewnętrznej w kierunku obecności bakterii </w:t>
      </w:r>
      <w:r>
        <w:rPr>
          <w:i/>
          <w:iCs/>
        </w:rPr>
        <w:t>Legionella sp</w:t>
      </w:r>
      <w:r>
        <w:t xml:space="preserve">. i przedstawili sprawozdania z badań. W 7 przypadkach jakość wody budziła zastrzeżenia. W związku z czym </w:t>
      </w:r>
      <w:r>
        <w:rPr>
          <w:kern w:val="1"/>
        </w:rPr>
        <w:t xml:space="preserve">Państwowy Powiatowy Inspektor Sanitarny w Poznaniu pismami zgodnie z art. 30 ustawy z dnia 14 marca 1985 r. o Państwowej Inspekcji Sanitarnej zobowiązał przedsiębiorców do podania informacji o podjętych i wykonanych działaniach mających na celu wyeliminowanie zaistniałych nieprawidłowości oraz do przedłożenia wyników badań laboratoryjnych wykonanych w wyszczególnionych powyżej punktach poboru potwierdzających skuteczność przeprowadzonych działań naprawczych. </w:t>
      </w:r>
      <w:r>
        <w:t xml:space="preserve"> </w:t>
      </w:r>
    </w:p>
    <w:p w:rsidR="00AF0FDB" w:rsidRPr="00201345" w:rsidRDefault="00AF0FDB" w:rsidP="00201345">
      <w:pPr>
        <w:suppressAutoHyphens/>
        <w:jc w:val="both"/>
      </w:pPr>
    </w:p>
    <w:p w:rsidR="00AF0FDB" w:rsidRPr="00082602" w:rsidRDefault="00AF0FDB" w:rsidP="00426A1B">
      <w:pPr>
        <w:pStyle w:val="Heading1"/>
        <w:spacing w:before="0" w:line="276" w:lineRule="auto"/>
        <w:rPr>
          <w:rFonts w:ascii="Times New Roman" w:hAnsi="Times New Roman" w:cs="Times New Roman"/>
          <w:sz w:val="24"/>
          <w:szCs w:val="24"/>
        </w:rPr>
      </w:pPr>
      <w:bookmarkStart w:id="239" w:name="_Toc855386"/>
      <w:bookmarkStart w:id="240" w:name="_Toc938829"/>
      <w:r w:rsidRPr="00082602">
        <w:rPr>
          <w:rFonts w:ascii="Times New Roman" w:hAnsi="Times New Roman" w:cs="Times New Roman"/>
          <w:sz w:val="24"/>
          <w:szCs w:val="24"/>
        </w:rPr>
        <w:t>Nadzór sanitarny nad środkami transportu</w:t>
      </w:r>
      <w:bookmarkEnd w:id="239"/>
      <w:bookmarkEnd w:id="240"/>
      <w:r w:rsidRPr="00082602">
        <w:rPr>
          <w:rFonts w:ascii="Times New Roman" w:hAnsi="Times New Roman" w:cs="Times New Roman"/>
          <w:sz w:val="24"/>
          <w:szCs w:val="24"/>
        </w:rPr>
        <w:t xml:space="preserve"> </w:t>
      </w:r>
    </w:p>
    <w:p w:rsidR="00AF0FDB" w:rsidRPr="00CA4513" w:rsidRDefault="00AF0FDB" w:rsidP="00CA4513">
      <w:pPr>
        <w:pStyle w:val="Heading1"/>
        <w:spacing w:before="0" w:line="276" w:lineRule="auto"/>
        <w:rPr>
          <w:rFonts w:ascii="Times New Roman" w:hAnsi="Times New Roman" w:cs="Times New Roman"/>
          <w:sz w:val="24"/>
          <w:szCs w:val="24"/>
        </w:rPr>
      </w:pPr>
      <w:bookmarkStart w:id="241" w:name="_Toc855387"/>
      <w:bookmarkStart w:id="242" w:name="_Toc938830"/>
      <w:r w:rsidRPr="00082602">
        <w:rPr>
          <w:rFonts w:ascii="Times New Roman" w:hAnsi="Times New Roman" w:cs="Times New Roman"/>
          <w:sz w:val="24"/>
          <w:szCs w:val="24"/>
        </w:rPr>
        <w:t>i obiektami służącymi do prowadzenia transportu</w:t>
      </w:r>
      <w:bookmarkEnd w:id="241"/>
      <w:bookmarkEnd w:id="242"/>
    </w:p>
    <w:p w:rsidR="00AF0FDB" w:rsidRDefault="00AF0FDB" w:rsidP="00197432">
      <w:pPr>
        <w:jc w:val="both"/>
      </w:pPr>
      <w:r>
        <w:t xml:space="preserve">W 2018 roku skontrolowano Port Lotniczy Poznań – Ławica Sp. z o.o., w  skład którego wchodzą: Hala Odlotów strefy Schengen, Hala Odlotów strefy non-Schengen, Hala Przylotów oraz Hala Główna w Terminalach T-2 i T-3 a także Terminal Nr 1 dla użytkowników prywatnych, małych samolotów, zarówno w komunikacji krajowej, jak i zagranicznej. </w:t>
      </w:r>
    </w:p>
    <w:p w:rsidR="00AF0FDB" w:rsidRDefault="00AF0FDB" w:rsidP="00197432">
      <w:pPr>
        <w:jc w:val="both"/>
      </w:pPr>
      <w:r>
        <w:t xml:space="preserve">Na podstawie kontroli przeprowadzonych w 2018 roku można stwierdzić, że wszystkie wymienione hale przylotów i odlotów wszystkich terminali utrzymane są we właściwym stanie sanitarnym. Nieliczne nieprawidłowości sanitarne stwierdzane podczas kontroli były natychmiast usuwane. Wszystkie hale portu lotniczego posiadają węzły sanitarne (oddzielne męskie i damskie, a także przystosowane dla osób niepełnosprawnych) oraz pokoje do pielęgnacji niemowląt. Wymienione pomieszczenia higieniczno – sanitarne znajdują się zarówno w części przed odprawą paszportowo – celną i biletową, jak i po odprawie. Węzły sanitarne są systematycznie sprzątane i dezynfekowane. Wyposażone są w pełni w środki higieny osobistej. Wszystkie węzły sanitarne na terenie Portu Lotniczego Poznań – Ławica oraz hale przylotów i odlotów posiadają sprawną klimatyzację. Urządzenia klimatyzacyjne Terminali Nr 2 i Nr 3 są pod stałym nadzorem technicznym służb lotniskowych i serwisowej firmy zewnętrznej (przegląd techniczny dokonywany jest raz na kwartał, natomiast raz </w:t>
      </w:r>
      <w:r>
        <w:br/>
        <w:t>w miesiącu przeprowadzana jest wymiana filtrów wstępnych a raz na pół roku filtrów głównych kieszeniowych).</w:t>
      </w:r>
    </w:p>
    <w:p w:rsidR="00AF0FDB" w:rsidRDefault="00AF0FDB" w:rsidP="00197432">
      <w:pPr>
        <w:jc w:val="both"/>
      </w:pPr>
      <w:r>
        <w:t xml:space="preserve">Gospodarka odpadami prowadzona jest w sposób właściwy. Odpady komunalne oraz niebezpieczne odbierane są przez wyspecjalizowane firmy.  </w:t>
      </w:r>
    </w:p>
    <w:p w:rsidR="00AF0FDB" w:rsidRDefault="00AF0FDB" w:rsidP="00B01655">
      <w:r>
        <w:t xml:space="preserve">W widocznych miejscach wszystkich hal poszczególnych terminali umieszczone są informacje dla podróżnych o sposobie i trybie uzyskania pomocy medycznej w nagłych wypadkach. </w:t>
      </w:r>
    </w:p>
    <w:p w:rsidR="00AF0FDB" w:rsidRDefault="00AF0FDB" w:rsidP="00B01655">
      <w:r>
        <w:t xml:space="preserve">W terminalach T-2 i T-3 umieszczone są 3 defibrylatory wraz z instrukcjami użytkowania oraz informacje, jak w nagłych wypadkach uzyskać pomoc medyczną.  </w:t>
      </w:r>
    </w:p>
    <w:p w:rsidR="00AF0FDB" w:rsidRDefault="00AF0FDB" w:rsidP="00D9538B">
      <w:pPr>
        <w:jc w:val="both"/>
      </w:pPr>
      <w:r>
        <w:t>Obecnie zabezpieczenie medyczne portu sprawują funkcjonariusze Lotniskowej Służby Ratowniczo – Gaśniczej, udzielając w razie potrzeby pierwszej pomocy przedmedycznej (47 osób). Jeżeli zachodzi taka konieczność, wzywana jest karetka pogotowia ratunkowego Wojewódzkiej Stacji Pogotowia Ratunkowego w Poznaniu.</w:t>
      </w:r>
    </w:p>
    <w:p w:rsidR="00AF0FDB" w:rsidRDefault="00AF0FDB" w:rsidP="00197432">
      <w:pPr>
        <w:pStyle w:val="BodyText"/>
        <w:spacing w:line="360" w:lineRule="auto"/>
      </w:pPr>
      <w:r>
        <w:t>W 2018 roku przeprowadzono kontrole 344 tramwajów i zestawów tramwajowych, 629 autobusów komunikacji publicznej, miejskiej i gminnej, w znacznej większości przypadków stwierdzając ich właściwy stan sanitarny. Wydawano jedynie doraźne zalecenia dotyczące zwiększenia częstotliwości mycia i doczyszczenia wewnętrznych szyb okien i drzwi w pojazdach z uwagi na ich zatłuszczanie przez podróżnych.</w:t>
      </w:r>
    </w:p>
    <w:p w:rsidR="00AF0FDB" w:rsidRDefault="00AF0FDB" w:rsidP="00197432">
      <w:pPr>
        <w:jc w:val="both"/>
      </w:pPr>
      <w:r>
        <w:t xml:space="preserve">Działania tutejszego organu Państwowej Inspekcji Sanitarnej sprawiły, że część tramwajów </w:t>
      </w:r>
      <w:r>
        <w:br/>
        <w:t xml:space="preserve">i autobusów jest dodatkowo sprzątana w trakcie ich dobowej eksploatacji, </w:t>
      </w:r>
      <w:r>
        <w:br/>
        <w:t xml:space="preserve">na terenie poszczególnych dworców Zarządu Transportu Miejskiego i baz Miejskiego Przedsiębiorstwa Komunikacyjnego w Poznaniu Sp. z o.o. oraz na poszczególnych pętlach tramwajowych i terenach baz tramwajowych, co przyczyniło się do poprawy bieżącego stanu sanitarno – higienicznego tych pojazdów.  </w:t>
      </w:r>
    </w:p>
    <w:p w:rsidR="00AF0FDB" w:rsidRDefault="00AF0FDB" w:rsidP="00197432">
      <w:pPr>
        <w:jc w:val="both"/>
      </w:pPr>
      <w:r>
        <w:t xml:space="preserve">Skontrolowano ogółem 12 autobusów turystycznych. Podczas kontroli stwierdzano </w:t>
      </w:r>
      <w:r>
        <w:br/>
        <w:t xml:space="preserve">ich właściwy stan sanitarny. </w:t>
      </w:r>
    </w:p>
    <w:p w:rsidR="00AF0FDB" w:rsidRDefault="00AF0FDB" w:rsidP="00D9538B">
      <w:pPr>
        <w:jc w:val="both"/>
      </w:pPr>
      <w:r>
        <w:t xml:space="preserve">Skontrolowano 28 składów pociągów pasażerskich dwóch spółek kolejowych PKP („Przewozy Regionalne” Sp. z o. o. Oddział Wielkopolski z siedzibą w Poznaniu,   „Koleje Wielkopolskie” Sp. z o.o. w Poznaniu) – kontrolami objęto w sumie 106 wagonów. </w:t>
      </w:r>
    </w:p>
    <w:p w:rsidR="00AF0FDB" w:rsidRDefault="00AF0FDB" w:rsidP="00D9538B">
      <w:pPr>
        <w:pStyle w:val="Tekstpodstawowy31"/>
        <w:spacing w:line="360" w:lineRule="auto"/>
        <w:jc w:val="both"/>
      </w:pPr>
      <w:r>
        <w:rPr>
          <w:b w:val="0"/>
          <w:bCs w:val="0"/>
          <w:sz w:val="24"/>
          <w:szCs w:val="24"/>
        </w:rPr>
        <w:t>Mimo braku w pełni właściwych warunków mycia wagonów pasażerskich i jednostek Elektrycznych Zespołów Trakcyjnych wszystkie skontrolowane wagony składów pociągów pasażerskich były we właściwym stanie sanitarno-higienicznym.</w:t>
      </w:r>
    </w:p>
    <w:p w:rsidR="00AF0FDB" w:rsidRDefault="00AF0FDB" w:rsidP="00197432">
      <w:pPr>
        <w:jc w:val="both"/>
      </w:pPr>
      <w:r>
        <w:t xml:space="preserve">Wszystkie skontrolowane w minionym roku samochody świadczące usługi przewozu zwłok </w:t>
      </w:r>
      <w:r>
        <w:br/>
        <w:t xml:space="preserve">i szczątków ludzkich (26), karetki  (35), a także samochody do przewozu bielizny (4) spełniały wymogi sanitarne. W roku sprawozdawczym skontrolowano statki spacerowe „Anna Maria” i „Biała Dama”,  pływające po Jeziorze Kórnickim oraz łódź motorową „ANTONIO” służącą do przewozu osób po akwenach śródlądowych, stwierdzając ich właściwy stan sanitarny. </w:t>
      </w:r>
    </w:p>
    <w:p w:rsidR="00AF0FDB" w:rsidRDefault="00AF0FDB" w:rsidP="00197432">
      <w:pPr>
        <w:jc w:val="both"/>
      </w:pPr>
    </w:p>
    <w:p w:rsidR="00AF0FDB" w:rsidRDefault="00AF0FDB" w:rsidP="00197432">
      <w:pPr>
        <w:jc w:val="both"/>
      </w:pPr>
    </w:p>
    <w:p w:rsidR="00AF0FDB" w:rsidRPr="00FB0A2D" w:rsidRDefault="00AF0FDB" w:rsidP="003D7E03">
      <w:pPr>
        <w:jc w:val="both"/>
      </w:pPr>
      <w:r w:rsidRPr="003C6298">
        <w:rPr>
          <w:b/>
          <w:bCs/>
          <w:sz w:val="22"/>
          <w:szCs w:val="22"/>
        </w:rPr>
        <w:t>Tab. 3</w:t>
      </w:r>
      <w:r w:rsidRPr="00FB0A2D">
        <w:t xml:space="preserve"> </w:t>
      </w:r>
      <w:r w:rsidRPr="00616F73">
        <w:rPr>
          <w:sz w:val="20"/>
          <w:szCs w:val="20"/>
        </w:rPr>
        <w:t>Stan sanitarny środków transportu</w:t>
      </w:r>
    </w:p>
    <w:tbl>
      <w:tblPr>
        <w:tblW w:w="5000" w:type="pct"/>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000"/>
      </w:tblPr>
      <w:tblGrid>
        <w:gridCol w:w="1382"/>
        <w:gridCol w:w="2374"/>
        <w:gridCol w:w="1054"/>
        <w:gridCol w:w="1858"/>
        <w:gridCol w:w="1313"/>
        <w:gridCol w:w="1450"/>
      </w:tblGrid>
      <w:tr w:rsidR="00AF0FDB" w:rsidRPr="00082602">
        <w:trPr>
          <w:trHeight w:hRule="exact" w:val="547"/>
          <w:tblHeader/>
        </w:trPr>
        <w:tc>
          <w:tcPr>
            <w:tcW w:w="2506" w:type="pct"/>
            <w:gridSpan w:val="3"/>
            <w:vMerge w:val="restar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Wyszczególnienie</w:t>
            </w:r>
          </w:p>
        </w:tc>
        <w:tc>
          <w:tcPr>
            <w:tcW w:w="968" w:type="pct"/>
            <w:vMerge w:val="restart"/>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Liczba skontrolowanych</w:t>
            </w:r>
          </w:p>
        </w:tc>
        <w:tc>
          <w:tcPr>
            <w:tcW w:w="1440" w:type="pct"/>
            <w:gridSpan w:val="2"/>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Liczba ze złym stanem sanitarnym</w:t>
            </w:r>
          </w:p>
        </w:tc>
      </w:tr>
      <w:tr w:rsidR="00AF0FDB" w:rsidRPr="00082602">
        <w:trPr>
          <w:trHeight w:val="796"/>
          <w:tblHeader/>
        </w:trPr>
        <w:tc>
          <w:tcPr>
            <w:tcW w:w="2506" w:type="pct"/>
            <w:gridSpan w:val="3"/>
            <w:vMerge/>
            <w:shd w:val="clear" w:color="auto" w:fill="E8E8E8"/>
          </w:tcPr>
          <w:p w:rsidR="00AF0FDB" w:rsidRPr="002C4F7C" w:rsidRDefault="00AF0FDB" w:rsidP="002C4F7C">
            <w:pPr>
              <w:snapToGrid w:val="0"/>
              <w:jc w:val="center"/>
              <w:rPr>
                <w:b/>
                <w:bCs/>
                <w:sz w:val="20"/>
                <w:szCs w:val="20"/>
              </w:rPr>
            </w:pPr>
          </w:p>
        </w:tc>
        <w:tc>
          <w:tcPr>
            <w:tcW w:w="968" w:type="pct"/>
            <w:vMerge/>
          </w:tcPr>
          <w:p w:rsidR="00AF0FDB" w:rsidRPr="002C4F7C" w:rsidRDefault="00AF0FDB" w:rsidP="002C4F7C">
            <w:pPr>
              <w:snapToGrid w:val="0"/>
              <w:jc w:val="center"/>
              <w:rPr>
                <w:b/>
                <w:bCs/>
                <w:sz w:val="20"/>
                <w:szCs w:val="20"/>
              </w:rPr>
            </w:pPr>
          </w:p>
        </w:tc>
        <w:tc>
          <w:tcPr>
            <w:tcW w:w="684" w:type="pc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higieniczno-sanitarnym</w:t>
            </w:r>
          </w:p>
        </w:tc>
        <w:tc>
          <w:tcPr>
            <w:tcW w:w="735" w:type="pct"/>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technicznym</w:t>
            </w:r>
          </w:p>
        </w:tc>
      </w:tr>
      <w:tr w:rsidR="00AF0FDB" w:rsidRPr="00FB0A2D">
        <w:trPr>
          <w:trHeight w:val="521"/>
        </w:trPr>
        <w:tc>
          <w:tcPr>
            <w:tcW w:w="2506" w:type="pct"/>
            <w:gridSpan w:val="3"/>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0</w:t>
            </w:r>
          </w:p>
        </w:tc>
        <w:tc>
          <w:tcPr>
            <w:tcW w:w="968" w:type="pc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1</w:t>
            </w:r>
          </w:p>
        </w:tc>
        <w:tc>
          <w:tcPr>
            <w:tcW w:w="684" w:type="pc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2</w:t>
            </w:r>
          </w:p>
        </w:tc>
        <w:tc>
          <w:tcPr>
            <w:tcW w:w="735" w:type="pc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3</w:t>
            </w:r>
          </w:p>
        </w:tc>
      </w:tr>
      <w:tr w:rsidR="00AF0FDB" w:rsidRPr="00FB0A2D">
        <w:trPr>
          <w:trHeight w:val="730"/>
        </w:trPr>
        <w:tc>
          <w:tcPr>
            <w:tcW w:w="1957" w:type="pct"/>
            <w:gridSpan w:val="2"/>
            <w:shd w:val="clear" w:color="auto" w:fill="E8E8E8"/>
          </w:tcPr>
          <w:p w:rsidR="00AF0FDB" w:rsidRPr="002C4F7C" w:rsidRDefault="00AF0FDB" w:rsidP="002C4F7C">
            <w:pPr>
              <w:autoSpaceDE w:val="0"/>
              <w:snapToGrid w:val="0"/>
              <w:jc w:val="both"/>
              <w:rPr>
                <w:color w:val="000000"/>
                <w:sz w:val="20"/>
                <w:szCs w:val="20"/>
              </w:rPr>
            </w:pPr>
            <w:r w:rsidRPr="002C4F7C">
              <w:rPr>
                <w:color w:val="000000"/>
                <w:sz w:val="20"/>
                <w:szCs w:val="20"/>
              </w:rPr>
              <w:t>Autobusy komunikacji publicznej</w:t>
            </w:r>
          </w:p>
        </w:tc>
        <w:tc>
          <w:tcPr>
            <w:tcW w:w="528" w:type="pct"/>
          </w:tcPr>
          <w:p w:rsidR="00AF0FDB" w:rsidRPr="002C4F7C" w:rsidRDefault="00AF0FDB" w:rsidP="002C4F7C">
            <w:pPr>
              <w:autoSpaceDE w:val="0"/>
              <w:snapToGrid w:val="0"/>
              <w:jc w:val="center"/>
              <w:rPr>
                <w:color w:val="000000"/>
                <w:sz w:val="20"/>
                <w:szCs w:val="20"/>
              </w:rPr>
            </w:pPr>
            <w:r w:rsidRPr="002C4F7C">
              <w:rPr>
                <w:color w:val="000000"/>
                <w:sz w:val="20"/>
                <w:szCs w:val="20"/>
              </w:rPr>
              <w:t>01</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629</w:t>
            </w:r>
          </w:p>
        </w:tc>
        <w:tc>
          <w:tcPr>
            <w:tcW w:w="684" w:type="pct"/>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742"/>
        </w:trPr>
        <w:tc>
          <w:tcPr>
            <w:tcW w:w="1957" w:type="pct"/>
            <w:gridSpan w:val="2"/>
            <w:shd w:val="clear" w:color="auto" w:fill="E8E8E8"/>
          </w:tcPr>
          <w:p w:rsidR="00AF0FDB" w:rsidRPr="002C4F7C" w:rsidRDefault="00AF0FDB" w:rsidP="002C4F7C">
            <w:pPr>
              <w:autoSpaceDE w:val="0"/>
              <w:snapToGrid w:val="0"/>
              <w:jc w:val="both"/>
              <w:rPr>
                <w:color w:val="000000"/>
                <w:sz w:val="20"/>
                <w:szCs w:val="20"/>
              </w:rPr>
            </w:pPr>
            <w:r w:rsidRPr="002C4F7C">
              <w:rPr>
                <w:color w:val="000000"/>
                <w:sz w:val="20"/>
                <w:szCs w:val="20"/>
              </w:rPr>
              <w:t>Autobusy turystyczne</w:t>
            </w:r>
          </w:p>
        </w:tc>
        <w:tc>
          <w:tcPr>
            <w:tcW w:w="52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02</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12</w:t>
            </w:r>
          </w:p>
        </w:tc>
        <w:tc>
          <w:tcPr>
            <w:tcW w:w="684"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910"/>
        </w:trPr>
        <w:tc>
          <w:tcPr>
            <w:tcW w:w="1957" w:type="pct"/>
            <w:gridSpan w:val="2"/>
            <w:shd w:val="clear" w:color="auto" w:fill="E8E8E8"/>
          </w:tcPr>
          <w:p w:rsidR="00AF0FDB" w:rsidRPr="002C4F7C" w:rsidRDefault="00AF0FDB" w:rsidP="002C4F7C">
            <w:pPr>
              <w:autoSpaceDE w:val="0"/>
              <w:snapToGrid w:val="0"/>
              <w:jc w:val="both"/>
              <w:rPr>
                <w:color w:val="000000"/>
                <w:sz w:val="20"/>
                <w:szCs w:val="20"/>
              </w:rPr>
            </w:pPr>
            <w:r w:rsidRPr="002C4F7C">
              <w:rPr>
                <w:color w:val="000000"/>
                <w:sz w:val="20"/>
                <w:szCs w:val="20"/>
              </w:rPr>
              <w:t>Tramwaje i trolejbusy</w:t>
            </w:r>
          </w:p>
        </w:tc>
        <w:tc>
          <w:tcPr>
            <w:tcW w:w="528" w:type="pct"/>
          </w:tcPr>
          <w:p w:rsidR="00AF0FDB" w:rsidRPr="002C4F7C" w:rsidRDefault="00AF0FDB" w:rsidP="002C4F7C">
            <w:pPr>
              <w:autoSpaceDE w:val="0"/>
              <w:snapToGrid w:val="0"/>
              <w:jc w:val="center"/>
              <w:rPr>
                <w:color w:val="000000"/>
                <w:sz w:val="20"/>
                <w:szCs w:val="20"/>
              </w:rPr>
            </w:pPr>
            <w:r w:rsidRPr="002C4F7C">
              <w:rPr>
                <w:color w:val="000000"/>
                <w:sz w:val="20"/>
                <w:szCs w:val="20"/>
              </w:rPr>
              <w:t>03</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344</w:t>
            </w:r>
          </w:p>
        </w:tc>
        <w:tc>
          <w:tcPr>
            <w:tcW w:w="684" w:type="pct"/>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40"/>
        </w:trPr>
        <w:tc>
          <w:tcPr>
            <w:tcW w:w="720" w:type="pct"/>
            <w:vMerge w:val="restart"/>
            <w:shd w:val="clear" w:color="auto" w:fill="E8E8E8"/>
          </w:tcPr>
          <w:p w:rsidR="00AF0FDB" w:rsidRPr="002C4F7C" w:rsidRDefault="00AF0FDB" w:rsidP="002C4F7C">
            <w:pPr>
              <w:autoSpaceDE w:val="0"/>
              <w:snapToGrid w:val="0"/>
              <w:spacing w:before="0"/>
              <w:rPr>
                <w:color w:val="000000"/>
                <w:sz w:val="20"/>
                <w:szCs w:val="20"/>
              </w:rPr>
            </w:pPr>
            <w:r w:rsidRPr="002C4F7C">
              <w:rPr>
                <w:color w:val="000000"/>
                <w:sz w:val="20"/>
                <w:szCs w:val="20"/>
              </w:rPr>
              <w:t>Wagony</w:t>
            </w:r>
          </w:p>
          <w:p w:rsidR="00AF0FDB" w:rsidRPr="002C4F7C" w:rsidRDefault="00AF0FDB" w:rsidP="002C4F7C">
            <w:pPr>
              <w:autoSpaceDE w:val="0"/>
              <w:spacing w:before="0"/>
              <w:rPr>
                <w:color w:val="000000"/>
                <w:sz w:val="20"/>
                <w:szCs w:val="20"/>
              </w:rPr>
            </w:pPr>
            <w:r w:rsidRPr="002C4F7C">
              <w:rPr>
                <w:color w:val="000000"/>
                <w:sz w:val="20"/>
                <w:szCs w:val="20"/>
              </w:rPr>
              <w:t xml:space="preserve">w pociągach pasażerskich </w:t>
            </w:r>
          </w:p>
        </w:tc>
        <w:tc>
          <w:tcPr>
            <w:tcW w:w="1216" w:type="pct"/>
            <w:shd w:val="clear" w:color="auto" w:fill="E8E8E8"/>
          </w:tcPr>
          <w:p w:rsidR="00AF0FDB" w:rsidRPr="002C4F7C" w:rsidRDefault="00AF0FDB" w:rsidP="003D7E03">
            <w:pPr>
              <w:rPr>
                <w:sz w:val="20"/>
                <w:szCs w:val="20"/>
              </w:rPr>
            </w:pPr>
            <w:r w:rsidRPr="002C4F7C">
              <w:rPr>
                <w:sz w:val="20"/>
                <w:szCs w:val="20"/>
              </w:rPr>
              <w:t>dalekobieżnych włącznie z miejscami do siedzenia</w:t>
            </w:r>
          </w:p>
        </w:tc>
        <w:tc>
          <w:tcPr>
            <w:tcW w:w="52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04</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684"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830"/>
        </w:trPr>
        <w:tc>
          <w:tcPr>
            <w:tcW w:w="720" w:type="pct"/>
            <w:vMerge/>
            <w:shd w:val="clear" w:color="auto" w:fill="E8E8E8"/>
          </w:tcPr>
          <w:p w:rsidR="00AF0FDB" w:rsidRPr="002C4F7C" w:rsidRDefault="00AF0FDB" w:rsidP="002C4F7C">
            <w:pPr>
              <w:snapToGrid w:val="0"/>
              <w:jc w:val="both"/>
              <w:rPr>
                <w:sz w:val="20"/>
                <w:szCs w:val="20"/>
              </w:rPr>
            </w:pPr>
          </w:p>
        </w:tc>
        <w:tc>
          <w:tcPr>
            <w:tcW w:w="1216" w:type="pct"/>
          </w:tcPr>
          <w:p w:rsidR="00AF0FDB" w:rsidRPr="002C4F7C" w:rsidRDefault="00AF0FDB" w:rsidP="003D7E03">
            <w:pPr>
              <w:rPr>
                <w:sz w:val="20"/>
                <w:szCs w:val="20"/>
              </w:rPr>
            </w:pPr>
            <w:r w:rsidRPr="002C4F7C">
              <w:rPr>
                <w:sz w:val="20"/>
                <w:szCs w:val="20"/>
              </w:rPr>
              <w:t>dalekobieżne inne niż w wierszu 4</w:t>
            </w:r>
          </w:p>
        </w:tc>
        <w:tc>
          <w:tcPr>
            <w:tcW w:w="52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05</w:t>
            </w:r>
          </w:p>
        </w:tc>
        <w:tc>
          <w:tcPr>
            <w:tcW w:w="968" w:type="pct"/>
          </w:tcPr>
          <w:p w:rsidR="00AF0FDB" w:rsidRPr="002C4F7C" w:rsidRDefault="00AF0FDB" w:rsidP="002C4F7C">
            <w:pPr>
              <w:autoSpaceDE w:val="0"/>
              <w:snapToGrid w:val="0"/>
              <w:jc w:val="center"/>
              <w:rPr>
                <w:color w:val="000000"/>
                <w:sz w:val="20"/>
                <w:szCs w:val="20"/>
              </w:rPr>
            </w:pPr>
            <w:r w:rsidRPr="002C4F7C">
              <w:rPr>
                <w:color w:val="000000"/>
                <w:sz w:val="20"/>
                <w:szCs w:val="20"/>
              </w:rPr>
              <w:t>98</w:t>
            </w:r>
          </w:p>
        </w:tc>
        <w:tc>
          <w:tcPr>
            <w:tcW w:w="684"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40"/>
        </w:trPr>
        <w:tc>
          <w:tcPr>
            <w:tcW w:w="720" w:type="pct"/>
            <w:vMerge/>
            <w:shd w:val="clear" w:color="auto" w:fill="E8E8E8"/>
          </w:tcPr>
          <w:p w:rsidR="00AF0FDB" w:rsidRPr="002C4F7C" w:rsidRDefault="00AF0FDB" w:rsidP="002C4F7C">
            <w:pPr>
              <w:snapToGrid w:val="0"/>
              <w:jc w:val="both"/>
              <w:rPr>
                <w:sz w:val="20"/>
                <w:szCs w:val="20"/>
              </w:rPr>
            </w:pPr>
          </w:p>
        </w:tc>
        <w:tc>
          <w:tcPr>
            <w:tcW w:w="1216" w:type="pct"/>
            <w:shd w:val="clear" w:color="auto" w:fill="E8E8E8"/>
          </w:tcPr>
          <w:p w:rsidR="00AF0FDB" w:rsidRPr="002C4F7C" w:rsidRDefault="00AF0FDB" w:rsidP="002C4F7C">
            <w:pPr>
              <w:autoSpaceDE w:val="0"/>
              <w:snapToGrid w:val="0"/>
              <w:jc w:val="both"/>
              <w:rPr>
                <w:sz w:val="20"/>
                <w:szCs w:val="20"/>
              </w:rPr>
            </w:pPr>
            <w:r w:rsidRPr="002C4F7C">
              <w:rPr>
                <w:sz w:val="20"/>
                <w:szCs w:val="20"/>
              </w:rPr>
              <w:t>podmiejskich</w:t>
            </w:r>
          </w:p>
        </w:tc>
        <w:tc>
          <w:tcPr>
            <w:tcW w:w="52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06</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8</w:t>
            </w:r>
          </w:p>
        </w:tc>
        <w:tc>
          <w:tcPr>
            <w:tcW w:w="684"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40"/>
        </w:trPr>
        <w:tc>
          <w:tcPr>
            <w:tcW w:w="1957" w:type="pct"/>
            <w:gridSpan w:val="2"/>
            <w:shd w:val="clear" w:color="auto" w:fill="E8E8E8"/>
          </w:tcPr>
          <w:p w:rsidR="00AF0FDB" w:rsidRPr="002C4F7C" w:rsidRDefault="00AF0FDB" w:rsidP="002C4F7C">
            <w:pPr>
              <w:autoSpaceDE w:val="0"/>
              <w:snapToGrid w:val="0"/>
              <w:rPr>
                <w:color w:val="000000"/>
                <w:sz w:val="20"/>
                <w:szCs w:val="20"/>
              </w:rPr>
            </w:pPr>
            <w:r w:rsidRPr="002C4F7C">
              <w:rPr>
                <w:color w:val="000000"/>
                <w:sz w:val="20"/>
                <w:szCs w:val="20"/>
              </w:rPr>
              <w:t>Statki i promy pasażerskie żeglugi śródlądowej</w:t>
            </w:r>
          </w:p>
        </w:tc>
        <w:tc>
          <w:tcPr>
            <w:tcW w:w="528" w:type="pct"/>
          </w:tcPr>
          <w:p w:rsidR="00AF0FDB" w:rsidRPr="002C4F7C" w:rsidRDefault="00AF0FDB" w:rsidP="002C4F7C">
            <w:pPr>
              <w:autoSpaceDE w:val="0"/>
              <w:snapToGrid w:val="0"/>
              <w:jc w:val="center"/>
              <w:rPr>
                <w:color w:val="000000"/>
                <w:sz w:val="20"/>
                <w:szCs w:val="20"/>
              </w:rPr>
            </w:pPr>
            <w:r w:rsidRPr="002C4F7C">
              <w:rPr>
                <w:color w:val="000000"/>
                <w:sz w:val="20"/>
                <w:szCs w:val="20"/>
              </w:rPr>
              <w:t>07</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3</w:t>
            </w:r>
          </w:p>
        </w:tc>
        <w:tc>
          <w:tcPr>
            <w:tcW w:w="684" w:type="pct"/>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40"/>
        </w:trPr>
        <w:tc>
          <w:tcPr>
            <w:tcW w:w="1957" w:type="pct"/>
            <w:gridSpan w:val="2"/>
            <w:shd w:val="clear" w:color="auto" w:fill="E8E8E8"/>
          </w:tcPr>
          <w:p w:rsidR="00AF0FDB" w:rsidRPr="002C4F7C" w:rsidRDefault="00AF0FDB" w:rsidP="002C4F7C">
            <w:pPr>
              <w:autoSpaceDE w:val="0"/>
              <w:snapToGrid w:val="0"/>
              <w:rPr>
                <w:color w:val="000000"/>
                <w:sz w:val="20"/>
                <w:szCs w:val="20"/>
              </w:rPr>
            </w:pPr>
            <w:r w:rsidRPr="002C4F7C">
              <w:rPr>
                <w:color w:val="000000"/>
                <w:sz w:val="20"/>
                <w:szCs w:val="20"/>
              </w:rPr>
              <w:t>Samochody do przewozu chorych</w:t>
            </w:r>
          </w:p>
        </w:tc>
        <w:tc>
          <w:tcPr>
            <w:tcW w:w="52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08</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35</w:t>
            </w:r>
          </w:p>
        </w:tc>
        <w:tc>
          <w:tcPr>
            <w:tcW w:w="684"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40"/>
        </w:trPr>
        <w:tc>
          <w:tcPr>
            <w:tcW w:w="1957" w:type="pct"/>
            <w:gridSpan w:val="2"/>
            <w:shd w:val="clear" w:color="auto" w:fill="E8E8E8"/>
          </w:tcPr>
          <w:p w:rsidR="00AF0FDB" w:rsidRPr="002C4F7C" w:rsidRDefault="00AF0FDB" w:rsidP="002C4F7C">
            <w:pPr>
              <w:autoSpaceDE w:val="0"/>
              <w:snapToGrid w:val="0"/>
              <w:rPr>
                <w:color w:val="000000"/>
                <w:sz w:val="20"/>
                <w:szCs w:val="20"/>
              </w:rPr>
            </w:pPr>
            <w:r w:rsidRPr="002C4F7C">
              <w:rPr>
                <w:color w:val="000000"/>
                <w:sz w:val="20"/>
                <w:szCs w:val="20"/>
              </w:rPr>
              <w:t xml:space="preserve">Samochody do przewozu zwłok </w:t>
            </w:r>
            <w:r w:rsidRPr="002C4F7C">
              <w:rPr>
                <w:color w:val="000000"/>
                <w:sz w:val="20"/>
                <w:szCs w:val="20"/>
              </w:rPr>
              <w:br/>
              <w:t>i szczątków</w:t>
            </w:r>
          </w:p>
        </w:tc>
        <w:tc>
          <w:tcPr>
            <w:tcW w:w="528" w:type="pct"/>
          </w:tcPr>
          <w:p w:rsidR="00AF0FDB" w:rsidRPr="002C4F7C" w:rsidRDefault="00AF0FDB" w:rsidP="002C4F7C">
            <w:pPr>
              <w:autoSpaceDE w:val="0"/>
              <w:snapToGrid w:val="0"/>
              <w:jc w:val="center"/>
              <w:rPr>
                <w:color w:val="000000"/>
                <w:sz w:val="20"/>
                <w:szCs w:val="20"/>
              </w:rPr>
            </w:pPr>
            <w:r w:rsidRPr="002C4F7C">
              <w:rPr>
                <w:color w:val="000000"/>
                <w:sz w:val="20"/>
                <w:szCs w:val="20"/>
              </w:rPr>
              <w:t>09</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26</w:t>
            </w:r>
          </w:p>
        </w:tc>
        <w:tc>
          <w:tcPr>
            <w:tcW w:w="684" w:type="pct"/>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40"/>
        </w:trPr>
        <w:tc>
          <w:tcPr>
            <w:tcW w:w="1957" w:type="pct"/>
            <w:gridSpan w:val="2"/>
            <w:shd w:val="clear" w:color="auto" w:fill="E8E8E8"/>
          </w:tcPr>
          <w:p w:rsidR="00AF0FDB" w:rsidRPr="002C4F7C" w:rsidRDefault="00AF0FDB" w:rsidP="002C4F7C">
            <w:pPr>
              <w:autoSpaceDE w:val="0"/>
              <w:snapToGrid w:val="0"/>
              <w:rPr>
                <w:color w:val="000000"/>
                <w:sz w:val="20"/>
                <w:szCs w:val="20"/>
              </w:rPr>
            </w:pPr>
            <w:r w:rsidRPr="002C4F7C">
              <w:rPr>
                <w:color w:val="000000"/>
                <w:sz w:val="20"/>
                <w:szCs w:val="20"/>
              </w:rPr>
              <w:t>Samochody do przewozu bielizny</w:t>
            </w:r>
          </w:p>
        </w:tc>
        <w:tc>
          <w:tcPr>
            <w:tcW w:w="52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10</w:t>
            </w:r>
          </w:p>
        </w:tc>
        <w:tc>
          <w:tcPr>
            <w:tcW w:w="968"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4</w:t>
            </w:r>
          </w:p>
        </w:tc>
        <w:tc>
          <w:tcPr>
            <w:tcW w:w="684"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c>
          <w:tcPr>
            <w:tcW w:w="735" w:type="pct"/>
            <w:shd w:val="clear" w:color="auto" w:fill="E8E8E8"/>
          </w:tcPr>
          <w:p w:rsidR="00AF0FDB" w:rsidRPr="002C4F7C" w:rsidRDefault="00AF0FDB" w:rsidP="002C4F7C">
            <w:pPr>
              <w:autoSpaceDE w:val="0"/>
              <w:snapToGrid w:val="0"/>
              <w:jc w:val="center"/>
              <w:rPr>
                <w:color w:val="000000"/>
                <w:sz w:val="20"/>
                <w:szCs w:val="20"/>
              </w:rPr>
            </w:pPr>
            <w:r w:rsidRPr="002C4F7C">
              <w:rPr>
                <w:color w:val="000000"/>
                <w:sz w:val="20"/>
                <w:szCs w:val="20"/>
              </w:rPr>
              <w:t>0</w:t>
            </w:r>
          </w:p>
        </w:tc>
      </w:tr>
      <w:tr w:rsidR="00AF0FDB" w:rsidRPr="00FB0A2D">
        <w:trPr>
          <w:trHeight w:val="384"/>
        </w:trPr>
        <w:tc>
          <w:tcPr>
            <w:tcW w:w="1957" w:type="pct"/>
            <w:gridSpan w:val="2"/>
            <w:shd w:val="clear" w:color="auto" w:fill="E8E8E8"/>
          </w:tcPr>
          <w:p w:rsidR="00AF0FDB" w:rsidRPr="002C4F7C" w:rsidRDefault="00AF0FDB" w:rsidP="002C4F7C">
            <w:pPr>
              <w:autoSpaceDE w:val="0"/>
              <w:snapToGrid w:val="0"/>
              <w:jc w:val="both"/>
              <w:rPr>
                <w:b/>
                <w:bCs/>
                <w:color w:val="000000"/>
                <w:sz w:val="20"/>
                <w:szCs w:val="20"/>
              </w:rPr>
            </w:pPr>
            <w:r w:rsidRPr="002C4F7C">
              <w:rPr>
                <w:b/>
                <w:bCs/>
                <w:color w:val="000000"/>
                <w:sz w:val="20"/>
                <w:szCs w:val="20"/>
              </w:rPr>
              <w:t>Razem</w:t>
            </w:r>
          </w:p>
        </w:tc>
        <w:tc>
          <w:tcPr>
            <w:tcW w:w="528" w:type="pct"/>
          </w:tcPr>
          <w:p w:rsidR="00AF0FDB" w:rsidRPr="002C4F7C" w:rsidRDefault="00AF0FDB" w:rsidP="002C4F7C">
            <w:pPr>
              <w:autoSpaceDE w:val="0"/>
              <w:snapToGrid w:val="0"/>
              <w:jc w:val="center"/>
              <w:rPr>
                <w:color w:val="000000"/>
                <w:sz w:val="20"/>
                <w:szCs w:val="20"/>
              </w:rPr>
            </w:pPr>
            <w:r w:rsidRPr="002C4F7C">
              <w:rPr>
                <w:color w:val="000000"/>
                <w:sz w:val="20"/>
                <w:szCs w:val="20"/>
              </w:rPr>
              <w:t>11</w:t>
            </w:r>
          </w:p>
        </w:tc>
        <w:tc>
          <w:tcPr>
            <w:tcW w:w="968" w:type="pc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1159</w:t>
            </w:r>
          </w:p>
        </w:tc>
        <w:tc>
          <w:tcPr>
            <w:tcW w:w="684" w:type="pct"/>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0</w:t>
            </w:r>
          </w:p>
        </w:tc>
        <w:tc>
          <w:tcPr>
            <w:tcW w:w="735" w:type="pct"/>
            <w:shd w:val="clear" w:color="auto" w:fill="E8E8E8"/>
          </w:tcPr>
          <w:p w:rsidR="00AF0FDB" w:rsidRPr="002C4F7C" w:rsidRDefault="00AF0FDB" w:rsidP="002C4F7C">
            <w:pPr>
              <w:autoSpaceDE w:val="0"/>
              <w:snapToGrid w:val="0"/>
              <w:jc w:val="center"/>
              <w:rPr>
                <w:b/>
                <w:bCs/>
                <w:color w:val="000000"/>
                <w:sz w:val="20"/>
                <w:szCs w:val="20"/>
              </w:rPr>
            </w:pPr>
            <w:r w:rsidRPr="002C4F7C">
              <w:rPr>
                <w:b/>
                <w:bCs/>
                <w:color w:val="000000"/>
                <w:sz w:val="20"/>
                <w:szCs w:val="20"/>
              </w:rPr>
              <w:t>0</w:t>
            </w:r>
          </w:p>
        </w:tc>
      </w:tr>
    </w:tbl>
    <w:p w:rsidR="00AF0FDB" w:rsidRDefault="00AF0FDB" w:rsidP="004B231F">
      <w:pPr>
        <w:jc w:val="both"/>
      </w:pPr>
      <w:r>
        <w:t xml:space="preserve">Stan sanitarno – techniczny dworca autobusowego PKS w Poznaniu S.A. nie budził zastrzeżeń. Perony w ruchu krajowym i międzynarodowym, peron dla komunikacji gminnej oraz perony przyjazdowe utrzymane były właściwie pod względem sanitarno – higienicznym, pomimo tego, że część peronów nie posiada zadaszenia. Również pomieszczenia dworca tj. poczekalnia, toalety dla podróżnych, kasy biletowe w ruchu krajowym oraz centrum biletowe w ruchu międzynarodowym, a także pomieszczenie do przechowywania bagażu, pomieszczenia dyspozytora, kierownika dworca, pomocnicze, w tym służbowe toalety, jadalnia i szatnie utrzymane były w czystości. Wszystkie pomieszczenia dworca posiadają klimatyzację. W 2018 roku  Dworzec PKS w Poznaniu został skontrolowany 3 razy. Przeprowadzone kontrole nie wykazały zaniedbań sanitarno – porządkowych.  </w:t>
      </w:r>
    </w:p>
    <w:p w:rsidR="00AF0FDB" w:rsidRDefault="00AF0FDB" w:rsidP="00D9538B">
      <w:pPr>
        <w:jc w:val="both"/>
      </w:pPr>
      <w:r>
        <w:t>W roku sprawozdawczym skontrolowano także dworce będące w gestii Zarządu Transportu Miejskiego w Poznaniu, Przystanek Tramwajowo – Autobusowy Poznańskiego Szybkiego Tramwaju, Dworzec Zachodni oraz Przystanki tramwajowe Poznańskiego Szybkiego Tramwaju Kaponiera, Piaśnicka/Rynek, Piaśnicka/Kurlandzka, za których stan sanitarno – techniczny odpowiada MPK w Poznaniu Sp. z o.o.. Stan sanitarno – higieniczny dworców autobusowych oraz Przystanków PST nie budził zastrzeżeń.</w:t>
      </w:r>
    </w:p>
    <w:p w:rsidR="00AF0FDB" w:rsidRDefault="00AF0FDB" w:rsidP="004B231F">
      <w:pPr>
        <w:jc w:val="both"/>
      </w:pPr>
      <w:r>
        <w:t>Skontrolowane bazy transportu autobusowego (14 obiektów) i tramwajowego (3 obiekty) spełniają wymagania sanitarno – higieniczne. Również baza Parkowej Kolejki „Maltanka” MPK w Poznaniu Sp. z o.o. nie budzi zastrzeżeń sanitarnych.</w:t>
      </w:r>
    </w:p>
    <w:p w:rsidR="00AF0FDB" w:rsidRDefault="00AF0FDB" w:rsidP="00407858">
      <w:pPr>
        <w:jc w:val="both"/>
      </w:pPr>
      <w:r>
        <w:t xml:space="preserve">W ewidencji Państwowego Powiatowego Inspektora Sanitarnego w Poznaniu znajduje  się 55 dworców i stacji kolejowych (27 w miastach i 28 na wsi). Skontrolowano 41 obiektów. Ogółem przeprowadzono 45 kontroli. Dworce stacji PKP Poznań Główny utrzymane są we właściwym stanie sanitarno – higienicznym. Drobne uchybienia sanitarne stwierdzane podczas kontroli były usuwane niezwłocznie. Kontrole Dworca PKP Poznań Główny podobnie jak w roku ubiegłym wykazywały zaniedbania sanitarno – porządkowe dotyczące głównie obszarów podlegających Zarządowi Dróg Miejskich w Poznaniu, zlokalizowanych w sąsiedztwie kompleksu dworcowego, chociaż już w mniejszym stopniu niż w latach ubiegłych. Stwierdzone uchybienia dotyczyły zanieczyszczenia przestrzeni w obrębie wind i wszystkich  schodów  prowadzących  z Mostu Dworcowego na perony i na ul. Dworcową. Wobec powyższego, wydawano zalecenia pokontrolne. </w:t>
      </w:r>
    </w:p>
    <w:p w:rsidR="00AF0FDB" w:rsidRDefault="00AF0FDB" w:rsidP="004B231F">
      <w:pPr>
        <w:jc w:val="both"/>
      </w:pPr>
      <w:r>
        <w:t xml:space="preserve">Pomieszczenia budynków dworcowych Dworca Letniego i Dworca Zachodniego, jak również nowy budynek dworcowy (hol, toalety, kasy biletowe)  utrzymane były we właściwym stanie sanitarno – higienicznym. </w:t>
      </w:r>
    </w:p>
    <w:p w:rsidR="00AF0FDB" w:rsidRDefault="00AF0FDB" w:rsidP="003E7A4E">
      <w:pPr>
        <w:jc w:val="both"/>
      </w:pPr>
      <w:r>
        <w:t xml:space="preserve">W holu przed kasami biletowymi (poziom pierwszy nowego budynku dworcowego) umieszczony jest defibrylator z instrukcją obsługi, a na poziomie drugim dworca przygotowano pomieszczenie dla doraźnej pomocy lekarskiej (z kozetką,  parawanem, biurkiem z apteczką pierwszej pomocy, ciśnieniomierzem, środkami dezynfekcyjnymi oraz kabiną WC  przystosowaną dla osób niepełnosprawnych).                                  </w:t>
      </w:r>
    </w:p>
    <w:p w:rsidR="00AF0FDB" w:rsidRDefault="00AF0FDB" w:rsidP="00D9538B">
      <w:pPr>
        <w:jc w:val="both"/>
      </w:pPr>
      <w:r>
        <w:t xml:space="preserve">Stacje i przystanki osobowe PKP uznano za utrzymane dostatecznie pod względem sanitarnym. Wszystkie obiekty były na bieżąco sprzątane przez firmy zewnętrzne. Niestety nadal część tych obiektów jest dewastowanych. Ponadto wiele obiektów pozbawionych jest toalet, natomiast toalety istniejące są wyeksploatowane, coraz częściej ustawia się  kabiny  TOI-TOI. Znaczna część obiektów dworcowych pozbawiona jest bieżącej wody dla podróżnych lub nie posiada czynnych poczekalni. Gospodarka odpadami komunalnymi i płynnymi prowadzona jest w sposób właściwy. Dworce dostosowane są dla osób niepełnoprawnych, wyposażone są w windy, rampy oraz przejścia przez torowiska, przez które przeprowadzają uprawnieni pracownicy po uprzednim zgłoszeniu przez podróżnego. </w:t>
      </w:r>
    </w:p>
    <w:p w:rsidR="00AF0FDB" w:rsidRPr="00FB0A2D" w:rsidRDefault="00AF0FDB" w:rsidP="00B036C7">
      <w:pPr>
        <w:jc w:val="both"/>
        <w:rPr>
          <w:rFonts w:ascii="Arial" w:hAnsi="Arial" w:cs="Arial"/>
          <w:b/>
          <w:bCs/>
          <w:sz w:val="28"/>
          <w:szCs w:val="28"/>
        </w:rPr>
      </w:pPr>
      <w:r>
        <w:t>Skontrolowano również 2 punkty oczystkowe wagonów pasażerskich: Punkt Oczystkowy Wagonów Pasażerskich „Przewozy Regionalne” Sp. z o. o. Oddział Wielkopolski z siedzibą w Poznaniu oraz Punkt Oczystkowy Wagonów Pasażerskich „Koleje Wielkopolskie” Sp. z o. o. w Poznaniu.  Przeprowadzono w sumie 2 kontrole tych obiektów, nie stwierdzono uchybień sanitarnych.</w:t>
      </w:r>
    </w:p>
    <w:p w:rsidR="00AF0FDB" w:rsidRDefault="00AF0FDB" w:rsidP="00426A1B">
      <w:pPr>
        <w:pStyle w:val="Heading1"/>
        <w:spacing w:before="0"/>
        <w:rPr>
          <w:rFonts w:ascii="Times New Roman" w:hAnsi="Times New Roman" w:cs="Times New Roman"/>
          <w:sz w:val="24"/>
          <w:szCs w:val="24"/>
        </w:rPr>
      </w:pPr>
      <w:bookmarkStart w:id="243" w:name="_Toc855388"/>
      <w:bookmarkStart w:id="244" w:name="_Toc938831"/>
      <w:r w:rsidRPr="00082602">
        <w:rPr>
          <w:rFonts w:ascii="Times New Roman" w:hAnsi="Times New Roman" w:cs="Times New Roman"/>
          <w:sz w:val="24"/>
          <w:szCs w:val="24"/>
        </w:rPr>
        <w:t>Zakłady fryzjersko – kosmetyczne, gabinety kosmetyczne,</w:t>
      </w:r>
      <w:bookmarkEnd w:id="243"/>
      <w:bookmarkEnd w:id="244"/>
      <w:r w:rsidRPr="00082602">
        <w:rPr>
          <w:rFonts w:ascii="Times New Roman" w:hAnsi="Times New Roman" w:cs="Times New Roman"/>
          <w:sz w:val="24"/>
          <w:szCs w:val="24"/>
        </w:rPr>
        <w:t xml:space="preserve"> </w:t>
      </w:r>
    </w:p>
    <w:p w:rsidR="00AF0FDB" w:rsidRDefault="00AF0FDB" w:rsidP="00E214AF">
      <w:pPr>
        <w:pStyle w:val="Heading1"/>
        <w:spacing w:before="0"/>
        <w:rPr>
          <w:rFonts w:ascii="Times New Roman" w:hAnsi="Times New Roman" w:cs="Times New Roman"/>
          <w:sz w:val="24"/>
          <w:szCs w:val="24"/>
        </w:rPr>
      </w:pPr>
      <w:bookmarkStart w:id="245" w:name="_Toc855389"/>
      <w:bookmarkStart w:id="246" w:name="_Toc938832"/>
      <w:r w:rsidRPr="00082602">
        <w:rPr>
          <w:rFonts w:ascii="Times New Roman" w:hAnsi="Times New Roman" w:cs="Times New Roman"/>
          <w:sz w:val="24"/>
          <w:szCs w:val="24"/>
        </w:rPr>
        <w:t>gabinety odnowy biologicznej, gabinety tatuażu, solaria</w:t>
      </w:r>
      <w:bookmarkEnd w:id="245"/>
      <w:bookmarkEnd w:id="246"/>
    </w:p>
    <w:p w:rsidR="00AF0FDB" w:rsidRPr="00B036C7" w:rsidRDefault="00AF0FDB" w:rsidP="00B036C7"/>
    <w:p w:rsidR="00AF0FDB" w:rsidRDefault="00AF0FDB" w:rsidP="00E9709A">
      <w:pPr>
        <w:pStyle w:val="Tekstpodstawowy31"/>
        <w:spacing w:line="360" w:lineRule="auto"/>
        <w:jc w:val="both"/>
      </w:pPr>
      <w:r>
        <w:rPr>
          <w:b w:val="0"/>
          <w:bCs w:val="0"/>
          <w:sz w:val="24"/>
          <w:szCs w:val="24"/>
        </w:rPr>
        <w:t>Na terenie miasta Poznania i powiatu poznańskiego znajduje się łącznie 2005 obiektów, takich jak: zakłady fryzjerskie, kosmetyczne, fryzjersko – kosmetyczne, gabinety odnowy biologicznej, solaria i gabinety tatuażu. W tej grupie skontrolowano 904 obiekty. Przeprowadzone w ramach bieżącego nadzoru kontrole sanitarne nie wykazały większych nieprawidłowości, jedynie w 3 przypadkach kontrola wykazała naruszenie przepisów sanitarno – higienicznych, w związku z czym nałożono mandaty karne.</w:t>
      </w:r>
    </w:p>
    <w:p w:rsidR="00AF0FDB" w:rsidRDefault="00AF0FDB" w:rsidP="00E9709A">
      <w:pPr>
        <w:jc w:val="both"/>
      </w:pPr>
      <w:r>
        <w:t>Uchybienia dotyczyły braku zachowania bieżącej czystości na stanowiskach pracy, nieprawidłowej segregacji narzędzi oraz braku ich dezynfekcji i sterylizacji, a także braku procedur zapewniających ochronę przed zakażeniami i chorobami zakaźnymi.</w:t>
      </w:r>
    </w:p>
    <w:p w:rsidR="00AF0FDB" w:rsidRDefault="00AF0FDB" w:rsidP="00C02775">
      <w:pPr>
        <w:jc w:val="both"/>
      </w:pPr>
      <w:r>
        <w:t>Poza wyżej omówionymi przypadkami, w skontrolowanych zakładach narzędzia używane do zabiegów nienaruszających ciągłości tkanki są myte i dezynfekowane po każdym użyciu. Czas ekspozycji dezynfekowanego sprzętu, zależny jest od typu zastosowanego chemicznego środka dezynfekcyjnego oraz jego stężenia. Parametry dobierane są zgodnie z zaleceniami producenta. Wszystkie stosowane środki zostały dopuszczone do obrotu. W odniesieniu do narzędzi w wyniku, których mogło dojść do  naruszenia ciągłości tkanki stosowana jest dezynfekcja w pojemnikach przy pomocy preparatów chemicznych lub wykonywana w myjkach ultradźwiękowych oraz sterylizacja. Sterylizacja narzędzi w skontrolowanych obiektach, w których wykonywane są zabiegi z naruszeniem ciągłości tkanki w 71 % odbywa się przy użyciu sterylizatora kulkowego. Z uwagi jednak na brak  testów potwierdzających skuteczność sterylizacji taką metodą, podczas kontroli zalecano sterylizację parą wodną tj. przy użyciu autoklawu. Sterylizację przy</w:t>
      </w:r>
      <w:r>
        <w:rPr>
          <w:color w:val="FF0000"/>
        </w:rPr>
        <w:t xml:space="preserve"> </w:t>
      </w:r>
      <w:r>
        <w:t>użyciu autoklawu odnotowano w 26 % skontrolowanych w 2018 roku obiektach. Natomiast w przypadku 2 % sterylizacja wykonywana jest przez firmy zewnętrzne. W pozostałych obiektach nie ma potrzeby wykonywania sterylizacji, z uwagi na stosowanie sprzętu jednorazowego.</w:t>
      </w:r>
    </w:p>
    <w:p w:rsidR="00AF0FDB" w:rsidRDefault="00AF0FDB" w:rsidP="00E9709A">
      <w:pPr>
        <w:jc w:val="both"/>
      </w:pPr>
      <w:r>
        <w:t xml:space="preserve">Narzędzia wielokrotnego użytku sterylizowane w autoklawie, przechowywane </w:t>
      </w:r>
      <w:r>
        <w:br/>
        <w:t xml:space="preserve">są w rękawach papierowo – foliowych opisanych datą sterylizacji narzędzi. Natomiast </w:t>
      </w:r>
      <w:r>
        <w:br/>
        <w:t xml:space="preserve">w odniesieniu do sterylizacji w sterylizatorach kulkowych sprzęt jest sterylizowany dwukrotnie przed i po wykonanym zabiegu. Sprzęt przechowywany jest w czystych, zdezynfekowanych pojemnikach. </w:t>
      </w:r>
    </w:p>
    <w:p w:rsidR="00AF0FDB" w:rsidRDefault="00AF0FDB" w:rsidP="00E9709A">
      <w:pPr>
        <w:jc w:val="both"/>
      </w:pPr>
      <w:r>
        <w:t>Zużyty sprzęt jednorazowy oraz materiały, które mogły ulec zanieczyszczeniu krwią lub innymi wydzielinami gromadzone są w miejscu ich powstawania, w specjalnych oznakowanych pojemnikach odpornych na przekłucie i traktowane są jak odpady niebezpieczne. Odbiorem odpadów niebezpiecznych zajmują się wyspecjalizowane firmy.</w:t>
      </w:r>
      <w:r>
        <w:br/>
        <w:t>Podczas przeprowadzanych kontroli sanitarnych w obiektach stosujących środki dezynfekcyjne zwracano uwagę na konieczność posiadania i zapoznania się z kartami charakterystyki tych środków. W przypadku braku kart charakterystyki wydano stosowne zalecenia w tym zakresie.</w:t>
      </w:r>
    </w:p>
    <w:p w:rsidR="00AF0FDB" w:rsidRDefault="00AF0FDB" w:rsidP="00E9709A">
      <w:pPr>
        <w:jc w:val="both"/>
      </w:pPr>
      <w:r>
        <w:t xml:space="preserve">W dalszym ciągu stosownie do ustawy z dnia 5 grudnia 2008 r. o zapobieganiu oraz zwalczaniu zakażeń i chorób zakaźnych u ludzi w roku 2018 w skontrolowanych zakładach kosmetycznych, fryzjersko – kosmetycznych i tatuażu sprawdzano wykonanie wydanych poleceń, dotyczących wdrożenia i stosowania procedur zapewniających ochronę przed zakażeniami i chorobami zakaźnymi. W wyniku podjętych działań kontrolnych stwierdzono, że we wszystkich obiektach opracowano i wdrożono procedury zapewniające ochronę przed zakażeniami i chorobami zakaźnymi, jedynie w 1 przypadku nałożono mandat karny. </w:t>
      </w:r>
    </w:p>
    <w:p w:rsidR="00AF0FDB" w:rsidRDefault="00AF0FDB" w:rsidP="00E9709A">
      <w:pPr>
        <w:jc w:val="both"/>
      </w:pPr>
      <w:r>
        <w:t>W kontrolowanych zakładach stosowana jest bielizna jednorazowa (około 98 %)</w:t>
      </w:r>
      <w:r>
        <w:br/>
        <w:t xml:space="preserve">i wielorazowego użytku, która prana jest poza zakładem (w pralni). Bielizna brudna gromadzona jest w wyznaczonych do tego celu pojemnikach, natomiast czysta przechowywana w szafach oraz na stanowiskach pracy w miejscach wyznaczonych. Odpady komunalne gromadzone są w przeznaczonych do tego celu pojemnikach, których stan sanitarny oraz techniczny nie budził zastrzeżeń. </w:t>
      </w:r>
    </w:p>
    <w:p w:rsidR="00AF0FDB" w:rsidRDefault="00AF0FDB" w:rsidP="00E9709A">
      <w:pPr>
        <w:jc w:val="both"/>
        <w:rPr>
          <w:rFonts w:ascii="Arial" w:hAnsi="Arial" w:cs="Arial"/>
          <w:b/>
          <w:bCs/>
          <w:sz w:val="28"/>
          <w:szCs w:val="28"/>
        </w:rPr>
      </w:pPr>
      <w:r>
        <w:t>W skontrolowanych obiektach w aglomeracji poznańskiej opłata za odbiór odpadów komunalnych jest uiszczana do Związku Międzygminnego „Gospodarka Odpadami Aglomeracji Poznańskiej”, Związku Międzygminnego „Centrum Zagospodarowania Odpadów – SELEKT” w Czempiniu, a w pozostałych  przypadkach do właściwych urzędów miast i gmin. W części obiektów</w:t>
      </w:r>
      <w:r>
        <w:rPr>
          <w:b/>
          <w:bCs/>
        </w:rPr>
        <w:t xml:space="preserve"> </w:t>
      </w:r>
      <w:r>
        <w:t>opłata zawarta jest w czynszu za lokal. Odbiorem odpadów komunalnych zajmują się firmy posiadające wymagane zezwolenia.</w:t>
      </w:r>
    </w:p>
    <w:p w:rsidR="00AF0FDB" w:rsidRPr="00426A1B" w:rsidRDefault="00AF0FDB" w:rsidP="00426A1B">
      <w:pPr>
        <w:pStyle w:val="Heading1"/>
        <w:rPr>
          <w:rFonts w:ascii="Times New Roman" w:hAnsi="Times New Roman" w:cs="Times New Roman"/>
          <w:sz w:val="24"/>
          <w:szCs w:val="24"/>
        </w:rPr>
      </w:pPr>
      <w:bookmarkStart w:id="247" w:name="_Toc855390"/>
      <w:bookmarkStart w:id="248" w:name="_Toc938833"/>
      <w:r w:rsidRPr="005964D1">
        <w:rPr>
          <w:rFonts w:ascii="Times New Roman" w:hAnsi="Times New Roman" w:cs="Times New Roman"/>
          <w:sz w:val="24"/>
          <w:szCs w:val="24"/>
        </w:rPr>
        <w:t>Hałas komunalny</w:t>
      </w:r>
      <w:bookmarkEnd w:id="247"/>
      <w:bookmarkEnd w:id="248"/>
    </w:p>
    <w:p w:rsidR="00AF0FDB" w:rsidRDefault="00AF0FDB" w:rsidP="008B53F2">
      <w:pPr>
        <w:pStyle w:val="Standard"/>
        <w:spacing w:after="0" w:line="360" w:lineRule="auto"/>
        <w:jc w:val="both"/>
        <w:rPr>
          <w:rFonts w:ascii="Times New Roman" w:hAnsi="Times New Roman" w:cs="Times New Roman"/>
          <w:sz w:val="24"/>
          <w:szCs w:val="24"/>
        </w:rPr>
      </w:pPr>
      <w:r w:rsidRPr="00FB0A2D">
        <w:t xml:space="preserve"> </w:t>
      </w:r>
      <w:r>
        <w:rPr>
          <w:rFonts w:ascii="Times New Roman" w:hAnsi="Times New Roman" w:cs="Times New Roman"/>
          <w:sz w:val="24"/>
          <w:szCs w:val="24"/>
        </w:rPr>
        <w:t>W 2018 roku Państwowy Powiatowy Inspektor Sanitarny w Poznaniu prowadził 17 spraw dotyczących hałasu. Ogółem w roku 2018 wpłynęło 15 interwencji, z czego 2 nie należały do kompetencji organów Państwowej Inspekcji Sanitarnej.</w:t>
      </w:r>
    </w:p>
    <w:p w:rsidR="00AF0FDB" w:rsidRDefault="00AF0FDB" w:rsidP="008B53F2">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Źródłem hałasu były urządzenia i maszyny zamontowane w zakładach handlowo-usługowych takich jak sklepy spożywcze, lokale gastronomiczne oraz urządzenia instalacyjne budynków (winda, węzeł cieplny, kotłownia, instalacja centralnej wody oraz ogrzewania, instalacja klimatyzacyjna, instalacja wentylacyjna, basen kąpielowy).</w:t>
      </w:r>
    </w:p>
    <w:p w:rsidR="00AF0FDB" w:rsidRDefault="00AF0FDB" w:rsidP="008B53F2">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Przeprowadzono 20 kontroli w tym 4 kontrole pomiarowe.</w:t>
      </w:r>
    </w:p>
    <w:p w:rsidR="00AF0FDB" w:rsidRPr="008B53F2" w:rsidRDefault="00AF0FDB" w:rsidP="008B53F2">
      <w:pPr>
        <w:pStyle w:val="Standard"/>
        <w:spacing w:after="0" w:line="360" w:lineRule="auto"/>
        <w:jc w:val="both"/>
        <w:rPr>
          <w:rFonts w:cs="Times New Roman"/>
        </w:rPr>
      </w:pPr>
      <w:r>
        <w:rPr>
          <w:rFonts w:ascii="Times New Roman" w:hAnsi="Times New Roman" w:cs="Times New Roman"/>
          <w:sz w:val="24"/>
          <w:szCs w:val="24"/>
        </w:rPr>
        <w:t xml:space="preserve">W 1 przypadku </w:t>
      </w:r>
      <w:r>
        <w:rPr>
          <w:rFonts w:ascii="Times New Roman" w:eastAsia="Times New Roman" w:hAnsi="Times New Roman" w:cs="Times New Roman"/>
          <w:sz w:val="24"/>
          <w:szCs w:val="24"/>
        </w:rPr>
        <w:t xml:space="preserve">stwierdzono przekroczenia dopuszczalnych wartości poziomu dźwięku A określonego w </w:t>
      </w:r>
      <w:r>
        <w:rPr>
          <w:rFonts w:ascii="Times New Roman" w:hAnsi="Times New Roman" w:cs="Times New Roman"/>
          <w:sz w:val="24"/>
          <w:szCs w:val="24"/>
        </w:rPr>
        <w:t xml:space="preserve">normie PN-87/B-02151/02, w związku z czym Państwowy Powiatowy Inspektor Sanitarny w Poznaniu, </w:t>
      </w:r>
      <w:r>
        <w:rPr>
          <w:rStyle w:val="warheader"/>
          <w:rFonts w:ascii="Times New Roman" w:hAnsi="Times New Roman" w:cs="Times New Roman"/>
          <w:sz w:val="24"/>
          <w:szCs w:val="24"/>
        </w:rPr>
        <w:t>biorąc pod uwagę</w:t>
      </w:r>
      <w:r>
        <w:rPr>
          <w:rFonts w:ascii="Times New Roman" w:hAnsi="Times New Roman" w:cs="Times New Roman"/>
          <w:sz w:val="24"/>
          <w:szCs w:val="24"/>
        </w:rPr>
        <w:t xml:space="preserve"> treść wyroku </w:t>
      </w:r>
      <w:r>
        <w:rPr>
          <w:rStyle w:val="info-list-value-uzasadnienie"/>
          <w:rFonts w:ascii="Times New Roman" w:hAnsi="Times New Roman" w:cs="Times New Roman"/>
          <w:sz w:val="24"/>
          <w:szCs w:val="24"/>
        </w:rPr>
        <w:t xml:space="preserve">Naczelnego Sądu Administracyjnego z dnia 4 marca 2015 r. sygn. akt </w:t>
      </w:r>
      <w:r>
        <w:rPr>
          <w:rStyle w:val="warheader"/>
          <w:rFonts w:ascii="Times New Roman" w:hAnsi="Times New Roman" w:cs="Times New Roman"/>
          <w:sz w:val="24"/>
          <w:szCs w:val="24"/>
        </w:rPr>
        <w:t xml:space="preserve">II OSK 1840/13, </w:t>
      </w:r>
      <w:r>
        <w:rPr>
          <w:rFonts w:ascii="Times New Roman" w:hAnsi="Times New Roman" w:cs="Times New Roman"/>
          <w:sz w:val="24"/>
          <w:szCs w:val="24"/>
        </w:rPr>
        <w:t>przekazał sprawy do właściwego miejscowo Powiatowego Inspektora Nadzoru Budowlanego dla miasta Poznania celem załatwienia zgodnie z posiadanymi kompetencjami.</w:t>
      </w:r>
    </w:p>
    <w:p w:rsidR="00AF0FDB" w:rsidRPr="00304E38" w:rsidRDefault="00AF0FDB" w:rsidP="00304E38">
      <w:pPr>
        <w:pStyle w:val="Heading1"/>
        <w:rPr>
          <w:rFonts w:ascii="Times New Roman" w:hAnsi="Times New Roman" w:cs="Times New Roman"/>
          <w:sz w:val="24"/>
          <w:szCs w:val="24"/>
        </w:rPr>
      </w:pPr>
      <w:bookmarkStart w:id="249" w:name="_Toc855391"/>
      <w:bookmarkStart w:id="250" w:name="_Toc938834"/>
      <w:r w:rsidRPr="005964D1">
        <w:rPr>
          <w:rFonts w:ascii="Times New Roman" w:hAnsi="Times New Roman" w:cs="Times New Roman"/>
          <w:sz w:val="24"/>
          <w:szCs w:val="24"/>
        </w:rPr>
        <w:t>Interwencje</w:t>
      </w:r>
      <w:bookmarkEnd w:id="249"/>
      <w:bookmarkEnd w:id="250"/>
    </w:p>
    <w:p w:rsidR="00AF0FDB" w:rsidRDefault="00AF0FDB" w:rsidP="009D5E10">
      <w:pPr>
        <w:jc w:val="both"/>
      </w:pPr>
      <w:r>
        <w:t xml:space="preserve">W 2018 roku do Oddziału Higieny Komunalnej wpłynęło 218 interwencji od mieszkańców (w 2017 roku 213 interwencji). Najwięcej spraw dotyczyło posesji mieszkalnych i mieszkań (99 interwencji), w zakresie: gospodarki odpadami komunalnymi, gospodarki ściekami, zanieczyszczenia posesji i domów przez gołębie a także występowania insektów i gryzoni. Zgłoszenia dotyczyły także  zanieczyszczonych piaskownic ogólnodostępnych, uciążliwych lokatorów, złego stanu sanitarnego budynków oraz niewłaściwych warunków mieszkaniowych. Dwie interwencje dotyczyły uciążliwości zapachowych, natomiast 15 uciążliwości  hałasowych. </w:t>
      </w:r>
    </w:p>
    <w:p w:rsidR="00AF0FDB" w:rsidRDefault="00AF0FDB" w:rsidP="008B53F2">
      <w:pPr>
        <w:jc w:val="both"/>
      </w:pPr>
      <w:r>
        <w:t>W ramach interwencji zgłaszano nieprawidłowości w zakładach obiektów użyteczności publicznej – 50 interwencji. Dotyczyły one głównie niewłaściwego stanu sanitarnego oraz niewłaściwego przeprowadzania procesów dezynfekcji w zakładach fryzjerskich, kosmetycznych i fryzjersko – kosmetycznych oraz  gabinetach masażu, toaletach publicznych i klubach fitness a  także niewłaściwego stanu sanitarno – higienicznego w obiektach świadczących usługi noclegowe, obiektach sportowych oraz areszcie  śledczym.</w:t>
      </w:r>
    </w:p>
    <w:p w:rsidR="00AF0FDB" w:rsidRDefault="00AF0FDB" w:rsidP="000F1936">
      <w:pPr>
        <w:spacing w:after="0"/>
        <w:jc w:val="both"/>
      </w:pPr>
      <w:r>
        <w:t xml:space="preserve">Wpłynęło również 16 interwencji związanych z działalnością podmiotów wykonujących działalność leczniczą, dotyczących głównie niewłaściwego stanu sanitarno – higienicznego pomieszczeń i wyposażenia, niewłaściwego postępowania z odpadami niebezpiecznymi, braku przeprowadzania dezynfekcji powierzchni oraz narzędzi wielokrotnego użytku, braku środków higienicznych w toaletach dla pacjentów oraz nieprzestrzegania procedur sanitarnych.   </w:t>
      </w:r>
    </w:p>
    <w:p w:rsidR="00AF0FDB" w:rsidRDefault="00AF0FDB" w:rsidP="000F1936">
      <w:pPr>
        <w:spacing w:before="0" w:after="0"/>
        <w:jc w:val="both"/>
      </w:pPr>
    </w:p>
    <w:p w:rsidR="00AF0FDB" w:rsidRPr="00CF6AC7" w:rsidRDefault="00AF0FDB" w:rsidP="000F1936">
      <w:pPr>
        <w:spacing w:before="0" w:after="0"/>
        <w:jc w:val="both"/>
      </w:pPr>
      <w:r>
        <w:t>Odnotowano 15 interwencji dotyczących kwestionowanej jakości wody z wodociągów: miejskiego Poznań (5) oraz wiejskich Joanka (2), Biskupice (2), Kiączyn, Skórzewo, Kicin, Annowo, Promnice i Siekierki. Interweniujący skarżyli się głównie na niewłaściwą jakość wody w zakresie smaku, zapachu, mętności, a także na brązowe zabarwienie wody, występujący osad i brud w wodzie, a także ponadnormatywną zawartość żelaza i manganu. Zgłoszone interwencje nie potwierdziły się.</w:t>
      </w:r>
    </w:p>
    <w:p w:rsidR="00AF0FDB" w:rsidRDefault="00AF0FDB" w:rsidP="008B53F2">
      <w:pPr>
        <w:jc w:val="both"/>
      </w:pPr>
      <w:r>
        <w:rPr>
          <w:lang/>
        </w:rPr>
        <w:t xml:space="preserve">Ponadto interweniowano w sprawach zanieczyszczenia wody w basenach kąpielowych  </w:t>
      </w:r>
      <w:r>
        <w:br/>
      </w:r>
      <w:r>
        <w:rPr>
          <w:lang/>
        </w:rPr>
        <w:t>i w miejscach wykorzystywan</w:t>
      </w:r>
      <w:r>
        <w:t>ych</w:t>
      </w:r>
      <w:r>
        <w:rPr>
          <w:lang/>
        </w:rPr>
        <w:t xml:space="preserve"> do kąpieli.</w:t>
      </w:r>
    </w:p>
    <w:p w:rsidR="00AF0FDB" w:rsidRDefault="00AF0FDB" w:rsidP="008B53F2">
      <w:pPr>
        <w:jc w:val="both"/>
      </w:pPr>
      <w:r>
        <w:t xml:space="preserve">W każdym z wyżej wymienionych przypadków Państwowy Powiatowy Inspektor Sanitarny </w:t>
      </w:r>
      <w:r>
        <w:br/>
        <w:t>w Poznaniu przeprowadził odpowiednie działania, adekwatne do stwierdzonej sytuacji. Interwencje, które nie należały do kompetencji Państwowej Inspekcji Sanitarnej przekazywano do właściwego Powiatowego Inspektora Nadzoru Budowlanego, Wojewódzkiej Inspekcji Ochrony Środowiska, Prezydenta miasta Poznania oraz  urzędów miast i gmin.</w:t>
      </w:r>
    </w:p>
    <w:p w:rsidR="00AF0FDB" w:rsidRDefault="00AF0FDB">
      <w:pPr>
        <w:spacing w:before="0" w:after="160" w:line="259" w:lineRule="auto"/>
      </w:pPr>
    </w:p>
    <w:p w:rsidR="00AF0FDB" w:rsidRDefault="00AF0FDB">
      <w:pPr>
        <w:spacing w:before="0" w:after="160" w:line="259" w:lineRule="auto"/>
      </w:pPr>
    </w:p>
    <w:p w:rsidR="00AF0FDB" w:rsidRPr="005612E1" w:rsidRDefault="00AF0FDB" w:rsidP="005612E1"/>
    <w:p w:rsidR="00AF0FDB" w:rsidRPr="005612E1" w:rsidRDefault="00AF0FDB" w:rsidP="005612E1"/>
    <w:p w:rsidR="00AF0FDB" w:rsidRPr="005612E1" w:rsidRDefault="00AF0FDB" w:rsidP="005612E1"/>
    <w:p w:rsidR="00AF0FDB" w:rsidRPr="005612E1" w:rsidRDefault="00AF0FDB" w:rsidP="005612E1"/>
    <w:p w:rsidR="00AF0FDB" w:rsidRDefault="00AF0FDB" w:rsidP="005612E1"/>
    <w:p w:rsidR="00AF0FDB" w:rsidRDefault="00AF0FDB" w:rsidP="005612E1"/>
    <w:p w:rsidR="00AF0FDB" w:rsidRDefault="00AF0FDB" w:rsidP="005612E1">
      <w:pPr>
        <w:pStyle w:val="Heading1"/>
        <w:rPr>
          <w:rFonts w:cs="Times New Roman"/>
        </w:rPr>
      </w:pPr>
      <w:r>
        <w:rPr>
          <w:rFonts w:cs="Times New Roman"/>
        </w:rPr>
        <w:tab/>
      </w:r>
      <w:bookmarkStart w:id="251" w:name="_Toc411600368"/>
      <w:bookmarkStart w:id="252" w:name="_Toc412019576"/>
    </w:p>
    <w:p w:rsidR="00AF0FDB" w:rsidRDefault="00AF0FDB" w:rsidP="005612E1">
      <w:pPr>
        <w:pStyle w:val="Heading1"/>
        <w:rPr>
          <w:rFonts w:cs="Times New Roman"/>
        </w:rPr>
      </w:pPr>
    </w:p>
    <w:p w:rsidR="00AF0FDB" w:rsidRDefault="00AF0FDB" w:rsidP="005612E1">
      <w:pPr>
        <w:pStyle w:val="Heading1"/>
        <w:rPr>
          <w:rFonts w:cs="Times New Roman"/>
        </w:rPr>
      </w:pPr>
    </w:p>
    <w:p w:rsidR="00AF0FDB" w:rsidRDefault="00AF0FDB" w:rsidP="005612E1">
      <w:pPr>
        <w:pStyle w:val="Heading1"/>
        <w:rPr>
          <w:rFonts w:cs="Times New Roman"/>
        </w:rPr>
      </w:pPr>
    </w:p>
    <w:p w:rsidR="00AF0FDB" w:rsidRDefault="00AF0FDB" w:rsidP="005612E1">
      <w:pPr>
        <w:pStyle w:val="Heading1"/>
        <w:rPr>
          <w:rFonts w:cs="Times New Roman"/>
        </w:rPr>
      </w:pPr>
    </w:p>
    <w:p w:rsidR="00AF0FDB" w:rsidRDefault="00AF0FDB" w:rsidP="003E0F88"/>
    <w:p w:rsidR="00AF0FDB" w:rsidRDefault="00AF0FDB" w:rsidP="003E0F88"/>
    <w:p w:rsidR="00AF0FDB" w:rsidRPr="003E0F88" w:rsidRDefault="00AF0FDB" w:rsidP="003E0F88"/>
    <w:p w:rsidR="00AF0FDB" w:rsidRPr="002C5602" w:rsidRDefault="00AF0FDB" w:rsidP="00301544">
      <w:pPr>
        <w:pStyle w:val="Heading1"/>
      </w:pPr>
      <w:bookmarkStart w:id="253" w:name="_Toc855392"/>
      <w:bookmarkStart w:id="254" w:name="_Toc938835"/>
      <w:r w:rsidRPr="002C5602">
        <w:t>WARUNKI SANITARNO-HIGIENICZNE</w:t>
      </w:r>
      <w:bookmarkEnd w:id="251"/>
      <w:bookmarkEnd w:id="252"/>
      <w:bookmarkEnd w:id="253"/>
      <w:bookmarkEnd w:id="254"/>
    </w:p>
    <w:p w:rsidR="00AF0FDB" w:rsidRDefault="00AF0FDB" w:rsidP="00301544">
      <w:pPr>
        <w:pStyle w:val="Heading1"/>
        <w:rPr>
          <w:rFonts w:cs="Times New Roman"/>
        </w:rPr>
      </w:pPr>
      <w:bookmarkStart w:id="255" w:name="_Toc285095153"/>
      <w:bookmarkStart w:id="256" w:name="_Toc286138840"/>
      <w:bookmarkStart w:id="257" w:name="_Toc411600369"/>
      <w:bookmarkStart w:id="258" w:name="_Toc412019577"/>
      <w:bookmarkStart w:id="259" w:name="_Toc855393"/>
      <w:bookmarkStart w:id="260" w:name="_Toc938836"/>
      <w:r w:rsidRPr="002C5602">
        <w:t>ŚRODOWISKA PRACY</w:t>
      </w:r>
      <w:bookmarkEnd w:id="255"/>
      <w:bookmarkEnd w:id="256"/>
      <w:bookmarkEnd w:id="257"/>
      <w:bookmarkEnd w:id="258"/>
      <w:bookmarkEnd w:id="259"/>
      <w:bookmarkEnd w:id="260"/>
    </w:p>
    <w:p w:rsidR="00AF0FDB" w:rsidRPr="00304E38" w:rsidRDefault="00AF0FDB" w:rsidP="00304E38">
      <w:pPr>
        <w:rPr>
          <w:rFonts w:ascii="Cambria" w:hAnsi="Cambria" w:cs="Cambria"/>
          <w:sz w:val="48"/>
          <w:szCs w:val="48"/>
        </w:rPr>
      </w:pPr>
      <w:r>
        <w:br w:type="page"/>
      </w:r>
    </w:p>
    <w:p w:rsidR="00AF0FDB" w:rsidRPr="00115250" w:rsidRDefault="00AF0FDB" w:rsidP="008D4741">
      <w:pPr>
        <w:pStyle w:val="Heading1"/>
        <w:spacing w:before="0" w:line="276" w:lineRule="auto"/>
        <w:rPr>
          <w:rFonts w:ascii="Times New Roman" w:hAnsi="Times New Roman" w:cs="Times New Roman"/>
          <w:sz w:val="24"/>
          <w:szCs w:val="24"/>
        </w:rPr>
      </w:pPr>
      <w:bookmarkStart w:id="261" w:name="_Toc855394"/>
      <w:bookmarkStart w:id="262" w:name="_Toc938837"/>
      <w:r w:rsidRPr="00115250">
        <w:rPr>
          <w:rFonts w:ascii="Times New Roman" w:hAnsi="Times New Roman" w:cs="Times New Roman"/>
          <w:sz w:val="24"/>
          <w:szCs w:val="24"/>
        </w:rPr>
        <w:t>Działalność kontrolna</w:t>
      </w:r>
      <w:bookmarkEnd w:id="261"/>
      <w:bookmarkEnd w:id="262"/>
      <w:r w:rsidRPr="00115250">
        <w:rPr>
          <w:rFonts w:ascii="Times New Roman" w:hAnsi="Times New Roman" w:cs="Times New Roman"/>
          <w:sz w:val="24"/>
          <w:szCs w:val="24"/>
        </w:rPr>
        <w:t xml:space="preserve"> </w:t>
      </w:r>
    </w:p>
    <w:p w:rsidR="00AF0FDB" w:rsidRPr="00115250" w:rsidRDefault="00AF0FDB" w:rsidP="008D4741">
      <w:pPr>
        <w:pStyle w:val="Heading1"/>
        <w:spacing w:before="0" w:line="276" w:lineRule="auto"/>
        <w:rPr>
          <w:rFonts w:ascii="Times New Roman" w:hAnsi="Times New Roman" w:cs="Times New Roman"/>
          <w:sz w:val="24"/>
          <w:szCs w:val="24"/>
        </w:rPr>
      </w:pPr>
      <w:bookmarkStart w:id="263" w:name="_Toc855395"/>
      <w:bookmarkStart w:id="264" w:name="_Toc938838"/>
      <w:r w:rsidRPr="00115250">
        <w:rPr>
          <w:rFonts w:ascii="Times New Roman" w:hAnsi="Times New Roman" w:cs="Times New Roman"/>
          <w:sz w:val="24"/>
          <w:szCs w:val="24"/>
        </w:rPr>
        <w:t>w ramach bieżącego nadzoru sanitarnego</w:t>
      </w:r>
      <w:bookmarkEnd w:id="263"/>
      <w:bookmarkEnd w:id="264"/>
    </w:p>
    <w:p w:rsidR="00AF0FDB" w:rsidRPr="00115250" w:rsidRDefault="00AF0FDB" w:rsidP="00530079">
      <w:pPr>
        <w:spacing w:before="0"/>
        <w:jc w:val="both"/>
      </w:pPr>
    </w:p>
    <w:p w:rsidR="00AF0FDB" w:rsidRPr="00115250" w:rsidRDefault="00AF0FDB" w:rsidP="00E44BCF">
      <w:pPr>
        <w:jc w:val="both"/>
      </w:pPr>
      <w:r w:rsidRPr="00115250">
        <w:t>W roku 2018 w ewidencji Oddziału Higieny Pracy Powiatowej Stacji Sanitarno – Epidemiologicznej w Poznaniu zarejestrowanych było 3665 zakładów (w 2017 r.- 3606 zakładów), które zatrudniały łącznie 145017 pracowników (w 2017 r.– 140103 pracowników).</w:t>
      </w:r>
    </w:p>
    <w:p w:rsidR="00AF0FDB" w:rsidRPr="00115250" w:rsidRDefault="00AF0FDB" w:rsidP="00E44BCF">
      <w:pPr>
        <w:jc w:val="both"/>
      </w:pPr>
      <w:r w:rsidRPr="00115250">
        <w:t>W porównaniu z rokiem ubiegłym liczba zewidencjonowanych podmiotów wzrosła o 2 % . Nadal przeważają zakłady małe, zatrudniające do 50 pracowników (3164 obiekty). Stanowią one 86 % ogółu zakładów. Duże zakłady zatrudniające powyżej 250 pracowników stanowią 3%.</w:t>
      </w:r>
    </w:p>
    <w:p w:rsidR="00AF0FDB" w:rsidRPr="00115250" w:rsidRDefault="00AF0FDB" w:rsidP="00530079">
      <w:pPr>
        <w:pStyle w:val="Heading1"/>
        <w:spacing w:line="480" w:lineRule="auto"/>
        <w:rPr>
          <w:rFonts w:ascii="Times New Roman" w:hAnsi="Times New Roman" w:cs="Times New Roman"/>
          <w:sz w:val="24"/>
          <w:szCs w:val="24"/>
        </w:rPr>
      </w:pPr>
      <w:bookmarkStart w:id="265" w:name="_Toc855396"/>
      <w:bookmarkStart w:id="266" w:name="_Toc938839"/>
      <w:r w:rsidRPr="00115250">
        <w:rPr>
          <w:rFonts w:ascii="Times New Roman" w:hAnsi="Times New Roman" w:cs="Times New Roman"/>
          <w:sz w:val="24"/>
          <w:szCs w:val="24"/>
        </w:rPr>
        <w:t>Kontrole w ramach bieżącego nadzoru sanitarnego</w:t>
      </w:r>
      <w:bookmarkEnd w:id="265"/>
      <w:bookmarkEnd w:id="266"/>
    </w:p>
    <w:p w:rsidR="00AF0FDB" w:rsidRPr="00115250" w:rsidRDefault="00AF0FDB" w:rsidP="00B036C7">
      <w:pPr>
        <w:jc w:val="both"/>
        <w:outlineLvl w:val="0"/>
      </w:pPr>
      <w:bookmarkStart w:id="267" w:name="_Toc179761"/>
      <w:bookmarkStart w:id="268" w:name="_Toc855397"/>
      <w:bookmarkStart w:id="269" w:name="_Toc938840"/>
      <w:r w:rsidRPr="00115250">
        <w:t xml:space="preserve">Nadzorem sanitarnym objęto 30% zakładów zewidencjonowanych w rejestrze PSSE </w:t>
      </w:r>
      <w:r w:rsidRPr="00115250">
        <w:br/>
        <w:t>w Poznaniu. Przeprowadzono 1622 kontrole sanitarne w 1155 obiektach (w roku ubiegłym 1703 w 1134 zakładach). W trakcie prowadzonego bieżącego nadzoru sanitarnego zwrócono uwagę na warunki bezpieczeństwa i higieny pracy, przekroczenia normatywów higienicznych czynników szkodliwych dla zdrowia w środowisku pracy, stan sanitarny pomieszczeń pracy i zaplecza socjalnego oraz realiz</w:t>
      </w:r>
      <w:r>
        <w:t xml:space="preserve">ację wcześniej wydanych nakazów </w:t>
      </w:r>
      <w:r w:rsidRPr="00115250">
        <w:t>i zaleceń.</w:t>
      </w:r>
      <w:bookmarkEnd w:id="267"/>
      <w:bookmarkEnd w:id="268"/>
      <w:bookmarkEnd w:id="269"/>
      <w:r w:rsidRPr="00115250">
        <w:t xml:space="preserve"> </w:t>
      </w:r>
    </w:p>
    <w:p w:rsidR="00AF0FDB" w:rsidRPr="00115250" w:rsidRDefault="00AF0FDB" w:rsidP="00E44BCF">
      <w:pPr>
        <w:jc w:val="both"/>
        <w:outlineLvl w:val="0"/>
      </w:pPr>
      <w:bookmarkStart w:id="270" w:name="_Toc179762"/>
      <w:bookmarkStart w:id="271" w:name="_Toc855398"/>
      <w:bookmarkStart w:id="272" w:name="_Toc861476"/>
      <w:bookmarkStart w:id="273" w:name="_Toc938841"/>
      <w:r w:rsidRPr="00115250">
        <w:t>Kontynuowano wzmożony nadzór nad zakładami, w których stwierdzono choroby zawodowe oraz nad zakładami charakteryzującymi się szkodliwymi i uciążliwymi warunkami pracy.</w:t>
      </w:r>
      <w:bookmarkEnd w:id="270"/>
      <w:bookmarkEnd w:id="271"/>
      <w:bookmarkEnd w:id="272"/>
      <w:bookmarkEnd w:id="273"/>
    </w:p>
    <w:p w:rsidR="00AF0FDB" w:rsidRPr="00115250" w:rsidRDefault="00AF0FDB" w:rsidP="00E44BCF">
      <w:pPr>
        <w:jc w:val="both"/>
        <w:outlineLvl w:val="0"/>
      </w:pPr>
      <w:bookmarkStart w:id="274" w:name="_Toc179763"/>
      <w:bookmarkStart w:id="275" w:name="_Toc855399"/>
      <w:bookmarkStart w:id="276" w:name="_Toc861477"/>
      <w:bookmarkStart w:id="277" w:name="_Toc938842"/>
      <w:r w:rsidRPr="00115250">
        <w:t>Szczególną uwagę zwrócono na warunki pracy pracowników zatrudnionych w przemyśle drzewnym, spożywczym, metalowym oraz w sektorze gospodarki odpadami i ściekami.</w:t>
      </w:r>
      <w:bookmarkEnd w:id="274"/>
      <w:bookmarkEnd w:id="275"/>
      <w:bookmarkEnd w:id="276"/>
      <w:bookmarkEnd w:id="277"/>
    </w:p>
    <w:p w:rsidR="00AF0FDB" w:rsidRPr="00E150CC" w:rsidRDefault="00AF0FDB" w:rsidP="00EF52EA">
      <w:pPr>
        <w:jc w:val="both"/>
        <w:rPr>
          <w:color w:val="FF0000"/>
        </w:rPr>
      </w:pPr>
    </w:p>
    <w:p w:rsidR="00AF0FDB" w:rsidRPr="00E150CC" w:rsidRDefault="00AF0FDB" w:rsidP="00EF52EA">
      <w:pPr>
        <w:jc w:val="both"/>
        <w:rPr>
          <w:b/>
          <w:bCs/>
          <w:color w:val="FF0000"/>
        </w:rPr>
      </w:pPr>
    </w:p>
    <w:p w:rsidR="00AF0FDB" w:rsidRPr="00E150CC" w:rsidRDefault="00AF0FDB" w:rsidP="005A34B8">
      <w:pPr>
        <w:tabs>
          <w:tab w:val="left" w:pos="6300"/>
        </w:tabs>
        <w:jc w:val="both"/>
        <w:rPr>
          <w:b/>
          <w:bCs/>
          <w:color w:val="FF0000"/>
        </w:rPr>
      </w:pPr>
    </w:p>
    <w:p w:rsidR="00AF0FDB" w:rsidRDefault="00AF0FDB" w:rsidP="005A34B8">
      <w:pPr>
        <w:tabs>
          <w:tab w:val="left" w:pos="6300"/>
        </w:tabs>
        <w:jc w:val="both"/>
        <w:rPr>
          <w:b/>
          <w:bCs/>
          <w:color w:val="FF0000"/>
        </w:rPr>
      </w:pPr>
    </w:p>
    <w:p w:rsidR="00AF0FDB" w:rsidRPr="00E150CC" w:rsidRDefault="00AF0FDB" w:rsidP="005A34B8">
      <w:pPr>
        <w:tabs>
          <w:tab w:val="left" w:pos="6300"/>
        </w:tabs>
        <w:jc w:val="both"/>
        <w:rPr>
          <w:b/>
          <w:bCs/>
          <w:color w:val="FF0000"/>
        </w:rPr>
      </w:pPr>
    </w:p>
    <w:p w:rsidR="00AF0FDB" w:rsidRPr="00E150CC" w:rsidRDefault="00AF0FDB" w:rsidP="005A34B8">
      <w:pPr>
        <w:tabs>
          <w:tab w:val="left" w:pos="6300"/>
        </w:tabs>
        <w:jc w:val="both"/>
        <w:rPr>
          <w:b/>
          <w:bCs/>
          <w:color w:val="FF0000"/>
        </w:rPr>
      </w:pPr>
      <w:r w:rsidRPr="00E150CC">
        <w:rPr>
          <w:b/>
          <w:bCs/>
          <w:color w:val="FF0000"/>
        </w:rPr>
        <w:tab/>
      </w:r>
    </w:p>
    <w:p w:rsidR="00AF0FDB" w:rsidRPr="00115250" w:rsidRDefault="00AF0FDB" w:rsidP="00EF52EA">
      <w:pPr>
        <w:jc w:val="both"/>
        <w:rPr>
          <w:sz w:val="20"/>
          <w:szCs w:val="20"/>
        </w:rPr>
      </w:pPr>
      <w:r w:rsidRPr="00115250">
        <w:rPr>
          <w:b/>
          <w:bCs/>
          <w:sz w:val="20"/>
          <w:szCs w:val="20"/>
        </w:rPr>
        <w:t>Tab. 1.</w:t>
      </w:r>
      <w:r w:rsidRPr="00115250">
        <w:rPr>
          <w:sz w:val="20"/>
          <w:szCs w:val="20"/>
        </w:rPr>
        <w:t xml:space="preserve"> Kontrole w ramach bieżącego nadzoru  sanitarnego w latach 2017– 2018 </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1E0"/>
      </w:tblPr>
      <w:tblGrid>
        <w:gridCol w:w="2975"/>
        <w:gridCol w:w="2976"/>
        <w:gridCol w:w="2976"/>
      </w:tblGrid>
      <w:tr w:rsidR="00AF0FDB" w:rsidRPr="00115250">
        <w:tc>
          <w:tcPr>
            <w:tcW w:w="2975" w:type="dxa"/>
            <w:tcBorders>
              <w:bottom w:val="single" w:sz="18" w:space="0" w:color="A5A5A5"/>
            </w:tcBorders>
          </w:tcPr>
          <w:p w:rsidR="00AF0FDB" w:rsidRPr="002C4F7C" w:rsidRDefault="00AF0FDB" w:rsidP="002C4F7C">
            <w:pPr>
              <w:jc w:val="center"/>
              <w:rPr>
                <w:b/>
                <w:bCs/>
                <w:sz w:val="22"/>
                <w:szCs w:val="22"/>
              </w:rPr>
            </w:pPr>
            <w:r w:rsidRPr="002C4F7C">
              <w:rPr>
                <w:b/>
                <w:bCs/>
                <w:sz w:val="22"/>
                <w:szCs w:val="22"/>
              </w:rPr>
              <w:t>kontrole</w:t>
            </w:r>
          </w:p>
        </w:tc>
        <w:tc>
          <w:tcPr>
            <w:tcW w:w="2976" w:type="dxa"/>
            <w:tcBorders>
              <w:bottom w:val="single" w:sz="18" w:space="0" w:color="A5A5A5"/>
            </w:tcBorders>
            <w:shd w:val="clear" w:color="auto" w:fill="E8E8E8"/>
          </w:tcPr>
          <w:p w:rsidR="00AF0FDB" w:rsidRPr="002C4F7C" w:rsidRDefault="00AF0FDB" w:rsidP="002C4F7C">
            <w:pPr>
              <w:jc w:val="center"/>
              <w:rPr>
                <w:b/>
                <w:bCs/>
                <w:sz w:val="22"/>
                <w:szCs w:val="22"/>
              </w:rPr>
            </w:pPr>
            <w:r w:rsidRPr="002C4F7C">
              <w:rPr>
                <w:b/>
                <w:bCs/>
                <w:sz w:val="22"/>
                <w:szCs w:val="22"/>
              </w:rPr>
              <w:t>2017</w:t>
            </w:r>
          </w:p>
        </w:tc>
        <w:tc>
          <w:tcPr>
            <w:tcW w:w="2976" w:type="dxa"/>
            <w:tcBorders>
              <w:bottom w:val="single" w:sz="18" w:space="0" w:color="A5A5A5"/>
            </w:tcBorders>
          </w:tcPr>
          <w:p w:rsidR="00AF0FDB" w:rsidRPr="002C4F7C" w:rsidRDefault="00AF0FDB" w:rsidP="002C4F7C">
            <w:pPr>
              <w:jc w:val="center"/>
              <w:rPr>
                <w:b/>
                <w:bCs/>
                <w:sz w:val="22"/>
                <w:szCs w:val="22"/>
              </w:rPr>
            </w:pPr>
            <w:r w:rsidRPr="002C4F7C">
              <w:rPr>
                <w:b/>
                <w:bCs/>
                <w:sz w:val="22"/>
                <w:szCs w:val="22"/>
              </w:rPr>
              <w:t>2018</w:t>
            </w:r>
          </w:p>
        </w:tc>
      </w:tr>
      <w:tr w:rsidR="00AF0FDB" w:rsidRPr="00115250">
        <w:trPr>
          <w:trHeight w:val="3422"/>
        </w:trPr>
        <w:tc>
          <w:tcPr>
            <w:tcW w:w="2975" w:type="dxa"/>
            <w:tcBorders>
              <w:top w:val="double" w:sz="6" w:space="0" w:color="A5A5A5"/>
            </w:tcBorders>
          </w:tcPr>
          <w:p w:rsidR="00AF0FDB" w:rsidRPr="002C4F7C" w:rsidRDefault="00AF0FDB" w:rsidP="002C4F7C">
            <w:pPr>
              <w:jc w:val="both"/>
              <w:rPr>
                <w:b/>
                <w:bCs/>
                <w:sz w:val="22"/>
                <w:szCs w:val="22"/>
              </w:rPr>
            </w:pPr>
            <w:r w:rsidRPr="002C4F7C">
              <w:rPr>
                <w:b/>
                <w:bCs/>
                <w:sz w:val="22"/>
                <w:szCs w:val="22"/>
              </w:rPr>
              <w:t>Ogółem</w:t>
            </w:r>
          </w:p>
          <w:p w:rsidR="00AF0FDB" w:rsidRPr="002C4F7C" w:rsidRDefault="00AF0FDB" w:rsidP="002C4F7C">
            <w:pPr>
              <w:jc w:val="both"/>
              <w:rPr>
                <w:b/>
                <w:bCs/>
                <w:sz w:val="22"/>
                <w:szCs w:val="22"/>
              </w:rPr>
            </w:pPr>
            <w:r w:rsidRPr="002C4F7C">
              <w:rPr>
                <w:sz w:val="22"/>
                <w:szCs w:val="22"/>
              </w:rPr>
              <w:t>Czynniki chemiczne</w:t>
            </w:r>
          </w:p>
          <w:p w:rsidR="00AF0FDB" w:rsidRPr="002C4F7C" w:rsidRDefault="00AF0FDB" w:rsidP="002C4F7C">
            <w:pPr>
              <w:jc w:val="both"/>
              <w:rPr>
                <w:b/>
                <w:bCs/>
                <w:sz w:val="22"/>
                <w:szCs w:val="22"/>
              </w:rPr>
            </w:pPr>
            <w:r w:rsidRPr="002C4F7C">
              <w:rPr>
                <w:sz w:val="22"/>
                <w:szCs w:val="22"/>
              </w:rPr>
              <w:t>Czynniki biologiczne</w:t>
            </w:r>
          </w:p>
          <w:p w:rsidR="00AF0FDB" w:rsidRPr="002C4F7C" w:rsidRDefault="00AF0FDB" w:rsidP="002C4F7C">
            <w:pPr>
              <w:jc w:val="both"/>
              <w:rPr>
                <w:b/>
                <w:bCs/>
                <w:sz w:val="22"/>
                <w:szCs w:val="22"/>
              </w:rPr>
            </w:pPr>
            <w:r w:rsidRPr="002C4F7C">
              <w:rPr>
                <w:sz w:val="22"/>
                <w:szCs w:val="22"/>
              </w:rPr>
              <w:t>Czynniki rakotwórcze</w:t>
            </w:r>
          </w:p>
          <w:p w:rsidR="00AF0FDB" w:rsidRPr="002C4F7C" w:rsidRDefault="00AF0FDB" w:rsidP="00B5517C">
            <w:pPr>
              <w:rPr>
                <w:b/>
                <w:bCs/>
                <w:sz w:val="22"/>
                <w:szCs w:val="22"/>
              </w:rPr>
            </w:pPr>
            <w:r w:rsidRPr="002C4F7C">
              <w:rPr>
                <w:sz w:val="22"/>
                <w:szCs w:val="22"/>
              </w:rPr>
              <w:t>Inne ( interwencje, kontrole tematyczne)</w:t>
            </w:r>
          </w:p>
        </w:tc>
        <w:tc>
          <w:tcPr>
            <w:tcW w:w="2976" w:type="dxa"/>
            <w:tcBorders>
              <w:top w:val="double" w:sz="6" w:space="0" w:color="A5A5A5"/>
            </w:tcBorders>
            <w:shd w:val="clear" w:color="auto" w:fill="E8E8E8"/>
          </w:tcPr>
          <w:p w:rsidR="00AF0FDB" w:rsidRPr="002C4F7C" w:rsidRDefault="00AF0FDB" w:rsidP="002C4F7C">
            <w:pPr>
              <w:jc w:val="center"/>
              <w:rPr>
                <w:b/>
                <w:bCs/>
                <w:sz w:val="22"/>
                <w:szCs w:val="22"/>
              </w:rPr>
            </w:pPr>
            <w:r w:rsidRPr="002C4F7C">
              <w:rPr>
                <w:b/>
                <w:bCs/>
                <w:sz w:val="22"/>
                <w:szCs w:val="22"/>
              </w:rPr>
              <w:t>1703</w:t>
            </w:r>
          </w:p>
          <w:p w:rsidR="00AF0FDB" w:rsidRPr="002C4F7C" w:rsidRDefault="00AF0FDB" w:rsidP="002C4F7C">
            <w:pPr>
              <w:jc w:val="center"/>
              <w:rPr>
                <w:b/>
                <w:bCs/>
                <w:sz w:val="22"/>
                <w:szCs w:val="22"/>
              </w:rPr>
            </w:pPr>
            <w:r w:rsidRPr="002C4F7C">
              <w:rPr>
                <w:sz w:val="22"/>
                <w:szCs w:val="22"/>
              </w:rPr>
              <w:t>1169</w:t>
            </w:r>
          </w:p>
          <w:p w:rsidR="00AF0FDB" w:rsidRPr="002C4F7C" w:rsidRDefault="00AF0FDB" w:rsidP="002C4F7C">
            <w:pPr>
              <w:jc w:val="center"/>
              <w:rPr>
                <w:b/>
                <w:bCs/>
                <w:sz w:val="22"/>
                <w:szCs w:val="22"/>
              </w:rPr>
            </w:pPr>
            <w:r w:rsidRPr="002C4F7C">
              <w:rPr>
                <w:sz w:val="22"/>
                <w:szCs w:val="22"/>
              </w:rPr>
              <w:t>433</w:t>
            </w:r>
          </w:p>
          <w:p w:rsidR="00AF0FDB" w:rsidRPr="002C4F7C" w:rsidRDefault="00AF0FDB" w:rsidP="002C4F7C">
            <w:pPr>
              <w:jc w:val="center"/>
              <w:rPr>
                <w:b/>
                <w:bCs/>
                <w:sz w:val="22"/>
                <w:szCs w:val="22"/>
              </w:rPr>
            </w:pPr>
            <w:r w:rsidRPr="002C4F7C">
              <w:rPr>
                <w:sz w:val="22"/>
                <w:szCs w:val="22"/>
              </w:rPr>
              <w:t>155</w:t>
            </w:r>
          </w:p>
          <w:p w:rsidR="00AF0FDB" w:rsidRPr="002C4F7C" w:rsidRDefault="00AF0FDB" w:rsidP="002C4F7C">
            <w:pPr>
              <w:jc w:val="center"/>
              <w:rPr>
                <w:b/>
                <w:bCs/>
                <w:sz w:val="22"/>
                <w:szCs w:val="22"/>
              </w:rPr>
            </w:pPr>
            <w:r w:rsidRPr="002C4F7C">
              <w:rPr>
                <w:sz w:val="22"/>
                <w:szCs w:val="22"/>
              </w:rPr>
              <w:t xml:space="preserve"> 86</w:t>
            </w:r>
          </w:p>
        </w:tc>
        <w:tc>
          <w:tcPr>
            <w:tcW w:w="2976" w:type="dxa"/>
            <w:tcBorders>
              <w:top w:val="double" w:sz="6" w:space="0" w:color="A5A5A5"/>
            </w:tcBorders>
          </w:tcPr>
          <w:p w:rsidR="00AF0FDB" w:rsidRPr="002C4F7C" w:rsidRDefault="00AF0FDB" w:rsidP="002C4F7C">
            <w:pPr>
              <w:jc w:val="center"/>
              <w:rPr>
                <w:b/>
                <w:bCs/>
                <w:sz w:val="22"/>
                <w:szCs w:val="22"/>
              </w:rPr>
            </w:pPr>
            <w:r w:rsidRPr="002C4F7C">
              <w:rPr>
                <w:b/>
                <w:bCs/>
                <w:sz w:val="22"/>
                <w:szCs w:val="22"/>
              </w:rPr>
              <w:t>1622</w:t>
            </w:r>
          </w:p>
          <w:p w:rsidR="00AF0FDB" w:rsidRPr="002C4F7C" w:rsidRDefault="00AF0FDB" w:rsidP="002C4F7C">
            <w:pPr>
              <w:jc w:val="center"/>
              <w:rPr>
                <w:b/>
                <w:bCs/>
                <w:sz w:val="22"/>
                <w:szCs w:val="22"/>
              </w:rPr>
            </w:pPr>
            <w:r w:rsidRPr="002C4F7C">
              <w:rPr>
                <w:sz w:val="22"/>
                <w:szCs w:val="22"/>
              </w:rPr>
              <w:t>1214</w:t>
            </w:r>
          </w:p>
          <w:p w:rsidR="00AF0FDB" w:rsidRPr="002C4F7C" w:rsidRDefault="00AF0FDB" w:rsidP="002C4F7C">
            <w:pPr>
              <w:jc w:val="center"/>
              <w:rPr>
                <w:b/>
                <w:bCs/>
                <w:sz w:val="22"/>
                <w:szCs w:val="22"/>
              </w:rPr>
            </w:pPr>
            <w:r w:rsidRPr="002C4F7C">
              <w:rPr>
                <w:sz w:val="22"/>
                <w:szCs w:val="22"/>
              </w:rPr>
              <w:t>284</w:t>
            </w:r>
          </w:p>
          <w:p w:rsidR="00AF0FDB" w:rsidRPr="002C4F7C" w:rsidRDefault="00AF0FDB" w:rsidP="002C4F7C">
            <w:pPr>
              <w:jc w:val="center"/>
              <w:rPr>
                <w:b/>
                <w:bCs/>
                <w:sz w:val="22"/>
                <w:szCs w:val="22"/>
              </w:rPr>
            </w:pPr>
            <w:r w:rsidRPr="002C4F7C">
              <w:rPr>
                <w:sz w:val="22"/>
                <w:szCs w:val="22"/>
              </w:rPr>
              <w:t>108</w:t>
            </w:r>
          </w:p>
          <w:p w:rsidR="00AF0FDB" w:rsidRPr="002C4F7C" w:rsidRDefault="00AF0FDB" w:rsidP="00E44BCF">
            <w:pPr>
              <w:rPr>
                <w:b/>
                <w:bCs/>
                <w:sz w:val="22"/>
                <w:szCs w:val="22"/>
              </w:rPr>
            </w:pPr>
            <w:r w:rsidRPr="002C4F7C">
              <w:rPr>
                <w:sz w:val="22"/>
                <w:szCs w:val="22"/>
              </w:rPr>
              <w:t xml:space="preserve">                      16</w:t>
            </w:r>
          </w:p>
        </w:tc>
      </w:tr>
    </w:tbl>
    <w:p w:rsidR="00AF0FDB" w:rsidRPr="00115250" w:rsidRDefault="00AF0FDB" w:rsidP="00EF52EA">
      <w:pPr>
        <w:jc w:val="both"/>
      </w:pPr>
      <w:r w:rsidRPr="00115250">
        <w:t>Nadal najwięcej kontroli przeprowadzono w zakresie stosowania i wprowadzania do obrotu substancji</w:t>
      </w:r>
      <w:r>
        <w:t xml:space="preserve"> chemicznych i ich mieszanin</w:t>
      </w:r>
      <w:r w:rsidRPr="00115250">
        <w:t xml:space="preserve">. </w:t>
      </w:r>
    </w:p>
    <w:p w:rsidR="00AF0FDB" w:rsidRPr="00115250" w:rsidRDefault="00AF0FDB" w:rsidP="008D4741">
      <w:pPr>
        <w:pStyle w:val="Heading1"/>
        <w:rPr>
          <w:rFonts w:ascii="Times New Roman" w:hAnsi="Times New Roman" w:cs="Times New Roman"/>
          <w:sz w:val="24"/>
          <w:szCs w:val="24"/>
        </w:rPr>
      </w:pPr>
      <w:bookmarkStart w:id="278" w:name="_Toc938843"/>
      <w:r w:rsidRPr="00115250">
        <w:rPr>
          <w:rFonts w:ascii="Times New Roman" w:hAnsi="Times New Roman" w:cs="Times New Roman"/>
          <w:sz w:val="24"/>
          <w:szCs w:val="24"/>
        </w:rPr>
        <w:t>Narażenie na czynniki szkodliwe dla zdrowia</w:t>
      </w:r>
      <w:bookmarkEnd w:id="278"/>
    </w:p>
    <w:p w:rsidR="00AF0FDB" w:rsidRPr="00115250" w:rsidRDefault="00AF0FDB" w:rsidP="00DB43C9">
      <w:pPr>
        <w:jc w:val="both"/>
      </w:pPr>
      <w:r w:rsidRPr="00115250">
        <w:t>Przekroczenia najwyższych dopuszczalnych stężeń (NDS) i najwyższych dopuszczalnych natężeń (NDN) czynników szkodliwych dla zdrowia stwierdzono w 126 zewidencjonowanych obiektach.</w:t>
      </w:r>
    </w:p>
    <w:p w:rsidR="00AF0FDB" w:rsidRPr="00115250" w:rsidRDefault="00AF0FDB" w:rsidP="00DB43C9">
      <w:pPr>
        <w:jc w:val="both"/>
      </w:pPr>
      <w:r w:rsidRPr="00115250">
        <w:t xml:space="preserve">Ogółem w warunkach przekroczenia normatywów higienicznych pracowało 3678 osób </w:t>
      </w:r>
      <w:r w:rsidRPr="00115250">
        <w:br/>
        <w:t>(w roku 2017 – 4298 osób), w tym:</w:t>
      </w:r>
    </w:p>
    <w:p w:rsidR="00AF0FDB" w:rsidRPr="00115250" w:rsidRDefault="00AF0FDB" w:rsidP="00EF52EA">
      <w:pPr>
        <w:jc w:val="both"/>
        <w:rPr>
          <w:sz w:val="20"/>
          <w:szCs w:val="20"/>
        </w:rPr>
      </w:pPr>
      <w:r w:rsidRPr="00115250">
        <w:rPr>
          <w:b/>
          <w:bCs/>
          <w:sz w:val="20"/>
          <w:szCs w:val="20"/>
        </w:rPr>
        <w:t xml:space="preserve">Tab. 2. </w:t>
      </w:r>
      <w:r w:rsidRPr="00115250">
        <w:rPr>
          <w:sz w:val="20"/>
          <w:szCs w:val="20"/>
        </w:rPr>
        <w:t>Narażeni w latach 2017-2018</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1E0"/>
      </w:tblPr>
      <w:tblGrid>
        <w:gridCol w:w="3510"/>
        <w:gridCol w:w="2441"/>
        <w:gridCol w:w="2976"/>
      </w:tblGrid>
      <w:tr w:rsidR="00AF0FDB" w:rsidRPr="00115250">
        <w:tc>
          <w:tcPr>
            <w:tcW w:w="3510" w:type="dxa"/>
            <w:tcBorders>
              <w:bottom w:val="single" w:sz="18" w:space="0" w:color="A5A5A5"/>
            </w:tcBorders>
          </w:tcPr>
          <w:p w:rsidR="00AF0FDB" w:rsidRPr="002C4F7C" w:rsidRDefault="00AF0FDB" w:rsidP="002C4F7C">
            <w:pPr>
              <w:jc w:val="both"/>
              <w:rPr>
                <w:b/>
                <w:bCs/>
                <w:sz w:val="22"/>
                <w:szCs w:val="22"/>
              </w:rPr>
            </w:pPr>
          </w:p>
        </w:tc>
        <w:tc>
          <w:tcPr>
            <w:tcW w:w="2441" w:type="dxa"/>
            <w:tcBorders>
              <w:bottom w:val="single" w:sz="18" w:space="0" w:color="A5A5A5"/>
            </w:tcBorders>
            <w:shd w:val="clear" w:color="auto" w:fill="E8E8E8"/>
          </w:tcPr>
          <w:p w:rsidR="00AF0FDB" w:rsidRPr="002C4F7C" w:rsidRDefault="00AF0FDB" w:rsidP="002C4F7C">
            <w:pPr>
              <w:tabs>
                <w:tab w:val="left" w:pos="900"/>
              </w:tabs>
              <w:jc w:val="center"/>
              <w:rPr>
                <w:b/>
                <w:bCs/>
                <w:sz w:val="22"/>
                <w:szCs w:val="22"/>
              </w:rPr>
            </w:pPr>
            <w:r w:rsidRPr="002C4F7C">
              <w:rPr>
                <w:b/>
                <w:bCs/>
                <w:sz w:val="22"/>
                <w:szCs w:val="22"/>
              </w:rPr>
              <w:t>2017</w:t>
            </w:r>
          </w:p>
        </w:tc>
        <w:tc>
          <w:tcPr>
            <w:tcW w:w="2976" w:type="dxa"/>
            <w:tcBorders>
              <w:bottom w:val="single" w:sz="18" w:space="0" w:color="A5A5A5"/>
            </w:tcBorders>
          </w:tcPr>
          <w:p w:rsidR="00AF0FDB" w:rsidRPr="002C4F7C" w:rsidRDefault="00AF0FDB" w:rsidP="002C4F7C">
            <w:pPr>
              <w:jc w:val="center"/>
              <w:rPr>
                <w:b/>
                <w:bCs/>
                <w:sz w:val="22"/>
                <w:szCs w:val="22"/>
              </w:rPr>
            </w:pPr>
            <w:r w:rsidRPr="002C4F7C">
              <w:rPr>
                <w:b/>
                <w:bCs/>
                <w:sz w:val="22"/>
                <w:szCs w:val="22"/>
              </w:rPr>
              <w:t>2018</w:t>
            </w:r>
          </w:p>
        </w:tc>
      </w:tr>
      <w:tr w:rsidR="00AF0FDB" w:rsidRPr="00115250">
        <w:tc>
          <w:tcPr>
            <w:tcW w:w="3510" w:type="dxa"/>
            <w:tcBorders>
              <w:top w:val="double" w:sz="6" w:space="0" w:color="A5A5A5"/>
            </w:tcBorders>
          </w:tcPr>
          <w:p w:rsidR="00AF0FDB" w:rsidRPr="002C4F7C" w:rsidRDefault="00AF0FDB" w:rsidP="002C4F7C">
            <w:pPr>
              <w:spacing w:line="276" w:lineRule="auto"/>
              <w:jc w:val="both"/>
              <w:rPr>
                <w:b/>
                <w:bCs/>
                <w:sz w:val="22"/>
                <w:szCs w:val="22"/>
              </w:rPr>
            </w:pPr>
            <w:r w:rsidRPr="002C4F7C">
              <w:rPr>
                <w:b/>
                <w:bCs/>
                <w:sz w:val="22"/>
                <w:szCs w:val="22"/>
              </w:rPr>
              <w:t>Ogółem</w:t>
            </w:r>
          </w:p>
          <w:p w:rsidR="00AF0FDB" w:rsidRPr="002C4F7C" w:rsidRDefault="00AF0FDB" w:rsidP="002C4F7C">
            <w:pPr>
              <w:spacing w:line="276" w:lineRule="auto"/>
              <w:jc w:val="both"/>
              <w:rPr>
                <w:b/>
                <w:bCs/>
                <w:sz w:val="22"/>
                <w:szCs w:val="22"/>
              </w:rPr>
            </w:pPr>
            <w:r w:rsidRPr="002C4F7C">
              <w:rPr>
                <w:sz w:val="22"/>
                <w:szCs w:val="22"/>
              </w:rPr>
              <w:t>narażeni na pyły</w:t>
            </w:r>
          </w:p>
          <w:p w:rsidR="00AF0FDB" w:rsidRPr="002C4F7C" w:rsidRDefault="00AF0FDB" w:rsidP="002C4F7C">
            <w:pPr>
              <w:spacing w:line="276" w:lineRule="auto"/>
              <w:jc w:val="both"/>
              <w:rPr>
                <w:b/>
                <w:bCs/>
                <w:sz w:val="22"/>
                <w:szCs w:val="22"/>
              </w:rPr>
            </w:pPr>
            <w:r w:rsidRPr="002C4F7C">
              <w:rPr>
                <w:sz w:val="22"/>
                <w:szCs w:val="22"/>
              </w:rPr>
              <w:t>narażeni na hałas</w:t>
            </w:r>
          </w:p>
          <w:p w:rsidR="00AF0FDB" w:rsidRPr="002C4F7C" w:rsidRDefault="00AF0FDB" w:rsidP="002C4F7C">
            <w:pPr>
              <w:spacing w:line="276" w:lineRule="auto"/>
              <w:jc w:val="both"/>
              <w:rPr>
                <w:b/>
                <w:bCs/>
                <w:sz w:val="22"/>
                <w:szCs w:val="22"/>
              </w:rPr>
            </w:pPr>
            <w:r w:rsidRPr="002C4F7C">
              <w:rPr>
                <w:sz w:val="22"/>
                <w:szCs w:val="22"/>
              </w:rPr>
              <w:t>narażeni na drgania</w:t>
            </w:r>
          </w:p>
          <w:p w:rsidR="00AF0FDB" w:rsidRPr="002C4F7C" w:rsidRDefault="00AF0FDB" w:rsidP="002C4F7C">
            <w:pPr>
              <w:spacing w:line="276" w:lineRule="auto"/>
              <w:rPr>
                <w:b/>
                <w:bCs/>
                <w:sz w:val="22"/>
                <w:szCs w:val="22"/>
              </w:rPr>
            </w:pPr>
            <w:r w:rsidRPr="002C4F7C">
              <w:rPr>
                <w:sz w:val="22"/>
                <w:szCs w:val="22"/>
              </w:rPr>
              <w:t>narażeni na czynniki chemiczne</w:t>
            </w:r>
          </w:p>
        </w:tc>
        <w:tc>
          <w:tcPr>
            <w:tcW w:w="2441" w:type="dxa"/>
            <w:tcBorders>
              <w:top w:val="double" w:sz="6" w:space="0" w:color="A5A5A5"/>
            </w:tcBorders>
            <w:shd w:val="clear" w:color="auto" w:fill="E8E8E8"/>
          </w:tcPr>
          <w:p w:rsidR="00AF0FDB" w:rsidRPr="002C4F7C" w:rsidRDefault="00AF0FDB" w:rsidP="002C4F7C">
            <w:pPr>
              <w:spacing w:line="276" w:lineRule="auto"/>
              <w:jc w:val="center"/>
              <w:rPr>
                <w:b/>
                <w:bCs/>
                <w:sz w:val="22"/>
                <w:szCs w:val="22"/>
              </w:rPr>
            </w:pPr>
            <w:r w:rsidRPr="002C4F7C">
              <w:rPr>
                <w:b/>
                <w:bCs/>
                <w:sz w:val="22"/>
                <w:szCs w:val="22"/>
              </w:rPr>
              <w:t>4298</w:t>
            </w:r>
          </w:p>
          <w:p w:rsidR="00AF0FDB" w:rsidRPr="002C4F7C" w:rsidRDefault="00AF0FDB" w:rsidP="002C4F7C">
            <w:pPr>
              <w:spacing w:line="276" w:lineRule="auto"/>
              <w:jc w:val="center"/>
              <w:rPr>
                <w:b/>
                <w:bCs/>
                <w:sz w:val="22"/>
                <w:szCs w:val="22"/>
              </w:rPr>
            </w:pPr>
            <w:r w:rsidRPr="002C4F7C">
              <w:rPr>
                <w:sz w:val="22"/>
                <w:szCs w:val="22"/>
              </w:rPr>
              <w:t xml:space="preserve">  173</w:t>
            </w:r>
          </w:p>
          <w:p w:rsidR="00AF0FDB" w:rsidRPr="002C4F7C" w:rsidRDefault="00AF0FDB" w:rsidP="002C4F7C">
            <w:pPr>
              <w:spacing w:line="276" w:lineRule="auto"/>
              <w:jc w:val="center"/>
              <w:rPr>
                <w:b/>
                <w:bCs/>
                <w:sz w:val="22"/>
                <w:szCs w:val="22"/>
              </w:rPr>
            </w:pPr>
            <w:r w:rsidRPr="002C4F7C">
              <w:rPr>
                <w:sz w:val="22"/>
                <w:szCs w:val="22"/>
              </w:rPr>
              <w:t>3924</w:t>
            </w:r>
          </w:p>
          <w:p w:rsidR="00AF0FDB" w:rsidRPr="002C4F7C" w:rsidRDefault="00AF0FDB" w:rsidP="002C4F7C">
            <w:pPr>
              <w:spacing w:line="276" w:lineRule="auto"/>
              <w:jc w:val="center"/>
              <w:rPr>
                <w:b/>
                <w:bCs/>
                <w:sz w:val="22"/>
                <w:szCs w:val="22"/>
              </w:rPr>
            </w:pPr>
            <w:r w:rsidRPr="002C4F7C">
              <w:rPr>
                <w:sz w:val="22"/>
                <w:szCs w:val="22"/>
              </w:rPr>
              <w:t xml:space="preserve">   21</w:t>
            </w:r>
          </w:p>
          <w:p w:rsidR="00AF0FDB" w:rsidRPr="002C4F7C" w:rsidRDefault="00AF0FDB" w:rsidP="002C4F7C">
            <w:pPr>
              <w:spacing w:line="276" w:lineRule="auto"/>
              <w:rPr>
                <w:b/>
                <w:bCs/>
                <w:sz w:val="22"/>
                <w:szCs w:val="22"/>
              </w:rPr>
            </w:pPr>
            <w:r w:rsidRPr="002C4F7C">
              <w:rPr>
                <w:sz w:val="22"/>
                <w:szCs w:val="22"/>
              </w:rPr>
              <w:t xml:space="preserve">                 201</w:t>
            </w:r>
          </w:p>
        </w:tc>
        <w:tc>
          <w:tcPr>
            <w:tcW w:w="2976" w:type="dxa"/>
            <w:tcBorders>
              <w:top w:val="double" w:sz="6" w:space="0" w:color="A5A5A5"/>
            </w:tcBorders>
          </w:tcPr>
          <w:p w:rsidR="00AF0FDB" w:rsidRPr="002C4F7C" w:rsidRDefault="00AF0FDB" w:rsidP="002C4F7C">
            <w:pPr>
              <w:spacing w:line="276" w:lineRule="auto"/>
              <w:jc w:val="center"/>
              <w:rPr>
                <w:b/>
                <w:bCs/>
                <w:sz w:val="22"/>
                <w:szCs w:val="22"/>
              </w:rPr>
            </w:pPr>
            <w:r w:rsidRPr="002C4F7C">
              <w:rPr>
                <w:b/>
                <w:bCs/>
                <w:sz w:val="22"/>
                <w:szCs w:val="22"/>
              </w:rPr>
              <w:t>3678</w:t>
            </w:r>
          </w:p>
          <w:p w:rsidR="00AF0FDB" w:rsidRPr="002C4F7C" w:rsidRDefault="00AF0FDB" w:rsidP="002C4F7C">
            <w:pPr>
              <w:spacing w:line="276" w:lineRule="auto"/>
              <w:jc w:val="center"/>
              <w:rPr>
                <w:b/>
                <w:bCs/>
                <w:sz w:val="22"/>
                <w:szCs w:val="22"/>
              </w:rPr>
            </w:pPr>
            <w:r w:rsidRPr="002C4F7C">
              <w:rPr>
                <w:sz w:val="22"/>
                <w:szCs w:val="22"/>
              </w:rPr>
              <w:t xml:space="preserve">  84</w:t>
            </w:r>
          </w:p>
          <w:p w:rsidR="00AF0FDB" w:rsidRPr="002C4F7C" w:rsidRDefault="00AF0FDB" w:rsidP="002C4F7C">
            <w:pPr>
              <w:spacing w:line="276" w:lineRule="auto"/>
              <w:jc w:val="center"/>
              <w:rPr>
                <w:b/>
                <w:bCs/>
                <w:sz w:val="22"/>
                <w:szCs w:val="22"/>
              </w:rPr>
            </w:pPr>
            <w:r w:rsidRPr="002C4F7C">
              <w:rPr>
                <w:sz w:val="22"/>
                <w:szCs w:val="22"/>
              </w:rPr>
              <w:t>3515</w:t>
            </w:r>
          </w:p>
          <w:p w:rsidR="00AF0FDB" w:rsidRPr="002C4F7C" w:rsidRDefault="00AF0FDB" w:rsidP="002C4F7C">
            <w:pPr>
              <w:spacing w:line="276" w:lineRule="auto"/>
              <w:jc w:val="center"/>
              <w:rPr>
                <w:b/>
                <w:bCs/>
                <w:sz w:val="22"/>
                <w:szCs w:val="22"/>
              </w:rPr>
            </w:pPr>
            <w:r w:rsidRPr="002C4F7C">
              <w:rPr>
                <w:sz w:val="22"/>
                <w:szCs w:val="22"/>
              </w:rPr>
              <w:t xml:space="preserve">   51</w:t>
            </w:r>
          </w:p>
          <w:p w:rsidR="00AF0FDB" w:rsidRPr="002C4F7C" w:rsidRDefault="00AF0FDB" w:rsidP="002C4F7C">
            <w:pPr>
              <w:spacing w:line="276" w:lineRule="auto"/>
              <w:rPr>
                <w:b/>
                <w:bCs/>
                <w:sz w:val="22"/>
                <w:szCs w:val="22"/>
              </w:rPr>
            </w:pPr>
            <w:r w:rsidRPr="002C4F7C">
              <w:rPr>
                <w:sz w:val="22"/>
                <w:szCs w:val="22"/>
              </w:rPr>
              <w:t xml:space="preserve">                     215</w:t>
            </w:r>
          </w:p>
        </w:tc>
      </w:tr>
    </w:tbl>
    <w:p w:rsidR="00AF0FDB" w:rsidRPr="00B036C7" w:rsidRDefault="00AF0FDB" w:rsidP="00B036C7">
      <w:r w:rsidRPr="00115250">
        <w:t>Pracownicy narażeni stanowili 2,5% ogółu zatrudnionych w skontrolowanych zakładach. Podobnie jak w roku ubiegłym najwięcej pracowników było eksponowanych na ponadnormatywny hałas (95 % ogółu narażonych). W związku z tym zobowiązano pracodawców do podjęcia działań technicznych i organizacyjnych zmierzających do obniżenia poziomu emisji czynników szkodliwych na stanowiskach pracy oraz ekspozycji pracowników. Powyższe zostało wykonane poprzez zmodernizowanie parku maszynowego, wprowadzanie automatyzacji i hermetyzacji procesów produkcyjnych, czy zastosowanie nowych systemów ochron zbiorowych (tj. wentylacji lub odciągów).</w:t>
      </w:r>
      <w:r w:rsidRPr="00115250">
        <w:br/>
        <w:t>W przypadku braku możliwości zastosowania środków technicznych wprowadzano zmiany organizacyjne np. skrócenie czasu ekspozycji pracowników. Udostępniono również atestowane i odpowiednio dobrane środki ochrony indywidualnej (np. ochro</w:t>
      </w:r>
      <w:r>
        <w:t>nniki słuchu, rękawice, maski).</w:t>
      </w:r>
    </w:p>
    <w:p w:rsidR="00AF0FDB" w:rsidRPr="00115250" w:rsidRDefault="00AF0FDB" w:rsidP="00201345">
      <w:pPr>
        <w:pStyle w:val="Heading1"/>
        <w:rPr>
          <w:rFonts w:ascii="Times New Roman" w:hAnsi="Times New Roman" w:cs="Times New Roman"/>
          <w:sz w:val="24"/>
          <w:szCs w:val="24"/>
        </w:rPr>
      </w:pPr>
      <w:bookmarkStart w:id="279" w:name="_Toc938844"/>
      <w:r w:rsidRPr="00115250">
        <w:rPr>
          <w:rFonts w:ascii="Times New Roman" w:hAnsi="Times New Roman" w:cs="Times New Roman"/>
          <w:sz w:val="24"/>
          <w:szCs w:val="24"/>
        </w:rPr>
        <w:t>Postępowanie administracyjne</w:t>
      </w:r>
      <w:bookmarkEnd w:id="279"/>
    </w:p>
    <w:p w:rsidR="00AF0FDB" w:rsidRPr="00115250" w:rsidRDefault="00AF0FDB" w:rsidP="00093650">
      <w:pPr>
        <w:jc w:val="both"/>
      </w:pPr>
      <w:r w:rsidRPr="00115250">
        <w:t>W 578 skontrolowanych zakładach pracy (</w:t>
      </w:r>
      <w:r w:rsidRPr="00115250">
        <w:rPr>
          <w:b/>
          <w:bCs/>
        </w:rPr>
        <w:t>50 %</w:t>
      </w:r>
      <w:r w:rsidRPr="00115250">
        <w:t xml:space="preserve">) </w:t>
      </w:r>
      <w:r w:rsidRPr="00115250">
        <w:rPr>
          <w:b/>
          <w:bCs/>
        </w:rPr>
        <w:t>wystąpiły nieprawidłowości</w:t>
      </w:r>
      <w:r w:rsidRPr="00115250">
        <w:t>, na których usunięcie wydano decyzje administracyjne lub zalecenia.</w:t>
      </w:r>
    </w:p>
    <w:p w:rsidR="00AF0FDB" w:rsidRPr="00115250" w:rsidRDefault="00AF0FDB" w:rsidP="00093650">
      <w:pPr>
        <w:jc w:val="both"/>
      </w:pPr>
      <w:r w:rsidRPr="00115250">
        <w:t>Najczęściej stwierdzane nieprawidłowości dotyczyły:</w:t>
      </w:r>
    </w:p>
    <w:p w:rsidR="00AF0FDB" w:rsidRPr="00115250" w:rsidRDefault="00AF0FDB" w:rsidP="00DE0EFA">
      <w:pPr>
        <w:numPr>
          <w:ilvl w:val="0"/>
          <w:numId w:val="26"/>
        </w:numPr>
        <w:spacing w:before="0" w:after="0"/>
        <w:jc w:val="both"/>
      </w:pPr>
      <w:r w:rsidRPr="00115250">
        <w:t>złego stanu sanitarno – higienicznego pomieszczeń pracy i pomieszczeń socjalnych - 23% (w 261 zakładach)</w:t>
      </w:r>
      <w:r>
        <w:t>,</w:t>
      </w:r>
    </w:p>
    <w:p w:rsidR="00AF0FDB" w:rsidRPr="00115250" w:rsidRDefault="00AF0FDB" w:rsidP="00DE0EFA">
      <w:pPr>
        <w:numPr>
          <w:ilvl w:val="0"/>
          <w:numId w:val="26"/>
        </w:numPr>
        <w:spacing w:before="0" w:after="0"/>
        <w:jc w:val="both"/>
      </w:pPr>
      <w:r w:rsidRPr="00115250">
        <w:t>uchybień z zakresu substancji i preparatów chemicznych - 22% (w 251 zakładach )</w:t>
      </w:r>
      <w:r>
        <w:t>,</w:t>
      </w:r>
    </w:p>
    <w:p w:rsidR="00AF0FDB" w:rsidRPr="00115250" w:rsidRDefault="00AF0FDB" w:rsidP="00DE0EFA">
      <w:pPr>
        <w:numPr>
          <w:ilvl w:val="0"/>
          <w:numId w:val="26"/>
        </w:numPr>
        <w:spacing w:before="0" w:after="0"/>
        <w:jc w:val="both"/>
      </w:pPr>
      <w:r w:rsidRPr="00115250">
        <w:t>braku pomiarów środowiskowych - 14% ( w 162 zakładach)</w:t>
      </w:r>
      <w:r>
        <w:t>,</w:t>
      </w:r>
    </w:p>
    <w:p w:rsidR="00AF0FDB" w:rsidRPr="00115250" w:rsidRDefault="00AF0FDB" w:rsidP="00DE0EFA">
      <w:pPr>
        <w:numPr>
          <w:ilvl w:val="0"/>
          <w:numId w:val="26"/>
        </w:numPr>
        <w:spacing w:before="0" w:after="0"/>
        <w:jc w:val="both"/>
      </w:pPr>
      <w:r w:rsidRPr="00115250">
        <w:t>braku oceny ryzyka zawodowego -10% (w 112 zakładach)</w:t>
      </w:r>
      <w:r>
        <w:t>.</w:t>
      </w:r>
    </w:p>
    <w:p w:rsidR="00AF0FDB" w:rsidRPr="00115250" w:rsidRDefault="00AF0FDB" w:rsidP="00093650">
      <w:pPr>
        <w:jc w:val="both"/>
      </w:pPr>
      <w:r w:rsidRPr="00115250">
        <w:t>W związku ze stwierdzonymi nieprawidłowościami z zakresu bieżącego nadzoru sanitarnego wydano łącznie 115 decyzji administracyjnych nakazujących poprawę warunków pracy (134 w roku 2017), 2 postanowienia o nałożeniu kary grzywny na kwotę 300 zł oraz  1 mandat na kwotę 100 zł.</w:t>
      </w:r>
    </w:p>
    <w:p w:rsidR="00AF0FDB" w:rsidRPr="00E150CC" w:rsidRDefault="00AF0FDB" w:rsidP="00F70EF8">
      <w:pPr>
        <w:spacing w:before="0" w:after="0"/>
        <w:jc w:val="right"/>
        <w:rPr>
          <w:b/>
          <w:bCs/>
          <w:color w:val="FF0000"/>
        </w:rPr>
      </w:pPr>
    </w:p>
    <w:p w:rsidR="00AF0FDB" w:rsidRDefault="00AF0FDB" w:rsidP="00F70EF8">
      <w:pPr>
        <w:spacing w:before="0" w:after="0"/>
        <w:jc w:val="right"/>
        <w:rPr>
          <w:b/>
          <w:bCs/>
          <w:color w:val="FF0000"/>
        </w:rPr>
      </w:pPr>
    </w:p>
    <w:p w:rsidR="00AF0FDB" w:rsidRDefault="00AF0FDB" w:rsidP="00F70EF8">
      <w:pPr>
        <w:spacing w:before="0" w:after="0"/>
        <w:jc w:val="right"/>
        <w:rPr>
          <w:b/>
          <w:bCs/>
          <w:color w:val="FF0000"/>
        </w:rPr>
      </w:pPr>
    </w:p>
    <w:p w:rsidR="00AF0FDB" w:rsidRDefault="00AF0FDB" w:rsidP="00F70EF8">
      <w:pPr>
        <w:spacing w:before="0" w:after="0"/>
        <w:jc w:val="right"/>
        <w:rPr>
          <w:b/>
          <w:bCs/>
          <w:color w:val="FF0000"/>
        </w:rPr>
      </w:pPr>
    </w:p>
    <w:p w:rsidR="00AF0FDB" w:rsidRDefault="00AF0FDB" w:rsidP="00F70EF8">
      <w:pPr>
        <w:spacing w:before="0" w:after="0"/>
        <w:jc w:val="right"/>
        <w:rPr>
          <w:b/>
          <w:bCs/>
          <w:color w:val="FF0000"/>
        </w:rPr>
      </w:pPr>
    </w:p>
    <w:p w:rsidR="00AF0FDB" w:rsidRPr="00E150CC" w:rsidRDefault="00AF0FDB" w:rsidP="00F70EF8">
      <w:pPr>
        <w:spacing w:before="0" w:after="0"/>
        <w:jc w:val="right"/>
        <w:rPr>
          <w:b/>
          <w:bCs/>
          <w:color w:val="FF0000"/>
        </w:rPr>
      </w:pPr>
    </w:p>
    <w:p w:rsidR="00AF0FDB" w:rsidRPr="00E150CC" w:rsidRDefault="00AF0FDB" w:rsidP="00F70EF8">
      <w:pPr>
        <w:spacing w:before="0" w:after="0"/>
        <w:jc w:val="right"/>
        <w:rPr>
          <w:b/>
          <w:bCs/>
          <w:color w:val="FF0000"/>
        </w:rPr>
      </w:pPr>
    </w:p>
    <w:p w:rsidR="00AF0FDB" w:rsidRPr="00115250" w:rsidRDefault="00AF0FDB" w:rsidP="00F70EF8">
      <w:pPr>
        <w:spacing w:before="0" w:after="0"/>
        <w:jc w:val="right"/>
        <w:rPr>
          <w:b/>
          <w:bCs/>
        </w:rPr>
      </w:pPr>
      <w:r w:rsidRPr="00115250">
        <w:rPr>
          <w:b/>
          <w:bCs/>
        </w:rPr>
        <w:t xml:space="preserve">Nadzór nad czynnikami rakotwórczymi i mutagennymi </w:t>
      </w:r>
    </w:p>
    <w:p w:rsidR="00AF0FDB" w:rsidRPr="00115250" w:rsidRDefault="00AF0FDB" w:rsidP="00F70EF8">
      <w:pPr>
        <w:spacing w:before="0" w:after="0"/>
        <w:jc w:val="right"/>
      </w:pPr>
      <w:r w:rsidRPr="00115250">
        <w:rPr>
          <w:b/>
          <w:bCs/>
        </w:rPr>
        <w:t>w środowisku pracy</w:t>
      </w:r>
    </w:p>
    <w:p w:rsidR="00AF0FDB" w:rsidRPr="00115250" w:rsidRDefault="00AF0FDB" w:rsidP="007B305C">
      <w:pPr>
        <w:jc w:val="both"/>
      </w:pPr>
      <w:r w:rsidRPr="00115250">
        <w:t xml:space="preserve">W ewidencji znajduje się 130 zakładów, w których występują substancje chemiczne i ich mieszaniny, czynniki lub procesy technologiczne o działaniu rakotwórczym lub mutagennym. Najliczniejszą grupę stanowią zakłady stolarskie ( pył drewna twardego buku i dębu), zakłady opieki zdrowotnej (promieniowanie jonizujące, tlenek etylenu) i zakłady produkujące wyroby metalowe (tlenki niklu i związki chromu VI wartościowego). W tym zakresie w roku 2018 przeprowadzono kontrole w 73 zakładach. </w:t>
      </w:r>
    </w:p>
    <w:p w:rsidR="00AF0FDB" w:rsidRPr="00115250" w:rsidRDefault="00AF0FDB" w:rsidP="00CB16F4">
      <w:pPr>
        <w:jc w:val="both"/>
      </w:pPr>
      <w:r w:rsidRPr="00115250">
        <w:t xml:space="preserve">W skontrolowanych zakładach w kontakcie z czynnikiem rakotwórczym lub mutagennym pracowało 3320 osób. Szczególnym nadzorem objęto podmioty zajmujące się zabezpieczeniem oraz usuwaniem wyrobów lub innych materiałów zawierających azbest. </w:t>
      </w:r>
    </w:p>
    <w:p w:rsidR="00AF0FDB" w:rsidRPr="00115250" w:rsidRDefault="00AF0FDB" w:rsidP="00CB16F4">
      <w:pPr>
        <w:jc w:val="both"/>
      </w:pPr>
      <w:r w:rsidRPr="00115250">
        <w:t>Do najczęściej stwierdzonych uchybień w zakresie czynników rakotwórczych należało:</w:t>
      </w:r>
    </w:p>
    <w:p w:rsidR="00AF0FDB" w:rsidRPr="00115250" w:rsidRDefault="00AF0FDB" w:rsidP="00DE0EFA">
      <w:pPr>
        <w:numPr>
          <w:ilvl w:val="0"/>
          <w:numId w:val="11"/>
        </w:numPr>
        <w:spacing w:before="0" w:after="0"/>
        <w:jc w:val="both"/>
      </w:pPr>
      <w:r w:rsidRPr="00115250">
        <w:t>brak rejestru prac, których wykonywanie powoduje konieczność pozostawania</w:t>
      </w:r>
      <w:r w:rsidRPr="00115250">
        <w:br/>
        <w:t>w kontakcie z czynnikami o działaniu rakotwórczym,</w:t>
      </w:r>
    </w:p>
    <w:p w:rsidR="00AF0FDB" w:rsidRPr="00115250" w:rsidRDefault="00AF0FDB" w:rsidP="00DE0EFA">
      <w:pPr>
        <w:numPr>
          <w:ilvl w:val="0"/>
          <w:numId w:val="11"/>
        </w:numPr>
        <w:spacing w:before="0" w:after="0"/>
        <w:jc w:val="both"/>
      </w:pPr>
      <w:r w:rsidRPr="00115250">
        <w:t>brak rejestru pracowników narażonych na działanie czynników rakotwórczych.</w:t>
      </w:r>
    </w:p>
    <w:p w:rsidR="00AF0FDB" w:rsidRDefault="00AF0FDB" w:rsidP="00530079">
      <w:pPr>
        <w:jc w:val="both"/>
      </w:pPr>
      <w:r w:rsidRPr="00115250">
        <w:t xml:space="preserve">Przeprowadzone kontrole wykazały, iż zakłady stosujące dotychczas w procesie produkcji czynniki rakotwórcze czynią starania zmierzające do ich eliminacji. Najczęściej </w:t>
      </w:r>
      <w:r w:rsidRPr="00115250">
        <w:br/>
        <w:t>i najpowszechniej stosowane są środki ochrony osobistej. Badania profilaktyczne przeprowadzane są przez lekarzy uprawnionych, zgodnie z obowiązują</w:t>
      </w:r>
      <w:r>
        <w:t>cymi przepisami.</w:t>
      </w:r>
    </w:p>
    <w:p w:rsidR="00AF0FDB" w:rsidRPr="00115250" w:rsidRDefault="00AF0FDB" w:rsidP="00530079">
      <w:pPr>
        <w:jc w:val="both"/>
      </w:pPr>
    </w:p>
    <w:p w:rsidR="00AF0FDB" w:rsidRPr="00115250" w:rsidRDefault="00AF0FDB" w:rsidP="008F67B2">
      <w:pPr>
        <w:pStyle w:val="Heading1"/>
        <w:rPr>
          <w:rFonts w:ascii="Times New Roman" w:hAnsi="Times New Roman" w:cs="Times New Roman"/>
          <w:sz w:val="24"/>
          <w:szCs w:val="24"/>
        </w:rPr>
      </w:pPr>
      <w:bookmarkStart w:id="280" w:name="_Toc938845"/>
      <w:r w:rsidRPr="00115250">
        <w:rPr>
          <w:rFonts w:ascii="Times New Roman" w:hAnsi="Times New Roman" w:cs="Times New Roman"/>
          <w:sz w:val="24"/>
          <w:szCs w:val="24"/>
        </w:rPr>
        <w:t>Nadzór nad szkodliwymi czynnikami biologicznymi</w:t>
      </w:r>
      <w:bookmarkEnd w:id="280"/>
    </w:p>
    <w:p w:rsidR="00AF0FDB" w:rsidRDefault="00AF0FDB" w:rsidP="007938BD">
      <w:pPr>
        <w:jc w:val="both"/>
      </w:pPr>
      <w:r w:rsidRPr="00115250">
        <w:t xml:space="preserve">W ramach nadzoru nad szkodliwymi czynnikami biologicznymi w środowisku pracy przeprowadzono 285 kontroli sanitarnych w 237 obiektach (w roku ubiegłym 433 kontrole </w:t>
      </w:r>
      <w:r>
        <w:t xml:space="preserve">w 237 obiektach). </w:t>
      </w:r>
    </w:p>
    <w:p w:rsidR="00AF0FDB" w:rsidRPr="00115250" w:rsidRDefault="00AF0FDB" w:rsidP="007938BD">
      <w:pPr>
        <w:jc w:val="both"/>
      </w:pPr>
      <w:r w:rsidRPr="00115250">
        <w:t>Na działanie czynników biologicznych potencjalnie eksponowanych było 14</w:t>
      </w:r>
      <w:r>
        <w:t xml:space="preserve"> </w:t>
      </w:r>
      <w:r w:rsidRPr="00115250">
        <w:t>620 pracowników.</w:t>
      </w:r>
    </w:p>
    <w:p w:rsidR="00AF0FDB" w:rsidRPr="00115250" w:rsidRDefault="00AF0FDB" w:rsidP="007938BD">
      <w:pPr>
        <w:jc w:val="both"/>
      </w:pPr>
      <w:r w:rsidRPr="00115250">
        <w:t>Do najczęściej stwierdzanych uchybień w zakresie czynników biologicznych należy:</w:t>
      </w:r>
    </w:p>
    <w:p w:rsidR="00AF0FDB" w:rsidRPr="00115250" w:rsidRDefault="00AF0FDB" w:rsidP="00DE0EFA">
      <w:pPr>
        <w:numPr>
          <w:ilvl w:val="0"/>
          <w:numId w:val="12"/>
        </w:numPr>
        <w:spacing w:before="0" w:after="0"/>
        <w:jc w:val="both"/>
      </w:pPr>
      <w:r w:rsidRPr="00115250">
        <w:t>brak uwzględnienia ekspozycji na szkodliwe czynniki biologiczne w ocenie ryzyka zawodowego,</w:t>
      </w:r>
    </w:p>
    <w:p w:rsidR="00AF0FDB" w:rsidRPr="00115250" w:rsidRDefault="00AF0FDB" w:rsidP="00DE0EFA">
      <w:pPr>
        <w:numPr>
          <w:ilvl w:val="0"/>
          <w:numId w:val="12"/>
        </w:numPr>
        <w:spacing w:before="0" w:after="0"/>
        <w:jc w:val="both"/>
      </w:pPr>
      <w:r w:rsidRPr="00115250">
        <w:t>brak wymaganych przepisami rejestrów prac i pracowników narażonych na działanie czynników biologicznych z 3 grupy zagrożenia,</w:t>
      </w:r>
    </w:p>
    <w:p w:rsidR="00AF0FDB" w:rsidRPr="00115250" w:rsidRDefault="00AF0FDB" w:rsidP="00DE0EFA">
      <w:pPr>
        <w:numPr>
          <w:ilvl w:val="0"/>
          <w:numId w:val="12"/>
        </w:numPr>
        <w:spacing w:before="0" w:after="0"/>
        <w:jc w:val="both"/>
      </w:pPr>
      <w:r w:rsidRPr="00115250">
        <w:t>brak procedur i instrukcji dotyczących bezpiecznego postępowania ze szkodliwymi czynnikami biologicznymi,</w:t>
      </w:r>
    </w:p>
    <w:p w:rsidR="00AF0FDB" w:rsidRPr="00115250" w:rsidRDefault="00AF0FDB" w:rsidP="00DE0EFA">
      <w:pPr>
        <w:numPr>
          <w:ilvl w:val="0"/>
          <w:numId w:val="12"/>
        </w:numPr>
        <w:spacing w:before="0" w:after="0"/>
        <w:jc w:val="both"/>
      </w:pPr>
      <w:r w:rsidRPr="00115250">
        <w:t>brak oznakowania miejsc znakiem ostrzegającym przed zagrożeniem biologicznym.</w:t>
      </w:r>
    </w:p>
    <w:p w:rsidR="00AF0FDB" w:rsidRDefault="00AF0FDB" w:rsidP="007938BD">
      <w:pPr>
        <w:jc w:val="both"/>
      </w:pPr>
      <w:r w:rsidRPr="00115250">
        <w:t>Przeprowadzone kontrole wykazały, iż pracodawcy podejmują szereg działań profilaktycznych zmniejszających narażenie pracowników m.in. zapewniają środki ochrony indywidualnej, środki do odkażania skóry oraz proponują pracownikom profilaktyczne szczepienia ochronne.</w:t>
      </w:r>
    </w:p>
    <w:p w:rsidR="00AF0FDB" w:rsidRPr="00115250" w:rsidRDefault="00AF0FDB" w:rsidP="007938BD">
      <w:pPr>
        <w:jc w:val="both"/>
      </w:pPr>
      <w:r>
        <w:t>Stwierdzono jeden przypadek boreliozy jako choroby zawodowej wywołanej czynnikami biologicznymi w miejscu pracy.</w:t>
      </w:r>
    </w:p>
    <w:p w:rsidR="00AF0FDB" w:rsidRPr="00115250" w:rsidRDefault="00AF0FDB" w:rsidP="00B04F3A">
      <w:pPr>
        <w:pStyle w:val="Heading1"/>
        <w:spacing w:before="0" w:after="0"/>
        <w:rPr>
          <w:rFonts w:ascii="Times New Roman" w:hAnsi="Times New Roman" w:cs="Times New Roman"/>
          <w:sz w:val="24"/>
          <w:szCs w:val="24"/>
        </w:rPr>
      </w:pPr>
    </w:p>
    <w:p w:rsidR="00AF0FDB" w:rsidRPr="00115250" w:rsidRDefault="00AF0FDB" w:rsidP="00B04F3A">
      <w:pPr>
        <w:pStyle w:val="Heading1"/>
        <w:spacing w:before="0" w:after="0"/>
        <w:rPr>
          <w:rFonts w:ascii="Times New Roman" w:hAnsi="Times New Roman" w:cs="Times New Roman"/>
          <w:sz w:val="24"/>
          <w:szCs w:val="24"/>
        </w:rPr>
      </w:pPr>
      <w:bookmarkStart w:id="281" w:name="_Toc938846"/>
      <w:r w:rsidRPr="00115250">
        <w:rPr>
          <w:rFonts w:ascii="Times New Roman" w:hAnsi="Times New Roman" w:cs="Times New Roman"/>
          <w:sz w:val="24"/>
          <w:szCs w:val="24"/>
        </w:rPr>
        <w:t>Nadzór nad substancjami chemicznymi</w:t>
      </w:r>
      <w:bookmarkEnd w:id="281"/>
      <w:r w:rsidRPr="00115250">
        <w:rPr>
          <w:rFonts w:ascii="Times New Roman" w:hAnsi="Times New Roman" w:cs="Times New Roman"/>
          <w:sz w:val="24"/>
          <w:szCs w:val="24"/>
        </w:rPr>
        <w:t xml:space="preserve"> </w:t>
      </w:r>
    </w:p>
    <w:p w:rsidR="00AF0FDB" w:rsidRPr="00115250" w:rsidRDefault="00AF0FDB" w:rsidP="00201345">
      <w:pPr>
        <w:pStyle w:val="Heading1"/>
        <w:spacing w:before="0" w:after="0"/>
        <w:rPr>
          <w:rFonts w:ascii="Times New Roman" w:hAnsi="Times New Roman" w:cs="Times New Roman"/>
          <w:sz w:val="24"/>
          <w:szCs w:val="24"/>
        </w:rPr>
      </w:pPr>
      <w:bookmarkStart w:id="282" w:name="_Toc938847"/>
      <w:r w:rsidRPr="00115250">
        <w:rPr>
          <w:rFonts w:ascii="Times New Roman" w:hAnsi="Times New Roman" w:cs="Times New Roman"/>
          <w:sz w:val="24"/>
          <w:szCs w:val="24"/>
        </w:rPr>
        <w:t>i ich mieszaninami</w:t>
      </w:r>
      <w:bookmarkEnd w:id="282"/>
    </w:p>
    <w:p w:rsidR="00AF0FDB" w:rsidRPr="00115250" w:rsidRDefault="00AF0FDB" w:rsidP="00562336">
      <w:pPr>
        <w:tabs>
          <w:tab w:val="left" w:pos="9000"/>
        </w:tabs>
        <w:ind w:right="284"/>
        <w:jc w:val="both"/>
      </w:pPr>
      <w:r w:rsidRPr="00115250">
        <w:t>W ramach nadzoru nad czynnikami chemicznymi przeprowadzono 1214 kontroli</w:t>
      </w:r>
      <w:r w:rsidRPr="00115250">
        <w:br/>
        <w:t xml:space="preserve">w podmiotach zajmujących się produkcją, wprowadzaniem do obrotu, stosowaniem oraz dystrybucją substancji i preparatów chemicznych, prekursorów narkotyków kategorii 2 i 3, produktów biobójczych, środków zastępczych oraz środków ochrony roślin. </w:t>
      </w:r>
    </w:p>
    <w:p w:rsidR="00AF0FDB" w:rsidRPr="00115250" w:rsidRDefault="00AF0FDB" w:rsidP="00EF52EA">
      <w:pPr>
        <w:tabs>
          <w:tab w:val="left" w:pos="9000"/>
        </w:tabs>
        <w:ind w:right="284"/>
        <w:jc w:val="both"/>
        <w:rPr>
          <w:sz w:val="20"/>
          <w:szCs w:val="20"/>
        </w:rPr>
      </w:pPr>
      <w:r w:rsidRPr="00115250">
        <w:rPr>
          <w:b/>
          <w:bCs/>
          <w:sz w:val="20"/>
          <w:szCs w:val="20"/>
        </w:rPr>
        <w:t>Tab. 3</w:t>
      </w:r>
      <w:r w:rsidRPr="00115250">
        <w:rPr>
          <w:sz w:val="20"/>
          <w:szCs w:val="20"/>
        </w:rPr>
        <w:t>. Kontrole z zakresu nadzoru nad chemikaliami w roku 2018</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1E0"/>
      </w:tblPr>
      <w:tblGrid>
        <w:gridCol w:w="4463"/>
        <w:gridCol w:w="4504"/>
      </w:tblGrid>
      <w:tr w:rsidR="00AF0FDB" w:rsidRPr="00E150CC">
        <w:tc>
          <w:tcPr>
            <w:tcW w:w="8967" w:type="dxa"/>
            <w:gridSpan w:val="2"/>
            <w:tcBorders>
              <w:bottom w:val="single" w:sz="18" w:space="0" w:color="A5A5A5"/>
            </w:tcBorders>
          </w:tcPr>
          <w:p w:rsidR="00AF0FDB" w:rsidRPr="002C4F7C" w:rsidRDefault="00AF0FDB" w:rsidP="002C4F7C">
            <w:pPr>
              <w:tabs>
                <w:tab w:val="left" w:pos="9000"/>
              </w:tabs>
              <w:ind w:right="284" w:firstLine="708"/>
              <w:jc w:val="center"/>
              <w:rPr>
                <w:b/>
                <w:bCs/>
                <w:sz w:val="20"/>
                <w:szCs w:val="20"/>
              </w:rPr>
            </w:pPr>
            <w:r w:rsidRPr="002C4F7C">
              <w:rPr>
                <w:b/>
                <w:bCs/>
                <w:sz w:val="20"/>
                <w:szCs w:val="20"/>
              </w:rPr>
              <w:t>Kontrole w zakresie nadzoru nad chemikaliami w 2018 roku</w:t>
            </w:r>
          </w:p>
        </w:tc>
      </w:tr>
      <w:tr w:rsidR="00AF0FDB" w:rsidRPr="00E150CC">
        <w:trPr>
          <w:trHeight w:val="576"/>
        </w:trPr>
        <w:tc>
          <w:tcPr>
            <w:tcW w:w="4463" w:type="dxa"/>
            <w:shd w:val="clear" w:color="auto" w:fill="E8E8E8"/>
          </w:tcPr>
          <w:p w:rsidR="00AF0FDB" w:rsidRPr="002C4F7C" w:rsidRDefault="00AF0FDB" w:rsidP="002C4F7C">
            <w:pPr>
              <w:tabs>
                <w:tab w:val="left" w:pos="9000"/>
              </w:tabs>
              <w:ind w:right="284" w:firstLine="708"/>
              <w:jc w:val="center"/>
              <w:rPr>
                <w:b/>
                <w:bCs/>
                <w:sz w:val="20"/>
                <w:szCs w:val="20"/>
              </w:rPr>
            </w:pPr>
            <w:r w:rsidRPr="002C4F7C">
              <w:rPr>
                <w:b/>
                <w:bCs/>
                <w:sz w:val="20"/>
                <w:szCs w:val="20"/>
              </w:rPr>
              <w:t>Tematyka kontroli</w:t>
            </w:r>
          </w:p>
        </w:tc>
        <w:tc>
          <w:tcPr>
            <w:tcW w:w="4464" w:type="dxa"/>
            <w:shd w:val="clear" w:color="auto" w:fill="E8E8E8"/>
          </w:tcPr>
          <w:p w:rsidR="00AF0FDB" w:rsidRPr="002C4F7C" w:rsidRDefault="00AF0FDB" w:rsidP="002C4F7C">
            <w:pPr>
              <w:tabs>
                <w:tab w:val="left" w:pos="9000"/>
              </w:tabs>
              <w:ind w:right="284"/>
              <w:jc w:val="center"/>
              <w:rPr>
                <w:b/>
                <w:bCs/>
                <w:sz w:val="20"/>
                <w:szCs w:val="20"/>
              </w:rPr>
            </w:pPr>
            <w:r w:rsidRPr="002C4F7C">
              <w:rPr>
                <w:b/>
                <w:bCs/>
                <w:sz w:val="20"/>
                <w:szCs w:val="20"/>
              </w:rPr>
              <w:t>Liczba kontroli</w:t>
            </w:r>
          </w:p>
        </w:tc>
      </w:tr>
      <w:tr w:rsidR="00AF0FDB" w:rsidRPr="00E150CC">
        <w:trPr>
          <w:trHeight w:val="1088"/>
        </w:trPr>
        <w:tc>
          <w:tcPr>
            <w:tcW w:w="4463" w:type="dxa"/>
          </w:tcPr>
          <w:p w:rsidR="00AF0FDB" w:rsidRPr="002C4F7C" w:rsidRDefault="00AF0FDB" w:rsidP="002C4F7C">
            <w:pPr>
              <w:tabs>
                <w:tab w:val="left" w:pos="9000"/>
              </w:tabs>
              <w:ind w:right="284"/>
              <w:jc w:val="both"/>
              <w:rPr>
                <w:b/>
                <w:bCs/>
                <w:sz w:val="22"/>
                <w:szCs w:val="22"/>
              </w:rPr>
            </w:pPr>
            <w:r w:rsidRPr="002C4F7C">
              <w:rPr>
                <w:sz w:val="22"/>
                <w:szCs w:val="22"/>
              </w:rPr>
              <w:t xml:space="preserve">Substancje chemiczne i ich mieszaniny (stosowanie) </w:t>
            </w:r>
          </w:p>
        </w:tc>
        <w:tc>
          <w:tcPr>
            <w:tcW w:w="4464" w:type="dxa"/>
          </w:tcPr>
          <w:p w:rsidR="00AF0FDB" w:rsidRPr="002C4F7C" w:rsidRDefault="00AF0FDB" w:rsidP="002C4F7C">
            <w:pPr>
              <w:tabs>
                <w:tab w:val="left" w:pos="9000"/>
              </w:tabs>
              <w:ind w:right="284"/>
              <w:jc w:val="center"/>
              <w:rPr>
                <w:b/>
                <w:bCs/>
                <w:sz w:val="22"/>
                <w:szCs w:val="22"/>
              </w:rPr>
            </w:pPr>
            <w:r w:rsidRPr="002C4F7C">
              <w:rPr>
                <w:b/>
                <w:bCs/>
                <w:sz w:val="22"/>
                <w:szCs w:val="22"/>
              </w:rPr>
              <w:t>1047</w:t>
            </w:r>
          </w:p>
        </w:tc>
      </w:tr>
      <w:tr w:rsidR="00AF0FDB" w:rsidRPr="00E150CC">
        <w:tc>
          <w:tcPr>
            <w:tcW w:w="4463" w:type="dxa"/>
            <w:shd w:val="clear" w:color="auto" w:fill="E8E8E8"/>
          </w:tcPr>
          <w:p w:rsidR="00AF0FDB" w:rsidRPr="002C4F7C" w:rsidRDefault="00AF0FDB" w:rsidP="002C4F7C">
            <w:pPr>
              <w:tabs>
                <w:tab w:val="left" w:pos="9000"/>
              </w:tabs>
              <w:spacing w:before="0" w:after="0"/>
              <w:ind w:right="284"/>
              <w:jc w:val="both"/>
              <w:rPr>
                <w:b/>
                <w:bCs/>
                <w:sz w:val="22"/>
                <w:szCs w:val="22"/>
              </w:rPr>
            </w:pPr>
            <w:r w:rsidRPr="002C4F7C">
              <w:rPr>
                <w:sz w:val="22"/>
                <w:szCs w:val="22"/>
              </w:rPr>
              <w:t xml:space="preserve">Substancje i preparaty chemiczne </w:t>
            </w:r>
          </w:p>
          <w:p w:rsidR="00AF0FDB" w:rsidRPr="002C4F7C" w:rsidRDefault="00AF0FDB" w:rsidP="002C4F7C">
            <w:pPr>
              <w:tabs>
                <w:tab w:val="left" w:pos="9000"/>
              </w:tabs>
              <w:spacing w:before="0" w:after="0"/>
              <w:ind w:right="284"/>
              <w:jc w:val="both"/>
              <w:rPr>
                <w:b/>
                <w:bCs/>
                <w:sz w:val="22"/>
                <w:szCs w:val="22"/>
              </w:rPr>
            </w:pPr>
            <w:r w:rsidRPr="002C4F7C">
              <w:rPr>
                <w:sz w:val="22"/>
                <w:szCs w:val="22"/>
              </w:rPr>
              <w:t xml:space="preserve">(wprowadzanie do obrotu) </w:t>
            </w:r>
          </w:p>
        </w:tc>
        <w:tc>
          <w:tcPr>
            <w:tcW w:w="4464" w:type="dxa"/>
            <w:shd w:val="clear" w:color="auto" w:fill="E8E8E8"/>
          </w:tcPr>
          <w:p w:rsidR="00AF0FDB" w:rsidRPr="002C4F7C" w:rsidRDefault="00AF0FDB" w:rsidP="002C4F7C">
            <w:pPr>
              <w:tabs>
                <w:tab w:val="left" w:pos="9000"/>
              </w:tabs>
              <w:ind w:right="284"/>
              <w:jc w:val="center"/>
              <w:rPr>
                <w:b/>
                <w:bCs/>
                <w:sz w:val="22"/>
                <w:szCs w:val="22"/>
              </w:rPr>
            </w:pPr>
            <w:r w:rsidRPr="002C4F7C">
              <w:rPr>
                <w:b/>
                <w:bCs/>
                <w:sz w:val="22"/>
                <w:szCs w:val="22"/>
              </w:rPr>
              <w:t>129</w:t>
            </w:r>
          </w:p>
        </w:tc>
      </w:tr>
      <w:tr w:rsidR="00AF0FDB" w:rsidRPr="00E150CC">
        <w:tc>
          <w:tcPr>
            <w:tcW w:w="4463" w:type="dxa"/>
          </w:tcPr>
          <w:p w:rsidR="00AF0FDB" w:rsidRPr="002C4F7C" w:rsidRDefault="00AF0FDB" w:rsidP="002C4F7C">
            <w:pPr>
              <w:tabs>
                <w:tab w:val="left" w:pos="9000"/>
              </w:tabs>
              <w:ind w:right="284"/>
              <w:jc w:val="both"/>
              <w:rPr>
                <w:b/>
                <w:bCs/>
                <w:sz w:val="22"/>
                <w:szCs w:val="22"/>
              </w:rPr>
            </w:pPr>
            <w:r w:rsidRPr="002C4F7C">
              <w:rPr>
                <w:sz w:val="22"/>
                <w:szCs w:val="22"/>
              </w:rPr>
              <w:t>Środki zastępcze</w:t>
            </w:r>
          </w:p>
        </w:tc>
        <w:tc>
          <w:tcPr>
            <w:tcW w:w="4464" w:type="dxa"/>
          </w:tcPr>
          <w:p w:rsidR="00AF0FDB" w:rsidRPr="002C4F7C" w:rsidRDefault="00AF0FDB" w:rsidP="002C4F7C">
            <w:pPr>
              <w:tabs>
                <w:tab w:val="left" w:pos="9000"/>
              </w:tabs>
              <w:ind w:right="284"/>
              <w:jc w:val="center"/>
              <w:rPr>
                <w:b/>
                <w:bCs/>
                <w:sz w:val="22"/>
                <w:szCs w:val="22"/>
              </w:rPr>
            </w:pPr>
            <w:r w:rsidRPr="002C4F7C">
              <w:rPr>
                <w:b/>
                <w:bCs/>
                <w:sz w:val="22"/>
                <w:szCs w:val="22"/>
              </w:rPr>
              <w:t>2</w:t>
            </w:r>
          </w:p>
        </w:tc>
      </w:tr>
      <w:tr w:rsidR="00AF0FDB" w:rsidRPr="00E150CC">
        <w:tc>
          <w:tcPr>
            <w:tcW w:w="4463" w:type="dxa"/>
            <w:shd w:val="clear" w:color="auto" w:fill="E8E8E8"/>
          </w:tcPr>
          <w:p w:rsidR="00AF0FDB" w:rsidRPr="002C4F7C" w:rsidRDefault="00AF0FDB" w:rsidP="002C4F7C">
            <w:pPr>
              <w:tabs>
                <w:tab w:val="left" w:pos="9000"/>
              </w:tabs>
              <w:ind w:right="284"/>
              <w:jc w:val="both"/>
              <w:rPr>
                <w:b/>
                <w:bCs/>
                <w:sz w:val="22"/>
                <w:szCs w:val="22"/>
              </w:rPr>
            </w:pPr>
            <w:r w:rsidRPr="002C4F7C">
              <w:rPr>
                <w:sz w:val="22"/>
                <w:szCs w:val="22"/>
              </w:rPr>
              <w:t>Prekursory kategorii 2 i 3</w:t>
            </w:r>
          </w:p>
        </w:tc>
        <w:tc>
          <w:tcPr>
            <w:tcW w:w="4464" w:type="dxa"/>
            <w:shd w:val="clear" w:color="auto" w:fill="E8E8E8"/>
          </w:tcPr>
          <w:p w:rsidR="00AF0FDB" w:rsidRPr="002C4F7C" w:rsidRDefault="00AF0FDB" w:rsidP="002C4F7C">
            <w:pPr>
              <w:tabs>
                <w:tab w:val="left" w:pos="9000"/>
              </w:tabs>
              <w:ind w:right="284"/>
              <w:jc w:val="center"/>
              <w:rPr>
                <w:b/>
                <w:bCs/>
                <w:sz w:val="22"/>
                <w:szCs w:val="22"/>
              </w:rPr>
            </w:pPr>
            <w:r w:rsidRPr="002C4F7C">
              <w:rPr>
                <w:b/>
                <w:bCs/>
                <w:sz w:val="22"/>
                <w:szCs w:val="22"/>
              </w:rPr>
              <w:t>31</w:t>
            </w:r>
          </w:p>
        </w:tc>
      </w:tr>
      <w:tr w:rsidR="00AF0FDB" w:rsidRPr="00E150CC">
        <w:tc>
          <w:tcPr>
            <w:tcW w:w="4463" w:type="dxa"/>
            <w:tcBorders>
              <w:top w:val="double" w:sz="6" w:space="0" w:color="A5A5A5"/>
            </w:tcBorders>
          </w:tcPr>
          <w:p w:rsidR="00AF0FDB" w:rsidRPr="002C4F7C" w:rsidRDefault="00AF0FDB" w:rsidP="002C4F7C">
            <w:pPr>
              <w:tabs>
                <w:tab w:val="left" w:pos="9000"/>
              </w:tabs>
              <w:ind w:right="284"/>
              <w:jc w:val="both"/>
              <w:rPr>
                <w:b/>
                <w:bCs/>
                <w:sz w:val="22"/>
                <w:szCs w:val="22"/>
              </w:rPr>
            </w:pPr>
            <w:r w:rsidRPr="002C4F7C">
              <w:rPr>
                <w:sz w:val="22"/>
                <w:szCs w:val="22"/>
              </w:rPr>
              <w:t>Produkty biobójcze</w:t>
            </w:r>
          </w:p>
        </w:tc>
        <w:tc>
          <w:tcPr>
            <w:tcW w:w="4464" w:type="dxa"/>
            <w:tcBorders>
              <w:top w:val="double" w:sz="6" w:space="0" w:color="A5A5A5"/>
            </w:tcBorders>
          </w:tcPr>
          <w:p w:rsidR="00AF0FDB" w:rsidRPr="002C4F7C" w:rsidRDefault="00AF0FDB" w:rsidP="002C4F7C">
            <w:pPr>
              <w:tabs>
                <w:tab w:val="left" w:pos="9000"/>
              </w:tabs>
              <w:ind w:right="284"/>
              <w:jc w:val="center"/>
              <w:rPr>
                <w:b/>
                <w:bCs/>
                <w:sz w:val="22"/>
                <w:szCs w:val="22"/>
              </w:rPr>
            </w:pPr>
            <w:r w:rsidRPr="002C4F7C">
              <w:rPr>
                <w:b/>
                <w:bCs/>
                <w:sz w:val="22"/>
                <w:szCs w:val="22"/>
              </w:rPr>
              <w:t>88</w:t>
            </w:r>
          </w:p>
        </w:tc>
      </w:tr>
    </w:tbl>
    <w:p w:rsidR="00AF0FDB" w:rsidRPr="00115250" w:rsidRDefault="00AF0FDB" w:rsidP="00C9590C">
      <w:pPr>
        <w:tabs>
          <w:tab w:val="left" w:pos="9000"/>
        </w:tabs>
        <w:ind w:right="284"/>
        <w:jc w:val="both"/>
      </w:pPr>
      <w:r w:rsidRPr="00115250">
        <w:t xml:space="preserve">Na terenie powiatu poznańskiego wprowadzało do obrotu substancje chemiczne i ich mieszaniny 12 producentów i 200 dystrybutorów. </w:t>
      </w:r>
    </w:p>
    <w:p w:rsidR="00AF0FDB" w:rsidRPr="00115250" w:rsidRDefault="00AF0FDB" w:rsidP="00C9590C">
      <w:pPr>
        <w:tabs>
          <w:tab w:val="left" w:pos="9000"/>
        </w:tabs>
        <w:ind w:right="284"/>
        <w:jc w:val="both"/>
      </w:pPr>
      <w:r w:rsidRPr="00115250">
        <w:t>Najczęstsze uchybienia dotyczyły:</w:t>
      </w:r>
    </w:p>
    <w:p w:rsidR="00AF0FDB" w:rsidRPr="00115250" w:rsidRDefault="00AF0FDB" w:rsidP="00DE0EFA">
      <w:pPr>
        <w:numPr>
          <w:ilvl w:val="0"/>
          <w:numId w:val="13"/>
        </w:numPr>
        <w:tabs>
          <w:tab w:val="left" w:pos="9000"/>
        </w:tabs>
        <w:spacing w:before="0" w:after="0"/>
        <w:ind w:right="284"/>
        <w:jc w:val="both"/>
      </w:pPr>
      <w:r w:rsidRPr="00115250">
        <w:t>niezgodnych z przepisami kart charakterystyki substancji chemicznych i ich mieszanin,</w:t>
      </w:r>
    </w:p>
    <w:p w:rsidR="00AF0FDB" w:rsidRPr="00115250" w:rsidRDefault="00AF0FDB" w:rsidP="00DE0EFA">
      <w:pPr>
        <w:numPr>
          <w:ilvl w:val="0"/>
          <w:numId w:val="13"/>
        </w:numPr>
        <w:tabs>
          <w:tab w:val="left" w:pos="9000"/>
        </w:tabs>
        <w:spacing w:before="0" w:after="0"/>
        <w:ind w:right="284"/>
        <w:jc w:val="both"/>
      </w:pPr>
      <w:r w:rsidRPr="00115250">
        <w:t>złego oznakowania substancji chemicznych i ich mieszanin,</w:t>
      </w:r>
    </w:p>
    <w:p w:rsidR="00AF0FDB" w:rsidRPr="00115250" w:rsidRDefault="00AF0FDB" w:rsidP="00DE0EFA">
      <w:pPr>
        <w:numPr>
          <w:ilvl w:val="0"/>
          <w:numId w:val="13"/>
        </w:numPr>
        <w:tabs>
          <w:tab w:val="left" w:pos="9000"/>
        </w:tabs>
        <w:spacing w:before="0" w:after="0"/>
        <w:ind w:right="284"/>
        <w:jc w:val="both"/>
      </w:pPr>
      <w:r w:rsidRPr="00115250">
        <w:t>braku spisu substancji chemicznych i ich mieszanin,</w:t>
      </w:r>
    </w:p>
    <w:p w:rsidR="00AF0FDB" w:rsidRPr="00115250" w:rsidRDefault="00AF0FDB" w:rsidP="00DE0EFA">
      <w:pPr>
        <w:numPr>
          <w:ilvl w:val="0"/>
          <w:numId w:val="13"/>
        </w:numPr>
        <w:tabs>
          <w:tab w:val="left" w:pos="9000"/>
        </w:tabs>
        <w:spacing w:before="0" w:after="0"/>
        <w:ind w:right="284"/>
        <w:jc w:val="both"/>
      </w:pPr>
      <w:r w:rsidRPr="00115250">
        <w:t>braku instrukcji magazynowania,</w:t>
      </w:r>
    </w:p>
    <w:p w:rsidR="00AF0FDB" w:rsidRPr="00115250" w:rsidRDefault="00AF0FDB" w:rsidP="00DE0EFA">
      <w:pPr>
        <w:numPr>
          <w:ilvl w:val="0"/>
          <w:numId w:val="13"/>
        </w:numPr>
        <w:tabs>
          <w:tab w:val="left" w:pos="9000"/>
        </w:tabs>
        <w:spacing w:before="0" w:after="0"/>
        <w:ind w:right="284"/>
        <w:jc w:val="both"/>
      </w:pPr>
      <w:r w:rsidRPr="00115250">
        <w:t>braku o</w:t>
      </w:r>
      <w:r>
        <w:t>znakowania magazynu chemicznego.</w:t>
      </w:r>
    </w:p>
    <w:p w:rsidR="00AF0FDB" w:rsidRPr="00115250" w:rsidRDefault="00AF0FDB" w:rsidP="00C9590C">
      <w:pPr>
        <w:tabs>
          <w:tab w:val="left" w:pos="9000"/>
        </w:tabs>
        <w:ind w:right="284"/>
        <w:jc w:val="both"/>
      </w:pPr>
      <w:r w:rsidRPr="00115250">
        <w:t>Celem zlikwidowania nieprawidłowości wydano 33 decyzje adminis</w:t>
      </w:r>
      <w:r>
        <w:t xml:space="preserve">tracyjne. </w:t>
      </w:r>
      <w:r w:rsidRPr="00115250">
        <w:t xml:space="preserve">W zakresie nadzoru nad środkami zastępczymi przeprowadzono 2 kontrole, wydano 40 decyzji administracyjnych oraz nałożono 2 kary pieniężne na kwotę 40.000 zł podmiotom oferującym w sprzedaży środki zastępcze. </w:t>
      </w:r>
    </w:p>
    <w:p w:rsidR="00AF0FDB" w:rsidRPr="00115250" w:rsidRDefault="00AF0FDB" w:rsidP="0083781D">
      <w:pPr>
        <w:jc w:val="right"/>
        <w:outlineLvl w:val="0"/>
        <w:rPr>
          <w:b/>
          <w:bCs/>
        </w:rPr>
      </w:pPr>
      <w:bookmarkStart w:id="283" w:name="_Toc938848"/>
      <w:r w:rsidRPr="00115250">
        <w:rPr>
          <w:b/>
          <w:bCs/>
        </w:rPr>
        <w:t>Choroby zawodowe</w:t>
      </w:r>
      <w:bookmarkEnd w:id="283"/>
    </w:p>
    <w:p w:rsidR="00AF0FDB" w:rsidRPr="00115250" w:rsidRDefault="00AF0FDB" w:rsidP="006D6DCC">
      <w:pPr>
        <w:jc w:val="both"/>
        <w:outlineLvl w:val="0"/>
      </w:pPr>
      <w:bookmarkStart w:id="284" w:name="_Toc179770"/>
      <w:bookmarkStart w:id="285" w:name="_Toc855406"/>
      <w:bookmarkStart w:id="286" w:name="_Toc861484"/>
      <w:bookmarkStart w:id="287" w:name="_Toc938849"/>
      <w:bookmarkStart w:id="288" w:name="_Toc506451412"/>
      <w:bookmarkStart w:id="289" w:name="_Toc506554028"/>
      <w:r w:rsidRPr="00115250">
        <w:t>W 2018 roku wydano 26 prawomocnych decyzji o stwierdzeniu choroby zawodowej</w:t>
      </w:r>
      <w:r w:rsidRPr="00115250">
        <w:br/>
        <w:t>(w 2017 roku – 35 ) oraz 33 decyzje o braku podstaw do jej uznania (w roku 2017 - 36)</w:t>
      </w:r>
      <w:bookmarkEnd w:id="284"/>
      <w:bookmarkEnd w:id="285"/>
      <w:bookmarkEnd w:id="286"/>
      <w:bookmarkEnd w:id="287"/>
    </w:p>
    <w:p w:rsidR="00AF0FDB" w:rsidRPr="00115250" w:rsidRDefault="00AF0FDB" w:rsidP="00EF52EA">
      <w:pPr>
        <w:jc w:val="both"/>
        <w:outlineLvl w:val="0"/>
        <w:rPr>
          <w:sz w:val="20"/>
          <w:szCs w:val="20"/>
        </w:rPr>
      </w:pPr>
      <w:bookmarkStart w:id="290" w:name="_Toc855407"/>
      <w:bookmarkStart w:id="291" w:name="_Toc861485"/>
      <w:bookmarkStart w:id="292" w:name="_Toc938850"/>
      <w:r w:rsidRPr="00115250">
        <w:rPr>
          <w:b/>
          <w:bCs/>
          <w:sz w:val="20"/>
          <w:szCs w:val="20"/>
        </w:rPr>
        <w:t xml:space="preserve">Tab. 4. </w:t>
      </w:r>
      <w:r w:rsidRPr="00115250">
        <w:rPr>
          <w:sz w:val="20"/>
          <w:szCs w:val="20"/>
        </w:rPr>
        <w:t>Choroby zawodowe w latach :</w:t>
      </w:r>
      <w:r>
        <w:rPr>
          <w:sz w:val="20"/>
          <w:szCs w:val="20"/>
        </w:rPr>
        <w:t xml:space="preserve"> </w:t>
      </w:r>
      <w:r w:rsidRPr="00115250">
        <w:rPr>
          <w:sz w:val="20"/>
          <w:szCs w:val="20"/>
        </w:rPr>
        <w:t>2017- 201</w:t>
      </w:r>
      <w:bookmarkEnd w:id="288"/>
      <w:bookmarkEnd w:id="289"/>
      <w:r w:rsidRPr="00115250">
        <w:rPr>
          <w:sz w:val="20"/>
          <w:szCs w:val="20"/>
        </w:rPr>
        <w:t>8</w:t>
      </w:r>
      <w:bookmarkEnd w:id="290"/>
      <w:bookmarkEnd w:id="291"/>
      <w:bookmarkEnd w:id="292"/>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1E0"/>
      </w:tblPr>
      <w:tblGrid>
        <w:gridCol w:w="993"/>
        <w:gridCol w:w="2126"/>
        <w:gridCol w:w="2977"/>
        <w:gridCol w:w="3130"/>
      </w:tblGrid>
      <w:tr w:rsidR="00AF0FDB" w:rsidRPr="00115250">
        <w:trPr>
          <w:tblHeader/>
        </w:trPr>
        <w:tc>
          <w:tcPr>
            <w:tcW w:w="993" w:type="dxa"/>
            <w:tcBorders>
              <w:bottom w:val="single" w:sz="18" w:space="0" w:color="A5A5A5"/>
            </w:tcBorders>
          </w:tcPr>
          <w:p w:rsidR="00AF0FDB" w:rsidRPr="002C4F7C" w:rsidRDefault="00AF0FDB" w:rsidP="002C4F7C">
            <w:pPr>
              <w:tabs>
                <w:tab w:val="left" w:pos="1180"/>
              </w:tabs>
              <w:jc w:val="center"/>
              <w:rPr>
                <w:b/>
                <w:bCs/>
                <w:sz w:val="22"/>
                <w:szCs w:val="22"/>
              </w:rPr>
            </w:pPr>
            <w:r w:rsidRPr="002C4F7C">
              <w:rPr>
                <w:sz w:val="22"/>
                <w:szCs w:val="22"/>
              </w:rPr>
              <w:t>Lp.</w:t>
            </w:r>
          </w:p>
        </w:tc>
        <w:tc>
          <w:tcPr>
            <w:tcW w:w="2126" w:type="dxa"/>
            <w:tcBorders>
              <w:bottom w:val="single" w:sz="18" w:space="0" w:color="A5A5A5"/>
            </w:tcBorders>
            <w:shd w:val="clear" w:color="auto" w:fill="E8E8E8"/>
          </w:tcPr>
          <w:p w:rsidR="00AF0FDB" w:rsidRPr="002C4F7C" w:rsidRDefault="00AF0FDB" w:rsidP="002C4F7C">
            <w:pPr>
              <w:tabs>
                <w:tab w:val="left" w:pos="1180"/>
              </w:tabs>
              <w:jc w:val="both"/>
              <w:rPr>
                <w:b/>
                <w:bCs/>
                <w:sz w:val="22"/>
                <w:szCs w:val="22"/>
              </w:rPr>
            </w:pPr>
            <w:r w:rsidRPr="002C4F7C">
              <w:rPr>
                <w:b/>
                <w:bCs/>
                <w:sz w:val="22"/>
                <w:szCs w:val="22"/>
              </w:rPr>
              <w:t>Rodzaj choroby</w:t>
            </w:r>
          </w:p>
        </w:tc>
        <w:tc>
          <w:tcPr>
            <w:tcW w:w="2977" w:type="dxa"/>
            <w:tcBorders>
              <w:bottom w:val="single" w:sz="18" w:space="0" w:color="A5A5A5"/>
            </w:tcBorders>
          </w:tcPr>
          <w:p w:rsidR="00AF0FDB" w:rsidRPr="002C4F7C" w:rsidRDefault="00AF0FDB" w:rsidP="002C4F7C">
            <w:pPr>
              <w:tabs>
                <w:tab w:val="left" w:pos="1180"/>
              </w:tabs>
              <w:jc w:val="center"/>
              <w:rPr>
                <w:b/>
                <w:bCs/>
                <w:sz w:val="22"/>
                <w:szCs w:val="22"/>
              </w:rPr>
            </w:pPr>
            <w:r w:rsidRPr="002C4F7C">
              <w:rPr>
                <w:b/>
                <w:bCs/>
                <w:sz w:val="22"/>
                <w:szCs w:val="22"/>
              </w:rPr>
              <w:t>2017</w:t>
            </w:r>
          </w:p>
        </w:tc>
        <w:tc>
          <w:tcPr>
            <w:tcW w:w="3130" w:type="dxa"/>
            <w:tcBorders>
              <w:bottom w:val="single" w:sz="18" w:space="0" w:color="A5A5A5"/>
            </w:tcBorders>
          </w:tcPr>
          <w:p w:rsidR="00AF0FDB" w:rsidRPr="002C4F7C" w:rsidRDefault="00AF0FDB" w:rsidP="002C4F7C">
            <w:pPr>
              <w:tabs>
                <w:tab w:val="left" w:pos="1180"/>
              </w:tabs>
              <w:jc w:val="center"/>
              <w:rPr>
                <w:b/>
                <w:bCs/>
                <w:sz w:val="22"/>
                <w:szCs w:val="22"/>
              </w:rPr>
            </w:pPr>
            <w:r w:rsidRPr="002C4F7C">
              <w:rPr>
                <w:b/>
                <w:bCs/>
                <w:sz w:val="22"/>
                <w:szCs w:val="22"/>
              </w:rPr>
              <w:t>2018</w:t>
            </w:r>
          </w:p>
        </w:tc>
      </w:tr>
      <w:tr w:rsidR="00AF0FDB" w:rsidRPr="00115250">
        <w:trPr>
          <w:trHeight w:val="747"/>
        </w:trPr>
        <w:tc>
          <w:tcPr>
            <w:tcW w:w="993" w:type="dxa"/>
            <w:shd w:val="clear" w:color="auto" w:fill="E8E8E8"/>
          </w:tcPr>
          <w:p w:rsidR="00AF0FDB" w:rsidRPr="002C4F7C" w:rsidRDefault="00AF0FDB" w:rsidP="002C4F7C">
            <w:pPr>
              <w:tabs>
                <w:tab w:val="left" w:pos="1180"/>
              </w:tabs>
              <w:jc w:val="center"/>
              <w:rPr>
                <w:b/>
                <w:bCs/>
                <w:sz w:val="22"/>
                <w:szCs w:val="22"/>
              </w:rPr>
            </w:pPr>
            <w:r w:rsidRPr="002C4F7C">
              <w:rPr>
                <w:sz w:val="22"/>
                <w:szCs w:val="22"/>
              </w:rPr>
              <w:t>1</w:t>
            </w:r>
          </w:p>
        </w:tc>
        <w:tc>
          <w:tcPr>
            <w:tcW w:w="2126" w:type="dxa"/>
            <w:shd w:val="clear" w:color="auto" w:fill="E8E8E8"/>
          </w:tcPr>
          <w:p w:rsidR="00AF0FDB" w:rsidRPr="002C4F7C" w:rsidRDefault="00AF0FDB" w:rsidP="002C4F7C">
            <w:pPr>
              <w:tabs>
                <w:tab w:val="left" w:pos="1180"/>
              </w:tabs>
              <w:spacing w:line="276" w:lineRule="auto"/>
              <w:rPr>
                <w:sz w:val="20"/>
                <w:szCs w:val="20"/>
              </w:rPr>
            </w:pPr>
            <w:r w:rsidRPr="002C4F7C">
              <w:rPr>
                <w:sz w:val="20"/>
                <w:szCs w:val="20"/>
              </w:rPr>
              <w:t>Przewlekłe choroby narządu głosu</w:t>
            </w:r>
          </w:p>
        </w:tc>
        <w:tc>
          <w:tcPr>
            <w:tcW w:w="2977" w:type="dxa"/>
            <w:shd w:val="clear" w:color="auto" w:fill="E8E8E8"/>
          </w:tcPr>
          <w:p w:rsidR="00AF0FDB" w:rsidRPr="002C4F7C" w:rsidRDefault="00AF0FDB" w:rsidP="002C4F7C">
            <w:pPr>
              <w:tabs>
                <w:tab w:val="left" w:pos="1180"/>
              </w:tabs>
              <w:jc w:val="center"/>
              <w:rPr>
                <w:sz w:val="20"/>
                <w:szCs w:val="20"/>
              </w:rPr>
            </w:pPr>
            <w:r w:rsidRPr="002C4F7C">
              <w:rPr>
                <w:sz w:val="20"/>
                <w:szCs w:val="20"/>
              </w:rPr>
              <w:t>17</w:t>
            </w:r>
          </w:p>
        </w:tc>
        <w:tc>
          <w:tcPr>
            <w:tcW w:w="3130" w:type="dxa"/>
            <w:shd w:val="clear" w:color="auto" w:fill="E8E8E8"/>
          </w:tcPr>
          <w:p w:rsidR="00AF0FDB" w:rsidRPr="002C4F7C" w:rsidRDefault="00AF0FDB" w:rsidP="002C4F7C">
            <w:pPr>
              <w:tabs>
                <w:tab w:val="left" w:pos="1180"/>
              </w:tabs>
              <w:jc w:val="center"/>
              <w:rPr>
                <w:b/>
                <w:bCs/>
                <w:sz w:val="20"/>
                <w:szCs w:val="20"/>
              </w:rPr>
            </w:pPr>
            <w:r w:rsidRPr="002C4F7C">
              <w:rPr>
                <w:b/>
                <w:bCs/>
                <w:sz w:val="20"/>
                <w:szCs w:val="20"/>
              </w:rPr>
              <w:t>16</w:t>
            </w:r>
          </w:p>
        </w:tc>
      </w:tr>
      <w:tr w:rsidR="00AF0FDB" w:rsidRPr="00115250">
        <w:trPr>
          <w:trHeight w:val="1385"/>
        </w:trPr>
        <w:tc>
          <w:tcPr>
            <w:tcW w:w="993" w:type="dxa"/>
          </w:tcPr>
          <w:p w:rsidR="00AF0FDB" w:rsidRPr="002C4F7C" w:rsidRDefault="00AF0FDB" w:rsidP="002C4F7C">
            <w:pPr>
              <w:tabs>
                <w:tab w:val="left" w:pos="1180"/>
              </w:tabs>
              <w:jc w:val="center"/>
              <w:rPr>
                <w:b/>
                <w:bCs/>
                <w:sz w:val="22"/>
                <w:szCs w:val="22"/>
              </w:rPr>
            </w:pPr>
          </w:p>
          <w:p w:rsidR="00AF0FDB" w:rsidRPr="002C4F7C" w:rsidRDefault="00AF0FDB" w:rsidP="002C4F7C">
            <w:pPr>
              <w:tabs>
                <w:tab w:val="left" w:pos="1180"/>
              </w:tabs>
              <w:jc w:val="center"/>
              <w:rPr>
                <w:b/>
                <w:bCs/>
                <w:sz w:val="22"/>
                <w:szCs w:val="22"/>
              </w:rPr>
            </w:pPr>
            <w:r w:rsidRPr="002C4F7C">
              <w:rPr>
                <w:sz w:val="22"/>
                <w:szCs w:val="22"/>
              </w:rPr>
              <w:t>2</w:t>
            </w:r>
          </w:p>
        </w:tc>
        <w:tc>
          <w:tcPr>
            <w:tcW w:w="2126" w:type="dxa"/>
            <w:shd w:val="clear" w:color="auto" w:fill="E8E8E8"/>
          </w:tcPr>
          <w:p w:rsidR="00AF0FDB" w:rsidRPr="002C4F7C" w:rsidRDefault="00AF0FDB" w:rsidP="002C4F7C">
            <w:pPr>
              <w:tabs>
                <w:tab w:val="left" w:pos="1180"/>
              </w:tabs>
              <w:spacing w:line="276" w:lineRule="auto"/>
              <w:rPr>
                <w:sz w:val="20"/>
                <w:szCs w:val="20"/>
              </w:rPr>
            </w:pPr>
            <w:r w:rsidRPr="002C4F7C">
              <w:rPr>
                <w:sz w:val="20"/>
                <w:szCs w:val="20"/>
              </w:rPr>
              <w:t>Przewlekłe choroby układu nerwowego wywołane sposobem wykonywania pracy</w:t>
            </w:r>
          </w:p>
        </w:tc>
        <w:tc>
          <w:tcPr>
            <w:tcW w:w="2977" w:type="dxa"/>
          </w:tcPr>
          <w:p w:rsidR="00AF0FDB" w:rsidRPr="002C4F7C" w:rsidRDefault="00AF0FDB" w:rsidP="002C4F7C">
            <w:pPr>
              <w:tabs>
                <w:tab w:val="left" w:pos="1180"/>
              </w:tabs>
              <w:jc w:val="center"/>
              <w:rPr>
                <w:sz w:val="20"/>
                <w:szCs w:val="20"/>
              </w:rPr>
            </w:pPr>
          </w:p>
          <w:p w:rsidR="00AF0FDB" w:rsidRPr="002C4F7C" w:rsidRDefault="00AF0FDB" w:rsidP="002C4F7C">
            <w:pPr>
              <w:tabs>
                <w:tab w:val="left" w:pos="1180"/>
              </w:tabs>
              <w:jc w:val="center"/>
              <w:rPr>
                <w:sz w:val="20"/>
                <w:szCs w:val="20"/>
              </w:rPr>
            </w:pPr>
            <w:r w:rsidRPr="002C4F7C">
              <w:rPr>
                <w:sz w:val="20"/>
                <w:szCs w:val="20"/>
              </w:rPr>
              <w:t>6</w:t>
            </w:r>
          </w:p>
        </w:tc>
        <w:tc>
          <w:tcPr>
            <w:tcW w:w="3130" w:type="dxa"/>
          </w:tcPr>
          <w:p w:rsidR="00AF0FDB" w:rsidRPr="002C4F7C" w:rsidRDefault="00AF0FDB" w:rsidP="002C4F7C">
            <w:pPr>
              <w:tabs>
                <w:tab w:val="left" w:pos="1180"/>
              </w:tabs>
              <w:jc w:val="center"/>
              <w:rPr>
                <w:b/>
                <w:bCs/>
                <w:sz w:val="20"/>
                <w:szCs w:val="20"/>
              </w:rPr>
            </w:pPr>
          </w:p>
          <w:p w:rsidR="00AF0FDB" w:rsidRPr="002C4F7C" w:rsidRDefault="00AF0FDB" w:rsidP="002C4F7C">
            <w:pPr>
              <w:tabs>
                <w:tab w:val="left" w:pos="1180"/>
              </w:tabs>
              <w:jc w:val="center"/>
              <w:rPr>
                <w:b/>
                <w:bCs/>
                <w:sz w:val="20"/>
                <w:szCs w:val="20"/>
              </w:rPr>
            </w:pPr>
            <w:r w:rsidRPr="002C4F7C">
              <w:rPr>
                <w:b/>
                <w:bCs/>
                <w:sz w:val="20"/>
                <w:szCs w:val="20"/>
              </w:rPr>
              <w:t>2</w:t>
            </w:r>
          </w:p>
        </w:tc>
      </w:tr>
      <w:tr w:rsidR="00AF0FDB" w:rsidRPr="00115250">
        <w:trPr>
          <w:trHeight w:val="284"/>
        </w:trPr>
        <w:tc>
          <w:tcPr>
            <w:tcW w:w="993" w:type="dxa"/>
            <w:shd w:val="clear" w:color="auto" w:fill="E8E8E8"/>
          </w:tcPr>
          <w:p w:rsidR="00AF0FDB" w:rsidRPr="002C4F7C" w:rsidRDefault="00AF0FDB" w:rsidP="002C4F7C">
            <w:pPr>
              <w:tabs>
                <w:tab w:val="left" w:pos="1180"/>
              </w:tabs>
              <w:jc w:val="center"/>
              <w:rPr>
                <w:b/>
                <w:bCs/>
                <w:sz w:val="22"/>
                <w:szCs w:val="22"/>
              </w:rPr>
            </w:pPr>
            <w:r w:rsidRPr="002C4F7C">
              <w:rPr>
                <w:sz w:val="22"/>
                <w:szCs w:val="22"/>
              </w:rPr>
              <w:t>3</w:t>
            </w:r>
          </w:p>
        </w:tc>
        <w:tc>
          <w:tcPr>
            <w:tcW w:w="2126" w:type="dxa"/>
            <w:shd w:val="clear" w:color="auto" w:fill="E8E8E8"/>
          </w:tcPr>
          <w:p w:rsidR="00AF0FDB" w:rsidRPr="002C4F7C" w:rsidRDefault="00AF0FDB" w:rsidP="002C4F7C">
            <w:pPr>
              <w:tabs>
                <w:tab w:val="left" w:pos="1180"/>
              </w:tabs>
              <w:spacing w:line="276" w:lineRule="auto"/>
              <w:rPr>
                <w:sz w:val="20"/>
                <w:szCs w:val="20"/>
              </w:rPr>
            </w:pPr>
            <w:r w:rsidRPr="002C4F7C">
              <w:rPr>
                <w:sz w:val="20"/>
                <w:szCs w:val="20"/>
              </w:rPr>
              <w:t>Przewlekłe choroby układu ruchu wywołane sposobem wykonywania pracy</w:t>
            </w:r>
          </w:p>
        </w:tc>
        <w:tc>
          <w:tcPr>
            <w:tcW w:w="2977" w:type="dxa"/>
            <w:shd w:val="clear" w:color="auto" w:fill="E8E8E8"/>
          </w:tcPr>
          <w:p w:rsidR="00AF0FDB" w:rsidRPr="002C4F7C" w:rsidRDefault="00AF0FDB" w:rsidP="002C4F7C">
            <w:pPr>
              <w:tabs>
                <w:tab w:val="left" w:pos="1180"/>
              </w:tabs>
              <w:jc w:val="center"/>
              <w:rPr>
                <w:sz w:val="20"/>
                <w:szCs w:val="20"/>
              </w:rPr>
            </w:pPr>
          </w:p>
          <w:p w:rsidR="00AF0FDB" w:rsidRPr="002C4F7C" w:rsidRDefault="00AF0FDB" w:rsidP="002C4F7C">
            <w:pPr>
              <w:tabs>
                <w:tab w:val="left" w:pos="1180"/>
              </w:tabs>
              <w:jc w:val="center"/>
              <w:rPr>
                <w:sz w:val="20"/>
                <w:szCs w:val="20"/>
              </w:rPr>
            </w:pPr>
            <w:r w:rsidRPr="002C4F7C">
              <w:rPr>
                <w:sz w:val="20"/>
                <w:szCs w:val="20"/>
              </w:rPr>
              <w:t>2</w:t>
            </w:r>
          </w:p>
        </w:tc>
        <w:tc>
          <w:tcPr>
            <w:tcW w:w="3130" w:type="dxa"/>
            <w:shd w:val="clear" w:color="auto" w:fill="E8E8E8"/>
          </w:tcPr>
          <w:p w:rsidR="00AF0FDB" w:rsidRPr="002C4F7C" w:rsidRDefault="00AF0FDB" w:rsidP="002C4F7C">
            <w:pPr>
              <w:tabs>
                <w:tab w:val="left" w:pos="1180"/>
              </w:tabs>
              <w:jc w:val="center"/>
              <w:rPr>
                <w:b/>
                <w:bCs/>
                <w:sz w:val="20"/>
                <w:szCs w:val="20"/>
              </w:rPr>
            </w:pPr>
          </w:p>
          <w:p w:rsidR="00AF0FDB" w:rsidRPr="002C4F7C" w:rsidRDefault="00AF0FDB" w:rsidP="002C4F7C">
            <w:pPr>
              <w:tabs>
                <w:tab w:val="left" w:pos="1180"/>
              </w:tabs>
              <w:jc w:val="center"/>
              <w:rPr>
                <w:b/>
                <w:bCs/>
                <w:sz w:val="20"/>
                <w:szCs w:val="20"/>
              </w:rPr>
            </w:pPr>
            <w:r w:rsidRPr="002C4F7C">
              <w:rPr>
                <w:b/>
                <w:bCs/>
                <w:sz w:val="20"/>
                <w:szCs w:val="20"/>
              </w:rPr>
              <w:t>2</w:t>
            </w:r>
          </w:p>
        </w:tc>
      </w:tr>
      <w:tr w:rsidR="00AF0FDB" w:rsidRPr="00E150CC">
        <w:tc>
          <w:tcPr>
            <w:tcW w:w="993" w:type="dxa"/>
          </w:tcPr>
          <w:p w:rsidR="00AF0FDB" w:rsidRPr="002C4F7C" w:rsidRDefault="00AF0FDB" w:rsidP="002C4F7C">
            <w:pPr>
              <w:tabs>
                <w:tab w:val="left" w:pos="1180"/>
              </w:tabs>
              <w:spacing w:before="0" w:after="0"/>
              <w:jc w:val="center"/>
              <w:rPr>
                <w:b/>
                <w:bCs/>
                <w:sz w:val="22"/>
                <w:szCs w:val="22"/>
              </w:rPr>
            </w:pPr>
          </w:p>
          <w:p w:rsidR="00AF0FDB" w:rsidRPr="002C4F7C" w:rsidRDefault="00AF0FDB" w:rsidP="002C4F7C">
            <w:pPr>
              <w:tabs>
                <w:tab w:val="left" w:pos="1180"/>
              </w:tabs>
              <w:spacing w:before="0" w:after="0"/>
              <w:jc w:val="center"/>
              <w:rPr>
                <w:b/>
                <w:bCs/>
                <w:sz w:val="22"/>
                <w:szCs w:val="22"/>
              </w:rPr>
            </w:pPr>
            <w:r w:rsidRPr="002C4F7C">
              <w:rPr>
                <w:sz w:val="22"/>
                <w:szCs w:val="22"/>
              </w:rPr>
              <w:t>4</w:t>
            </w:r>
          </w:p>
        </w:tc>
        <w:tc>
          <w:tcPr>
            <w:tcW w:w="2126" w:type="dxa"/>
            <w:shd w:val="clear" w:color="auto" w:fill="E8E8E8"/>
          </w:tcPr>
          <w:p w:rsidR="00AF0FDB" w:rsidRPr="002C4F7C" w:rsidRDefault="00AF0FDB" w:rsidP="002C4F7C">
            <w:pPr>
              <w:tabs>
                <w:tab w:val="left" w:pos="1180"/>
              </w:tabs>
              <w:spacing w:before="0" w:after="0" w:line="276" w:lineRule="auto"/>
              <w:rPr>
                <w:sz w:val="20"/>
                <w:szCs w:val="20"/>
              </w:rPr>
            </w:pPr>
            <w:r w:rsidRPr="002C4F7C">
              <w:rPr>
                <w:sz w:val="20"/>
                <w:szCs w:val="20"/>
              </w:rPr>
              <w:t xml:space="preserve">Choroby zakaźne </w:t>
            </w:r>
          </w:p>
          <w:p w:rsidR="00AF0FDB" w:rsidRPr="002C4F7C" w:rsidRDefault="00AF0FDB" w:rsidP="002C4F7C">
            <w:pPr>
              <w:tabs>
                <w:tab w:val="left" w:pos="1180"/>
              </w:tabs>
              <w:spacing w:before="0" w:after="0" w:line="276" w:lineRule="auto"/>
              <w:rPr>
                <w:sz w:val="20"/>
                <w:szCs w:val="20"/>
              </w:rPr>
            </w:pPr>
            <w:r w:rsidRPr="002C4F7C">
              <w:rPr>
                <w:sz w:val="20"/>
                <w:szCs w:val="20"/>
              </w:rPr>
              <w:t xml:space="preserve">i pasożytnicze </w:t>
            </w:r>
          </w:p>
        </w:tc>
        <w:tc>
          <w:tcPr>
            <w:tcW w:w="2977" w:type="dxa"/>
          </w:tcPr>
          <w:p w:rsidR="00AF0FDB" w:rsidRPr="002C4F7C" w:rsidRDefault="00AF0FDB" w:rsidP="002C4F7C">
            <w:pPr>
              <w:tabs>
                <w:tab w:val="left" w:pos="1180"/>
              </w:tabs>
              <w:spacing w:before="0" w:after="0"/>
              <w:jc w:val="center"/>
              <w:rPr>
                <w:sz w:val="20"/>
                <w:szCs w:val="20"/>
              </w:rPr>
            </w:pPr>
          </w:p>
          <w:p w:rsidR="00AF0FDB" w:rsidRPr="002C4F7C" w:rsidRDefault="00AF0FDB" w:rsidP="002C4F7C">
            <w:pPr>
              <w:tabs>
                <w:tab w:val="left" w:pos="1180"/>
              </w:tabs>
              <w:spacing w:before="0" w:after="0"/>
              <w:jc w:val="center"/>
              <w:rPr>
                <w:sz w:val="20"/>
                <w:szCs w:val="20"/>
              </w:rPr>
            </w:pPr>
            <w:r w:rsidRPr="002C4F7C">
              <w:rPr>
                <w:sz w:val="20"/>
                <w:szCs w:val="20"/>
              </w:rPr>
              <w:t>2</w:t>
            </w:r>
          </w:p>
        </w:tc>
        <w:tc>
          <w:tcPr>
            <w:tcW w:w="3130" w:type="dxa"/>
          </w:tcPr>
          <w:p w:rsidR="00AF0FDB" w:rsidRPr="002C4F7C" w:rsidRDefault="00AF0FDB" w:rsidP="002C4F7C">
            <w:pPr>
              <w:tabs>
                <w:tab w:val="left" w:pos="1180"/>
              </w:tabs>
              <w:spacing w:before="0" w:after="0"/>
              <w:jc w:val="center"/>
              <w:rPr>
                <w:b/>
                <w:bCs/>
                <w:sz w:val="20"/>
                <w:szCs w:val="20"/>
              </w:rPr>
            </w:pPr>
          </w:p>
          <w:p w:rsidR="00AF0FDB" w:rsidRPr="002C4F7C" w:rsidRDefault="00AF0FDB" w:rsidP="002C4F7C">
            <w:pPr>
              <w:tabs>
                <w:tab w:val="left" w:pos="1180"/>
              </w:tabs>
              <w:spacing w:before="0" w:after="0"/>
              <w:jc w:val="center"/>
              <w:rPr>
                <w:b/>
                <w:bCs/>
                <w:sz w:val="20"/>
                <w:szCs w:val="20"/>
              </w:rPr>
            </w:pPr>
            <w:r w:rsidRPr="002C4F7C">
              <w:rPr>
                <w:b/>
                <w:bCs/>
                <w:sz w:val="20"/>
                <w:szCs w:val="20"/>
              </w:rPr>
              <w:t>2</w:t>
            </w:r>
          </w:p>
        </w:tc>
      </w:tr>
      <w:tr w:rsidR="00AF0FDB" w:rsidRPr="00E150CC">
        <w:tc>
          <w:tcPr>
            <w:tcW w:w="993" w:type="dxa"/>
            <w:shd w:val="clear" w:color="auto" w:fill="E8E8E8"/>
          </w:tcPr>
          <w:p w:rsidR="00AF0FDB" w:rsidRPr="002C4F7C" w:rsidRDefault="00AF0FDB" w:rsidP="002C4F7C">
            <w:pPr>
              <w:tabs>
                <w:tab w:val="left" w:pos="1180"/>
              </w:tabs>
              <w:jc w:val="center"/>
              <w:rPr>
                <w:b/>
                <w:bCs/>
                <w:sz w:val="22"/>
                <w:szCs w:val="22"/>
              </w:rPr>
            </w:pPr>
            <w:r w:rsidRPr="002C4F7C">
              <w:rPr>
                <w:sz w:val="22"/>
                <w:szCs w:val="22"/>
              </w:rPr>
              <w:t>5</w:t>
            </w:r>
          </w:p>
        </w:tc>
        <w:tc>
          <w:tcPr>
            <w:tcW w:w="2126" w:type="dxa"/>
            <w:shd w:val="clear" w:color="auto" w:fill="E8E8E8"/>
          </w:tcPr>
          <w:p w:rsidR="00AF0FDB" w:rsidRPr="002C4F7C" w:rsidRDefault="00AF0FDB" w:rsidP="002C4F7C">
            <w:pPr>
              <w:tabs>
                <w:tab w:val="left" w:pos="1180"/>
              </w:tabs>
              <w:spacing w:line="276" w:lineRule="auto"/>
              <w:rPr>
                <w:sz w:val="20"/>
                <w:szCs w:val="20"/>
              </w:rPr>
            </w:pPr>
            <w:r w:rsidRPr="002C4F7C">
              <w:rPr>
                <w:sz w:val="20"/>
                <w:szCs w:val="20"/>
              </w:rPr>
              <w:t>Przewlekłe choroby narządu słuchu</w:t>
            </w:r>
          </w:p>
        </w:tc>
        <w:tc>
          <w:tcPr>
            <w:tcW w:w="2977" w:type="dxa"/>
            <w:shd w:val="clear" w:color="auto" w:fill="E8E8E8"/>
          </w:tcPr>
          <w:p w:rsidR="00AF0FDB" w:rsidRPr="002C4F7C" w:rsidRDefault="00AF0FDB" w:rsidP="002C4F7C">
            <w:pPr>
              <w:tabs>
                <w:tab w:val="left" w:pos="1180"/>
              </w:tabs>
              <w:jc w:val="center"/>
              <w:rPr>
                <w:sz w:val="20"/>
                <w:szCs w:val="20"/>
              </w:rPr>
            </w:pPr>
            <w:r w:rsidRPr="002C4F7C">
              <w:rPr>
                <w:sz w:val="20"/>
                <w:szCs w:val="20"/>
              </w:rPr>
              <w:t>2</w:t>
            </w:r>
          </w:p>
        </w:tc>
        <w:tc>
          <w:tcPr>
            <w:tcW w:w="3130" w:type="dxa"/>
            <w:shd w:val="clear" w:color="auto" w:fill="E8E8E8"/>
          </w:tcPr>
          <w:p w:rsidR="00AF0FDB" w:rsidRPr="002C4F7C" w:rsidRDefault="00AF0FDB" w:rsidP="002C4F7C">
            <w:pPr>
              <w:tabs>
                <w:tab w:val="left" w:pos="1180"/>
              </w:tabs>
              <w:jc w:val="center"/>
              <w:rPr>
                <w:b/>
                <w:bCs/>
                <w:sz w:val="20"/>
                <w:szCs w:val="20"/>
              </w:rPr>
            </w:pPr>
            <w:r w:rsidRPr="002C4F7C">
              <w:rPr>
                <w:b/>
                <w:bCs/>
                <w:sz w:val="20"/>
                <w:szCs w:val="20"/>
              </w:rPr>
              <w:t>3</w:t>
            </w:r>
          </w:p>
        </w:tc>
      </w:tr>
      <w:tr w:rsidR="00AF0FDB" w:rsidRPr="00E150CC">
        <w:tc>
          <w:tcPr>
            <w:tcW w:w="993" w:type="dxa"/>
          </w:tcPr>
          <w:p w:rsidR="00AF0FDB" w:rsidRPr="002C4F7C" w:rsidRDefault="00AF0FDB" w:rsidP="002C4F7C">
            <w:pPr>
              <w:tabs>
                <w:tab w:val="left" w:pos="1180"/>
              </w:tabs>
              <w:jc w:val="center"/>
              <w:rPr>
                <w:b/>
                <w:bCs/>
                <w:sz w:val="22"/>
                <w:szCs w:val="22"/>
              </w:rPr>
            </w:pPr>
            <w:r w:rsidRPr="002C4F7C">
              <w:rPr>
                <w:sz w:val="22"/>
                <w:szCs w:val="22"/>
              </w:rPr>
              <w:t>6</w:t>
            </w:r>
          </w:p>
        </w:tc>
        <w:tc>
          <w:tcPr>
            <w:tcW w:w="2126" w:type="dxa"/>
            <w:shd w:val="clear" w:color="auto" w:fill="E8E8E8"/>
          </w:tcPr>
          <w:p w:rsidR="00AF0FDB" w:rsidRPr="002C4F7C" w:rsidRDefault="00AF0FDB" w:rsidP="002C4F7C">
            <w:pPr>
              <w:tabs>
                <w:tab w:val="left" w:pos="1180"/>
              </w:tabs>
              <w:rPr>
                <w:sz w:val="20"/>
                <w:szCs w:val="20"/>
              </w:rPr>
            </w:pPr>
            <w:r w:rsidRPr="002C4F7C">
              <w:rPr>
                <w:sz w:val="20"/>
                <w:szCs w:val="20"/>
              </w:rPr>
              <w:t>Choroby skóry</w:t>
            </w:r>
          </w:p>
        </w:tc>
        <w:tc>
          <w:tcPr>
            <w:tcW w:w="2977" w:type="dxa"/>
          </w:tcPr>
          <w:p w:rsidR="00AF0FDB" w:rsidRPr="002C4F7C" w:rsidRDefault="00AF0FDB" w:rsidP="002C4F7C">
            <w:pPr>
              <w:tabs>
                <w:tab w:val="left" w:pos="1180"/>
              </w:tabs>
              <w:jc w:val="center"/>
              <w:rPr>
                <w:sz w:val="20"/>
                <w:szCs w:val="20"/>
              </w:rPr>
            </w:pPr>
            <w:r w:rsidRPr="002C4F7C">
              <w:rPr>
                <w:sz w:val="20"/>
                <w:szCs w:val="20"/>
              </w:rPr>
              <w:t>2</w:t>
            </w:r>
          </w:p>
        </w:tc>
        <w:tc>
          <w:tcPr>
            <w:tcW w:w="3130" w:type="dxa"/>
          </w:tcPr>
          <w:p w:rsidR="00AF0FDB" w:rsidRPr="002C4F7C" w:rsidRDefault="00AF0FDB" w:rsidP="002C4F7C">
            <w:pPr>
              <w:tabs>
                <w:tab w:val="left" w:pos="1180"/>
              </w:tabs>
              <w:jc w:val="center"/>
              <w:rPr>
                <w:b/>
                <w:bCs/>
                <w:sz w:val="20"/>
                <w:szCs w:val="20"/>
              </w:rPr>
            </w:pPr>
            <w:r w:rsidRPr="002C4F7C">
              <w:rPr>
                <w:b/>
                <w:bCs/>
                <w:sz w:val="20"/>
                <w:szCs w:val="20"/>
              </w:rPr>
              <w:t>0</w:t>
            </w:r>
          </w:p>
        </w:tc>
      </w:tr>
      <w:tr w:rsidR="00AF0FDB" w:rsidRPr="00E150CC">
        <w:tc>
          <w:tcPr>
            <w:tcW w:w="993" w:type="dxa"/>
            <w:shd w:val="clear" w:color="auto" w:fill="E8E8E8"/>
          </w:tcPr>
          <w:p w:rsidR="00AF0FDB" w:rsidRPr="002C4F7C" w:rsidRDefault="00AF0FDB" w:rsidP="002C4F7C">
            <w:pPr>
              <w:tabs>
                <w:tab w:val="left" w:pos="1180"/>
              </w:tabs>
              <w:jc w:val="center"/>
              <w:rPr>
                <w:b/>
                <w:bCs/>
                <w:sz w:val="22"/>
                <w:szCs w:val="22"/>
              </w:rPr>
            </w:pPr>
            <w:r w:rsidRPr="002C4F7C">
              <w:rPr>
                <w:sz w:val="22"/>
                <w:szCs w:val="22"/>
              </w:rPr>
              <w:t>7</w:t>
            </w:r>
          </w:p>
        </w:tc>
        <w:tc>
          <w:tcPr>
            <w:tcW w:w="2126" w:type="dxa"/>
            <w:shd w:val="clear" w:color="auto" w:fill="E8E8E8"/>
          </w:tcPr>
          <w:p w:rsidR="00AF0FDB" w:rsidRPr="002C4F7C" w:rsidRDefault="00AF0FDB" w:rsidP="002C4F7C">
            <w:pPr>
              <w:tabs>
                <w:tab w:val="left" w:pos="1180"/>
              </w:tabs>
              <w:rPr>
                <w:sz w:val="20"/>
                <w:szCs w:val="20"/>
              </w:rPr>
            </w:pPr>
            <w:r w:rsidRPr="002C4F7C">
              <w:rPr>
                <w:sz w:val="20"/>
                <w:szCs w:val="20"/>
              </w:rPr>
              <w:t>Pylice płuc</w:t>
            </w:r>
          </w:p>
        </w:tc>
        <w:tc>
          <w:tcPr>
            <w:tcW w:w="2977" w:type="dxa"/>
            <w:shd w:val="clear" w:color="auto" w:fill="E8E8E8"/>
          </w:tcPr>
          <w:p w:rsidR="00AF0FDB" w:rsidRPr="002C4F7C" w:rsidRDefault="00AF0FDB" w:rsidP="002C4F7C">
            <w:pPr>
              <w:tabs>
                <w:tab w:val="left" w:pos="1180"/>
              </w:tabs>
              <w:jc w:val="center"/>
              <w:rPr>
                <w:sz w:val="20"/>
                <w:szCs w:val="20"/>
              </w:rPr>
            </w:pPr>
            <w:r w:rsidRPr="002C4F7C">
              <w:rPr>
                <w:sz w:val="20"/>
                <w:szCs w:val="20"/>
              </w:rPr>
              <w:t>1</w:t>
            </w:r>
          </w:p>
        </w:tc>
        <w:tc>
          <w:tcPr>
            <w:tcW w:w="3130" w:type="dxa"/>
            <w:shd w:val="clear" w:color="auto" w:fill="E8E8E8"/>
          </w:tcPr>
          <w:p w:rsidR="00AF0FDB" w:rsidRPr="002C4F7C" w:rsidRDefault="00AF0FDB" w:rsidP="002C4F7C">
            <w:pPr>
              <w:tabs>
                <w:tab w:val="left" w:pos="1180"/>
              </w:tabs>
              <w:jc w:val="center"/>
              <w:rPr>
                <w:b/>
                <w:bCs/>
                <w:sz w:val="20"/>
                <w:szCs w:val="20"/>
              </w:rPr>
            </w:pPr>
            <w:r w:rsidRPr="002C4F7C">
              <w:rPr>
                <w:b/>
                <w:bCs/>
                <w:sz w:val="20"/>
                <w:szCs w:val="20"/>
              </w:rPr>
              <w:t>1</w:t>
            </w:r>
          </w:p>
        </w:tc>
      </w:tr>
      <w:tr w:rsidR="00AF0FDB" w:rsidRPr="00E150CC">
        <w:tc>
          <w:tcPr>
            <w:tcW w:w="993" w:type="dxa"/>
          </w:tcPr>
          <w:p w:rsidR="00AF0FDB" w:rsidRPr="002C4F7C" w:rsidRDefault="00AF0FDB" w:rsidP="002C4F7C">
            <w:pPr>
              <w:tabs>
                <w:tab w:val="left" w:pos="1180"/>
              </w:tabs>
              <w:jc w:val="center"/>
              <w:rPr>
                <w:b/>
                <w:bCs/>
                <w:sz w:val="22"/>
                <w:szCs w:val="22"/>
              </w:rPr>
            </w:pPr>
            <w:r w:rsidRPr="002C4F7C">
              <w:rPr>
                <w:sz w:val="22"/>
                <w:szCs w:val="22"/>
              </w:rPr>
              <w:t>8</w:t>
            </w:r>
          </w:p>
        </w:tc>
        <w:tc>
          <w:tcPr>
            <w:tcW w:w="2126" w:type="dxa"/>
            <w:shd w:val="clear" w:color="auto" w:fill="E8E8E8"/>
          </w:tcPr>
          <w:p w:rsidR="00AF0FDB" w:rsidRPr="002C4F7C" w:rsidRDefault="00AF0FDB" w:rsidP="002C4F7C">
            <w:pPr>
              <w:tabs>
                <w:tab w:val="left" w:pos="1180"/>
              </w:tabs>
              <w:rPr>
                <w:sz w:val="20"/>
                <w:szCs w:val="20"/>
              </w:rPr>
            </w:pPr>
            <w:r w:rsidRPr="002C4F7C">
              <w:rPr>
                <w:sz w:val="20"/>
                <w:szCs w:val="20"/>
              </w:rPr>
              <w:t>Inne</w:t>
            </w:r>
          </w:p>
        </w:tc>
        <w:tc>
          <w:tcPr>
            <w:tcW w:w="2977" w:type="dxa"/>
          </w:tcPr>
          <w:p w:rsidR="00AF0FDB" w:rsidRPr="002C4F7C" w:rsidRDefault="00AF0FDB" w:rsidP="002C4F7C">
            <w:pPr>
              <w:tabs>
                <w:tab w:val="left" w:pos="1180"/>
              </w:tabs>
              <w:jc w:val="center"/>
              <w:rPr>
                <w:sz w:val="20"/>
                <w:szCs w:val="20"/>
              </w:rPr>
            </w:pPr>
            <w:r w:rsidRPr="002C4F7C">
              <w:rPr>
                <w:sz w:val="20"/>
                <w:szCs w:val="20"/>
              </w:rPr>
              <w:t>3</w:t>
            </w:r>
          </w:p>
        </w:tc>
        <w:tc>
          <w:tcPr>
            <w:tcW w:w="3130" w:type="dxa"/>
          </w:tcPr>
          <w:p w:rsidR="00AF0FDB" w:rsidRPr="002C4F7C" w:rsidRDefault="00AF0FDB" w:rsidP="002C4F7C">
            <w:pPr>
              <w:tabs>
                <w:tab w:val="left" w:pos="1180"/>
              </w:tabs>
              <w:jc w:val="center"/>
              <w:rPr>
                <w:b/>
                <w:bCs/>
                <w:sz w:val="20"/>
                <w:szCs w:val="20"/>
              </w:rPr>
            </w:pPr>
            <w:r w:rsidRPr="002C4F7C">
              <w:rPr>
                <w:b/>
                <w:bCs/>
                <w:sz w:val="20"/>
                <w:szCs w:val="20"/>
              </w:rPr>
              <w:t>0</w:t>
            </w:r>
          </w:p>
        </w:tc>
      </w:tr>
      <w:tr w:rsidR="00AF0FDB" w:rsidRPr="00E150CC">
        <w:tc>
          <w:tcPr>
            <w:tcW w:w="3119" w:type="dxa"/>
            <w:gridSpan w:val="2"/>
            <w:tcBorders>
              <w:top w:val="double" w:sz="6" w:space="0" w:color="A5A5A5"/>
            </w:tcBorders>
          </w:tcPr>
          <w:p w:rsidR="00AF0FDB" w:rsidRPr="002C4F7C" w:rsidRDefault="00AF0FDB" w:rsidP="002C4F7C">
            <w:pPr>
              <w:tabs>
                <w:tab w:val="left" w:pos="1180"/>
              </w:tabs>
              <w:jc w:val="both"/>
              <w:rPr>
                <w:b/>
                <w:bCs/>
                <w:sz w:val="20"/>
                <w:szCs w:val="20"/>
              </w:rPr>
            </w:pPr>
            <w:r w:rsidRPr="002C4F7C">
              <w:rPr>
                <w:b/>
                <w:bCs/>
                <w:sz w:val="20"/>
                <w:szCs w:val="20"/>
              </w:rPr>
              <w:t>Ogółem</w:t>
            </w:r>
          </w:p>
        </w:tc>
        <w:tc>
          <w:tcPr>
            <w:tcW w:w="2977" w:type="dxa"/>
            <w:tcBorders>
              <w:top w:val="double" w:sz="6" w:space="0" w:color="A5A5A5"/>
            </w:tcBorders>
            <w:shd w:val="clear" w:color="auto" w:fill="E8E8E8"/>
          </w:tcPr>
          <w:p w:rsidR="00AF0FDB" w:rsidRPr="002C4F7C" w:rsidRDefault="00AF0FDB" w:rsidP="002C4F7C">
            <w:pPr>
              <w:tabs>
                <w:tab w:val="left" w:pos="1180"/>
              </w:tabs>
              <w:jc w:val="center"/>
              <w:rPr>
                <w:b/>
                <w:bCs/>
                <w:sz w:val="20"/>
                <w:szCs w:val="20"/>
              </w:rPr>
            </w:pPr>
            <w:r w:rsidRPr="002C4F7C">
              <w:rPr>
                <w:b/>
                <w:bCs/>
                <w:sz w:val="20"/>
                <w:szCs w:val="20"/>
              </w:rPr>
              <w:t>35</w:t>
            </w:r>
          </w:p>
        </w:tc>
        <w:tc>
          <w:tcPr>
            <w:tcW w:w="3130" w:type="dxa"/>
            <w:tcBorders>
              <w:top w:val="double" w:sz="6" w:space="0" w:color="A5A5A5"/>
            </w:tcBorders>
          </w:tcPr>
          <w:p w:rsidR="00AF0FDB" w:rsidRPr="002C4F7C" w:rsidRDefault="00AF0FDB" w:rsidP="002C4F7C">
            <w:pPr>
              <w:jc w:val="center"/>
              <w:rPr>
                <w:b/>
                <w:bCs/>
                <w:sz w:val="20"/>
                <w:szCs w:val="20"/>
              </w:rPr>
            </w:pPr>
            <w:r w:rsidRPr="002C4F7C">
              <w:rPr>
                <w:b/>
                <w:bCs/>
                <w:sz w:val="20"/>
                <w:szCs w:val="20"/>
              </w:rPr>
              <w:t>26</w:t>
            </w:r>
          </w:p>
        </w:tc>
      </w:tr>
    </w:tbl>
    <w:p w:rsidR="00AF0FDB" w:rsidRPr="00115250" w:rsidRDefault="00AF0FDB" w:rsidP="00E74A15">
      <w:pPr>
        <w:spacing w:before="0" w:after="0"/>
        <w:jc w:val="both"/>
        <w:outlineLvl w:val="0"/>
      </w:pPr>
      <w:bookmarkStart w:id="293" w:name="_GoBack"/>
      <w:bookmarkStart w:id="294" w:name="_Toc855408"/>
      <w:bookmarkStart w:id="295" w:name="_Toc861486"/>
      <w:bookmarkStart w:id="296" w:name="_Toc938851"/>
      <w:bookmarkEnd w:id="293"/>
      <w:r w:rsidRPr="00115250">
        <w:t>Najczęściej stwierdzonymi chorobami zawodowymi były choroby narządu głosu</w:t>
      </w:r>
      <w:r w:rsidRPr="00115250">
        <w:br/>
        <w:t>(16 przypadków).</w:t>
      </w:r>
      <w:bookmarkEnd w:id="294"/>
      <w:bookmarkEnd w:id="295"/>
      <w:bookmarkEnd w:id="296"/>
      <w:r w:rsidRPr="00115250">
        <w:t xml:space="preserve"> </w:t>
      </w:r>
    </w:p>
    <w:p w:rsidR="00AF0FDB" w:rsidRPr="00115250" w:rsidRDefault="00AF0FDB" w:rsidP="00E74A15">
      <w:pPr>
        <w:spacing w:before="0" w:after="0"/>
        <w:jc w:val="both"/>
        <w:outlineLvl w:val="0"/>
      </w:pPr>
      <w:bookmarkStart w:id="297" w:name="_Toc855409"/>
      <w:bookmarkStart w:id="298" w:name="_Toc861487"/>
      <w:bookmarkStart w:id="299" w:name="_Toc938852"/>
      <w:r w:rsidRPr="00115250">
        <w:t>Na drugim miejscu wystąpiły przewlekłe choroby układu ruchu i układu nerwowego  wywołane sposobem</w:t>
      </w:r>
      <w:r>
        <w:t xml:space="preserve"> wykonywania pracy (4 przypadki</w:t>
      </w:r>
      <w:r w:rsidRPr="00115250">
        <w:t>).</w:t>
      </w:r>
      <w:bookmarkEnd w:id="297"/>
      <w:bookmarkEnd w:id="298"/>
      <w:bookmarkEnd w:id="299"/>
    </w:p>
    <w:p w:rsidR="00AF0FDB" w:rsidRPr="00115250" w:rsidRDefault="00AF0FDB" w:rsidP="003C50DA">
      <w:pPr>
        <w:pStyle w:val="Heading1"/>
        <w:rPr>
          <w:rFonts w:ascii="Times New Roman" w:hAnsi="Times New Roman" w:cs="Times New Roman"/>
          <w:sz w:val="24"/>
          <w:szCs w:val="24"/>
        </w:rPr>
      </w:pPr>
      <w:bookmarkStart w:id="300" w:name="_Toc938853"/>
      <w:r w:rsidRPr="00115250">
        <w:rPr>
          <w:rFonts w:ascii="Times New Roman" w:hAnsi="Times New Roman" w:cs="Times New Roman"/>
          <w:sz w:val="24"/>
          <w:szCs w:val="24"/>
        </w:rPr>
        <w:t>Podsumowanie</w:t>
      </w:r>
      <w:bookmarkEnd w:id="300"/>
    </w:p>
    <w:p w:rsidR="00AF0FDB" w:rsidRPr="00115250" w:rsidRDefault="00AF0FDB" w:rsidP="007C7B2F">
      <w:pPr>
        <w:spacing w:before="0" w:after="0"/>
        <w:jc w:val="both"/>
      </w:pPr>
      <w:r w:rsidRPr="00115250">
        <w:t>1. Na</w:t>
      </w:r>
      <w:r>
        <w:t xml:space="preserve">dzorem sanitarnym w roku 2018 </w:t>
      </w:r>
      <w:r w:rsidRPr="00115250">
        <w:t xml:space="preserve"> objęto 30 % wszystkich zewidencjonowanych zakładów pracy.</w:t>
      </w:r>
    </w:p>
    <w:p w:rsidR="00AF0FDB" w:rsidRPr="00115250" w:rsidRDefault="00AF0FDB" w:rsidP="007C7B2F">
      <w:pPr>
        <w:spacing w:before="0" w:after="0"/>
        <w:jc w:val="both"/>
      </w:pPr>
      <w:r w:rsidRPr="00115250">
        <w:t xml:space="preserve">2. Nieprawidłowości stwierdzono w 50 % skontrolowanych zakładów. </w:t>
      </w:r>
    </w:p>
    <w:p w:rsidR="00AF0FDB" w:rsidRPr="00115250" w:rsidRDefault="00AF0FDB" w:rsidP="007C7B2F">
      <w:pPr>
        <w:spacing w:before="0" w:after="0"/>
        <w:jc w:val="both"/>
      </w:pPr>
      <w:r w:rsidRPr="00115250">
        <w:t xml:space="preserve">3. W związku ze stwierdzonymi nieprawidłowościami decyzje administracyjne wydano </w:t>
      </w:r>
    </w:p>
    <w:p w:rsidR="00AF0FDB" w:rsidRPr="00115250" w:rsidRDefault="00AF0FDB" w:rsidP="007C7B2F">
      <w:pPr>
        <w:spacing w:before="0" w:after="0"/>
        <w:jc w:val="both"/>
      </w:pPr>
      <w:r w:rsidRPr="00115250">
        <w:t>w 10 % skontrolowanych zakładów.</w:t>
      </w:r>
    </w:p>
    <w:p w:rsidR="00AF0FDB" w:rsidRPr="00115250" w:rsidRDefault="00AF0FDB" w:rsidP="007C7B2F">
      <w:pPr>
        <w:spacing w:after="0"/>
        <w:jc w:val="both"/>
      </w:pPr>
      <w:r w:rsidRPr="00115250">
        <w:t>Najwięcej uchybień dotyczyło złego stanu sanitarno-higienicznego pomieszczeń pracy</w:t>
      </w:r>
      <w:r w:rsidRPr="00115250">
        <w:br/>
        <w:t>i zaplecza socjalnego, substancji i preparatów chemicznych, braku pomiarów czynników szkodliwych dla zdrowia, oraz braku oceny ryzyka zawodowego.</w:t>
      </w:r>
    </w:p>
    <w:p w:rsidR="00AF0FDB" w:rsidRPr="00115250" w:rsidRDefault="00AF0FDB" w:rsidP="007C7B2F">
      <w:pPr>
        <w:spacing w:after="0"/>
        <w:jc w:val="both"/>
      </w:pPr>
      <w:r w:rsidRPr="00115250">
        <w:t>4. Liczba stwierdzonych chorób zawodowych zmniejszyła się w stosunku do roku poprzedniego.</w:t>
      </w:r>
    </w:p>
    <w:p w:rsidR="00AF0FDB" w:rsidRPr="00115250" w:rsidRDefault="00AF0FDB" w:rsidP="0036597B">
      <w:pPr>
        <w:jc w:val="both"/>
      </w:pPr>
      <w:r w:rsidRPr="00115250">
        <w:t xml:space="preserve">Najczęściej stwierdzonymi chorobami zawodowymi nadal były choroby narządu głosu (61%). Liczba przewlekłych chorób wywołanych sposobem wykonywania pracy pozostała na podobnym poziomie w  porównaniu do roku ubiegłego. </w:t>
      </w:r>
    </w:p>
    <w:p w:rsidR="00AF0FDB" w:rsidRPr="00E150CC" w:rsidRDefault="00AF0FDB" w:rsidP="005612E1">
      <w:pPr>
        <w:rPr>
          <w:color w:val="FF0000"/>
        </w:rPr>
      </w:pPr>
    </w:p>
    <w:p w:rsidR="00AF0FDB" w:rsidRPr="00E150CC" w:rsidRDefault="00AF0FDB" w:rsidP="005612E1">
      <w:pPr>
        <w:rPr>
          <w:color w:val="FF0000"/>
        </w:rPr>
      </w:pPr>
    </w:p>
    <w:p w:rsidR="00AF0FDB" w:rsidRPr="00E150CC" w:rsidRDefault="00AF0FDB" w:rsidP="005612E1">
      <w:pPr>
        <w:rPr>
          <w:color w:val="FF0000"/>
        </w:rPr>
      </w:pPr>
    </w:p>
    <w:p w:rsidR="00AF0FDB" w:rsidRPr="00E150CC" w:rsidRDefault="00AF0FDB" w:rsidP="005612E1">
      <w:pPr>
        <w:rPr>
          <w:color w:val="FF0000"/>
        </w:rPr>
      </w:pPr>
    </w:p>
    <w:p w:rsidR="00AF0FDB" w:rsidRPr="00E150CC" w:rsidRDefault="00AF0FDB" w:rsidP="005612E1">
      <w:pPr>
        <w:rPr>
          <w:color w:val="FF0000"/>
        </w:rPr>
      </w:pPr>
    </w:p>
    <w:p w:rsidR="00AF0FDB" w:rsidRPr="00E150CC" w:rsidRDefault="00AF0FDB" w:rsidP="005612E1">
      <w:pPr>
        <w:rPr>
          <w:color w:val="FF0000"/>
        </w:rPr>
      </w:pPr>
    </w:p>
    <w:p w:rsidR="00AF0FDB" w:rsidRPr="00E150CC" w:rsidRDefault="00AF0FDB" w:rsidP="005D4C6B">
      <w:pPr>
        <w:pStyle w:val="Heading1"/>
        <w:jc w:val="left"/>
        <w:rPr>
          <w:rFonts w:cs="Times New Roman"/>
          <w:color w:val="FF0000"/>
        </w:rPr>
      </w:pPr>
      <w:r w:rsidRPr="00E150CC">
        <w:rPr>
          <w:rFonts w:cs="Times New Roman"/>
          <w:color w:val="FF0000"/>
        </w:rPr>
        <w:tab/>
      </w:r>
      <w:bookmarkStart w:id="301" w:name="_Toc411600385"/>
      <w:bookmarkStart w:id="302" w:name="_Toc412019593"/>
    </w:p>
    <w:p w:rsidR="00AF0FDB" w:rsidRPr="00E150CC" w:rsidRDefault="00AF0FDB" w:rsidP="005612E1">
      <w:pPr>
        <w:pStyle w:val="Heading1"/>
        <w:rPr>
          <w:rFonts w:cs="Times New Roman"/>
          <w:color w:val="FF0000"/>
        </w:rPr>
      </w:pPr>
    </w:p>
    <w:p w:rsidR="00AF0FDB" w:rsidRPr="00E150CC" w:rsidRDefault="00AF0FDB" w:rsidP="005612E1">
      <w:pPr>
        <w:pStyle w:val="Heading1"/>
        <w:rPr>
          <w:rFonts w:cs="Times New Roman"/>
          <w:color w:val="FF0000"/>
        </w:rPr>
      </w:pPr>
    </w:p>
    <w:p w:rsidR="00AF0FDB" w:rsidRDefault="00AF0FDB" w:rsidP="005612E1">
      <w:pPr>
        <w:pStyle w:val="Heading1"/>
        <w:rPr>
          <w:rFonts w:cs="Times New Roman"/>
        </w:rPr>
      </w:pPr>
    </w:p>
    <w:p w:rsidR="00AF0FDB" w:rsidRDefault="00AF0FDB" w:rsidP="00301544">
      <w:pPr>
        <w:pStyle w:val="Heading1"/>
        <w:rPr>
          <w:rFonts w:cs="Times New Roman"/>
        </w:rPr>
      </w:pPr>
    </w:p>
    <w:p w:rsidR="00AF0FDB" w:rsidRDefault="00AF0FDB" w:rsidP="003E7A4E"/>
    <w:p w:rsidR="00AF0FDB" w:rsidRDefault="00AF0FDB" w:rsidP="003E7A4E"/>
    <w:p w:rsidR="00AF0FDB" w:rsidRPr="003E7A4E" w:rsidRDefault="00AF0FDB" w:rsidP="003E7A4E"/>
    <w:p w:rsidR="00AF0FDB" w:rsidRDefault="00AF0FDB" w:rsidP="00301544">
      <w:pPr>
        <w:pStyle w:val="Heading1"/>
        <w:rPr>
          <w:rFonts w:cs="Times New Roman"/>
        </w:rPr>
      </w:pPr>
    </w:p>
    <w:p w:rsidR="00AF0FDB" w:rsidRPr="00301544" w:rsidRDefault="00AF0FDB" w:rsidP="00301544">
      <w:pPr>
        <w:pStyle w:val="Heading1"/>
      </w:pPr>
      <w:bookmarkStart w:id="303" w:name="_Toc938854"/>
      <w:r w:rsidRPr="00301544">
        <w:t xml:space="preserve">OBIEKTY </w:t>
      </w:r>
      <w:r w:rsidRPr="00301544">
        <w:br/>
        <w:t>NAUCZANIA I WYCHOWANIA</w:t>
      </w:r>
      <w:bookmarkEnd w:id="301"/>
      <w:bookmarkEnd w:id="302"/>
      <w:bookmarkEnd w:id="303"/>
    </w:p>
    <w:p w:rsidR="00AF0FDB" w:rsidRPr="00304E38" w:rsidRDefault="00AF0FDB" w:rsidP="00304E38">
      <w:pPr>
        <w:spacing w:before="0" w:after="160" w:line="259" w:lineRule="auto"/>
      </w:pPr>
      <w:r>
        <w:br w:type="page"/>
      </w:r>
    </w:p>
    <w:p w:rsidR="00AF0FDB" w:rsidRPr="002141E0" w:rsidRDefault="00AF0FDB" w:rsidP="002141E0">
      <w:pPr>
        <w:pStyle w:val="Heading1"/>
        <w:rPr>
          <w:rFonts w:ascii="Times New Roman" w:hAnsi="Times New Roman" w:cs="Times New Roman"/>
          <w:sz w:val="24"/>
          <w:szCs w:val="24"/>
        </w:rPr>
      </w:pPr>
      <w:bookmarkStart w:id="304" w:name="_Toc938855"/>
      <w:r w:rsidRPr="009D629B">
        <w:rPr>
          <w:rFonts w:ascii="Times New Roman" w:hAnsi="Times New Roman" w:cs="Times New Roman"/>
          <w:sz w:val="24"/>
          <w:szCs w:val="24"/>
        </w:rPr>
        <w:t>Placówki nauczania i wychowania</w:t>
      </w:r>
      <w:bookmarkEnd w:id="304"/>
    </w:p>
    <w:p w:rsidR="00AF0FDB" w:rsidRDefault="00AF0FDB" w:rsidP="00D61460">
      <w:pPr>
        <w:jc w:val="both"/>
      </w:pPr>
      <w:r w:rsidRPr="00A52ED7">
        <w:t xml:space="preserve">W 2018 roku w ewidencji nadzoru Powiatowej Stacji Sanitarno - Epidemiologicznej w Poznaniu znajdowało się 2251 placówek nauczania i wychowania dla dzieci i młodzieży. Obiekty objęte nadzorem to: żłobki, przedszkola, szkoły wszystkich typów i stopni, internaty, placówki pracy pozaszkolnej, warsztaty, szkoły wyższe, domy studenckie i inne. </w:t>
      </w:r>
    </w:p>
    <w:p w:rsidR="00AF0FDB" w:rsidRPr="00A52ED7" w:rsidRDefault="00AF0FDB" w:rsidP="00D61460">
      <w:pPr>
        <w:jc w:val="both"/>
      </w:pPr>
      <w:r w:rsidRPr="00A52ED7">
        <w:t>W placówkach przeprowadzono 691 kontroli sanitarnych.</w:t>
      </w:r>
    </w:p>
    <w:p w:rsidR="00AF0FDB" w:rsidRPr="00A52ED7" w:rsidRDefault="00AF0FDB" w:rsidP="0035117D">
      <w:pPr>
        <w:jc w:val="both"/>
      </w:pPr>
      <w:r w:rsidRPr="00A52ED7">
        <w:t>Od kilku lat widać wzrost liczby placówek, co związane jest głównie z powstawaniem nowych punktów opieki dla dzieci do</w:t>
      </w:r>
      <w:r>
        <w:t xml:space="preserve"> lat trzech </w:t>
      </w:r>
      <w:r w:rsidRPr="00A52ED7">
        <w:t>(tab. nr 1).</w:t>
      </w:r>
    </w:p>
    <w:p w:rsidR="00AF0FDB" w:rsidRPr="00A52ED7" w:rsidRDefault="00AF0FDB" w:rsidP="00B435EE">
      <w:pPr>
        <w:pStyle w:val="NoSpacing"/>
        <w:rPr>
          <w:sz w:val="20"/>
          <w:szCs w:val="20"/>
        </w:rPr>
      </w:pPr>
      <w:r w:rsidRPr="00A52ED7">
        <w:rPr>
          <w:b/>
          <w:bCs/>
          <w:sz w:val="20"/>
          <w:szCs w:val="20"/>
        </w:rPr>
        <w:t>Tab. 1</w:t>
      </w:r>
      <w:r w:rsidRPr="00A52ED7">
        <w:rPr>
          <w:b/>
          <w:bCs/>
        </w:rPr>
        <w:t>.</w:t>
      </w:r>
      <w:r w:rsidRPr="00A52ED7">
        <w:t xml:space="preserve"> </w:t>
      </w:r>
      <w:r w:rsidRPr="00A52ED7">
        <w:rPr>
          <w:sz w:val="20"/>
          <w:szCs w:val="20"/>
        </w:rPr>
        <w:t>Porównanie liczby placówek i liczby kontroli w latach 2016 -2018</w:t>
      </w:r>
    </w:p>
    <w:p w:rsidR="00AF0FDB" w:rsidRPr="009451E5" w:rsidRDefault="00AF0FDB" w:rsidP="00B435EE">
      <w:pPr>
        <w:pStyle w:val="NoSpacing"/>
        <w:rPr>
          <w:color w:val="FF0000"/>
          <w:sz w:val="20"/>
          <w:szCs w:val="20"/>
        </w:rPr>
      </w:pP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2410"/>
        <w:gridCol w:w="2126"/>
        <w:gridCol w:w="2127"/>
        <w:gridCol w:w="2126"/>
      </w:tblGrid>
      <w:tr w:rsidR="00AF0FDB" w:rsidRPr="009451E5">
        <w:tc>
          <w:tcPr>
            <w:tcW w:w="2410" w:type="dxa"/>
            <w:shd w:val="clear" w:color="auto" w:fill="E8E8E8"/>
          </w:tcPr>
          <w:p w:rsidR="00AF0FDB" w:rsidRPr="002C4F7C" w:rsidRDefault="00AF0FDB" w:rsidP="002C4F7C">
            <w:pPr>
              <w:snapToGrid w:val="0"/>
              <w:jc w:val="both"/>
              <w:rPr>
                <w:b/>
                <w:bCs/>
                <w:sz w:val="22"/>
                <w:szCs w:val="22"/>
              </w:rPr>
            </w:pPr>
            <w:r w:rsidRPr="002C4F7C">
              <w:rPr>
                <w:b/>
                <w:bCs/>
                <w:sz w:val="22"/>
                <w:szCs w:val="22"/>
              </w:rPr>
              <w:t>porównywane parametry</w:t>
            </w:r>
          </w:p>
        </w:tc>
        <w:tc>
          <w:tcPr>
            <w:tcW w:w="2126" w:type="dxa"/>
            <w:shd w:val="clear" w:color="auto" w:fill="E8E8E8"/>
          </w:tcPr>
          <w:p w:rsidR="00AF0FDB" w:rsidRPr="002C4F7C" w:rsidRDefault="00AF0FDB" w:rsidP="002C4F7C">
            <w:pPr>
              <w:snapToGrid w:val="0"/>
              <w:jc w:val="center"/>
              <w:rPr>
                <w:b/>
                <w:bCs/>
                <w:sz w:val="22"/>
                <w:szCs w:val="22"/>
              </w:rPr>
            </w:pPr>
            <w:r w:rsidRPr="002C4F7C">
              <w:rPr>
                <w:b/>
                <w:bCs/>
                <w:sz w:val="22"/>
                <w:szCs w:val="22"/>
              </w:rPr>
              <w:t>2016 r.</w:t>
            </w:r>
          </w:p>
        </w:tc>
        <w:tc>
          <w:tcPr>
            <w:tcW w:w="2127" w:type="dxa"/>
            <w:shd w:val="clear" w:color="auto" w:fill="E8E8E8"/>
          </w:tcPr>
          <w:p w:rsidR="00AF0FDB" w:rsidRPr="002C4F7C" w:rsidRDefault="00AF0FDB" w:rsidP="002C4F7C">
            <w:pPr>
              <w:snapToGrid w:val="0"/>
              <w:jc w:val="center"/>
              <w:rPr>
                <w:b/>
                <w:bCs/>
                <w:sz w:val="22"/>
                <w:szCs w:val="22"/>
              </w:rPr>
            </w:pPr>
            <w:r w:rsidRPr="002C4F7C">
              <w:rPr>
                <w:b/>
                <w:bCs/>
                <w:sz w:val="22"/>
                <w:szCs w:val="22"/>
              </w:rPr>
              <w:t>2017 r.</w:t>
            </w:r>
          </w:p>
        </w:tc>
        <w:tc>
          <w:tcPr>
            <w:tcW w:w="2126" w:type="dxa"/>
            <w:shd w:val="clear" w:color="auto" w:fill="E8E8E8"/>
          </w:tcPr>
          <w:p w:rsidR="00AF0FDB" w:rsidRPr="002C4F7C" w:rsidRDefault="00AF0FDB" w:rsidP="002C4F7C">
            <w:pPr>
              <w:snapToGrid w:val="0"/>
              <w:jc w:val="center"/>
              <w:rPr>
                <w:b/>
                <w:bCs/>
                <w:sz w:val="22"/>
                <w:szCs w:val="22"/>
              </w:rPr>
            </w:pPr>
            <w:r w:rsidRPr="002C4F7C">
              <w:rPr>
                <w:b/>
                <w:bCs/>
                <w:sz w:val="22"/>
                <w:szCs w:val="22"/>
              </w:rPr>
              <w:t>2018 r.</w:t>
            </w:r>
          </w:p>
        </w:tc>
      </w:tr>
      <w:tr w:rsidR="00AF0FDB" w:rsidRPr="009451E5">
        <w:tc>
          <w:tcPr>
            <w:tcW w:w="2410" w:type="dxa"/>
            <w:shd w:val="clear" w:color="auto" w:fill="E8E8E8"/>
          </w:tcPr>
          <w:p w:rsidR="00AF0FDB" w:rsidRPr="002C4F7C" w:rsidRDefault="00AF0FDB" w:rsidP="002C4F7C">
            <w:pPr>
              <w:snapToGrid w:val="0"/>
              <w:jc w:val="both"/>
              <w:rPr>
                <w:sz w:val="22"/>
                <w:szCs w:val="22"/>
              </w:rPr>
            </w:pPr>
            <w:r w:rsidRPr="002C4F7C">
              <w:rPr>
                <w:sz w:val="22"/>
                <w:szCs w:val="22"/>
              </w:rPr>
              <w:t xml:space="preserve">liczba placówek </w:t>
            </w:r>
          </w:p>
        </w:tc>
        <w:tc>
          <w:tcPr>
            <w:tcW w:w="2126" w:type="dxa"/>
          </w:tcPr>
          <w:p w:rsidR="00AF0FDB" w:rsidRPr="002C4F7C" w:rsidRDefault="00AF0FDB" w:rsidP="002C4F7C">
            <w:pPr>
              <w:jc w:val="center"/>
              <w:rPr>
                <w:sz w:val="22"/>
                <w:szCs w:val="22"/>
              </w:rPr>
            </w:pPr>
            <w:r w:rsidRPr="002C4F7C">
              <w:rPr>
                <w:sz w:val="22"/>
                <w:szCs w:val="22"/>
              </w:rPr>
              <w:t>1235</w:t>
            </w:r>
          </w:p>
        </w:tc>
        <w:tc>
          <w:tcPr>
            <w:tcW w:w="2127" w:type="dxa"/>
            <w:shd w:val="clear" w:color="auto" w:fill="E8E8E8"/>
          </w:tcPr>
          <w:p w:rsidR="00AF0FDB" w:rsidRPr="002C4F7C" w:rsidRDefault="00AF0FDB" w:rsidP="002C4F7C">
            <w:pPr>
              <w:jc w:val="center"/>
              <w:rPr>
                <w:sz w:val="22"/>
                <w:szCs w:val="22"/>
              </w:rPr>
            </w:pPr>
            <w:r w:rsidRPr="002C4F7C">
              <w:rPr>
                <w:sz w:val="22"/>
                <w:szCs w:val="22"/>
              </w:rPr>
              <w:t>1508</w:t>
            </w:r>
          </w:p>
        </w:tc>
        <w:tc>
          <w:tcPr>
            <w:tcW w:w="2126" w:type="dxa"/>
          </w:tcPr>
          <w:p w:rsidR="00AF0FDB" w:rsidRPr="002C4F7C" w:rsidRDefault="00AF0FDB" w:rsidP="002C4F7C">
            <w:pPr>
              <w:jc w:val="center"/>
              <w:rPr>
                <w:sz w:val="22"/>
                <w:szCs w:val="22"/>
              </w:rPr>
            </w:pPr>
            <w:r w:rsidRPr="002C4F7C">
              <w:rPr>
                <w:sz w:val="22"/>
                <w:szCs w:val="22"/>
              </w:rPr>
              <w:t>2251</w:t>
            </w:r>
          </w:p>
        </w:tc>
      </w:tr>
      <w:tr w:rsidR="00AF0FDB" w:rsidRPr="009451E5">
        <w:tc>
          <w:tcPr>
            <w:tcW w:w="2410" w:type="dxa"/>
            <w:shd w:val="clear" w:color="auto" w:fill="E8E8E8"/>
          </w:tcPr>
          <w:p w:rsidR="00AF0FDB" w:rsidRPr="002C4F7C" w:rsidRDefault="00AF0FDB" w:rsidP="002C4F7C">
            <w:pPr>
              <w:snapToGrid w:val="0"/>
              <w:jc w:val="both"/>
              <w:rPr>
                <w:sz w:val="22"/>
                <w:szCs w:val="22"/>
              </w:rPr>
            </w:pPr>
            <w:r w:rsidRPr="002C4F7C">
              <w:rPr>
                <w:sz w:val="22"/>
                <w:szCs w:val="22"/>
              </w:rPr>
              <w:t xml:space="preserve">liczba kontroli </w:t>
            </w:r>
          </w:p>
        </w:tc>
        <w:tc>
          <w:tcPr>
            <w:tcW w:w="2126" w:type="dxa"/>
            <w:shd w:val="clear" w:color="auto" w:fill="E8E8E8"/>
          </w:tcPr>
          <w:p w:rsidR="00AF0FDB" w:rsidRPr="002C4F7C" w:rsidRDefault="00AF0FDB" w:rsidP="002C4F7C">
            <w:pPr>
              <w:jc w:val="center"/>
              <w:rPr>
                <w:sz w:val="22"/>
                <w:szCs w:val="22"/>
              </w:rPr>
            </w:pPr>
            <w:r w:rsidRPr="002C4F7C">
              <w:rPr>
                <w:sz w:val="22"/>
                <w:szCs w:val="22"/>
              </w:rPr>
              <w:t>862</w:t>
            </w:r>
          </w:p>
        </w:tc>
        <w:tc>
          <w:tcPr>
            <w:tcW w:w="2127" w:type="dxa"/>
            <w:shd w:val="clear" w:color="auto" w:fill="E8E8E8"/>
          </w:tcPr>
          <w:p w:rsidR="00AF0FDB" w:rsidRPr="002C4F7C" w:rsidRDefault="00AF0FDB" w:rsidP="002C4F7C">
            <w:pPr>
              <w:jc w:val="center"/>
              <w:rPr>
                <w:sz w:val="22"/>
                <w:szCs w:val="22"/>
              </w:rPr>
            </w:pPr>
            <w:r w:rsidRPr="002C4F7C">
              <w:rPr>
                <w:sz w:val="22"/>
                <w:szCs w:val="22"/>
              </w:rPr>
              <w:t>1004</w:t>
            </w:r>
          </w:p>
        </w:tc>
        <w:tc>
          <w:tcPr>
            <w:tcW w:w="2126" w:type="dxa"/>
            <w:shd w:val="clear" w:color="auto" w:fill="E8E8E8"/>
          </w:tcPr>
          <w:p w:rsidR="00AF0FDB" w:rsidRPr="002C4F7C" w:rsidRDefault="00AF0FDB" w:rsidP="002C4F7C">
            <w:pPr>
              <w:jc w:val="center"/>
              <w:rPr>
                <w:sz w:val="22"/>
                <w:szCs w:val="22"/>
              </w:rPr>
            </w:pPr>
            <w:r w:rsidRPr="002C4F7C">
              <w:rPr>
                <w:sz w:val="22"/>
                <w:szCs w:val="22"/>
              </w:rPr>
              <w:t>691</w:t>
            </w:r>
          </w:p>
        </w:tc>
      </w:tr>
    </w:tbl>
    <w:p w:rsidR="00AF0FDB" w:rsidRPr="00A52ED7" w:rsidRDefault="00AF0FDB" w:rsidP="0035117D">
      <w:pPr>
        <w:jc w:val="both"/>
      </w:pPr>
      <w:r w:rsidRPr="00A52ED7">
        <w:t>Przedmiotem czynności kontrolnych w placówkach nauczania i wychowania było:</w:t>
      </w:r>
    </w:p>
    <w:p w:rsidR="00AF0FDB" w:rsidRPr="00A52ED7" w:rsidRDefault="00AF0FDB" w:rsidP="0035117D">
      <w:pPr>
        <w:numPr>
          <w:ilvl w:val="0"/>
          <w:numId w:val="10"/>
        </w:numPr>
        <w:suppressAutoHyphens/>
        <w:spacing w:before="0" w:after="0"/>
        <w:jc w:val="both"/>
      </w:pPr>
      <w:r w:rsidRPr="00A52ED7">
        <w:t>ocena warunków do utrzymania higieny osobistej użytkowników obiektów oraz bieżącej czystości placówek oświatowych,</w:t>
      </w:r>
    </w:p>
    <w:p w:rsidR="00AF0FDB" w:rsidRPr="00A52ED7" w:rsidRDefault="00AF0FDB" w:rsidP="0035117D">
      <w:pPr>
        <w:numPr>
          <w:ilvl w:val="0"/>
          <w:numId w:val="10"/>
        </w:numPr>
        <w:suppressAutoHyphens/>
        <w:spacing w:before="0" w:after="0"/>
        <w:jc w:val="both"/>
      </w:pPr>
      <w:r w:rsidRPr="00A52ED7">
        <w:t xml:space="preserve">nadzorowanie stanu technicznego budynków i przyległych terenów  placówek oświatowych, </w:t>
      </w:r>
    </w:p>
    <w:p w:rsidR="00AF0FDB" w:rsidRPr="00A52ED7" w:rsidRDefault="00AF0FDB" w:rsidP="0035117D">
      <w:pPr>
        <w:numPr>
          <w:ilvl w:val="0"/>
          <w:numId w:val="10"/>
        </w:numPr>
        <w:suppressAutoHyphens/>
        <w:spacing w:before="0" w:after="0"/>
        <w:jc w:val="both"/>
      </w:pPr>
      <w:r w:rsidRPr="00A52ED7">
        <w:t>ocena warunków do prowadzenia zajęć wychowania fizycznego i higieny osobistej po zajęciach sportowych, ocena stanu technicznego urządzeń sportowych i ocena  wymaganych dokumentów jak atesty i certyfikaty,</w:t>
      </w:r>
    </w:p>
    <w:p w:rsidR="00AF0FDB" w:rsidRPr="00A52ED7" w:rsidRDefault="00AF0FDB" w:rsidP="0035117D">
      <w:pPr>
        <w:numPr>
          <w:ilvl w:val="0"/>
          <w:numId w:val="10"/>
        </w:numPr>
        <w:suppressAutoHyphens/>
        <w:spacing w:before="0" w:after="0"/>
        <w:jc w:val="both"/>
      </w:pPr>
      <w:r w:rsidRPr="00A52ED7">
        <w:t>ocena warunków zdrowotnych w pracowniach komputerowych,</w:t>
      </w:r>
    </w:p>
    <w:p w:rsidR="00AF0FDB" w:rsidRPr="00A52ED7" w:rsidRDefault="00AF0FDB" w:rsidP="0035117D">
      <w:pPr>
        <w:numPr>
          <w:ilvl w:val="0"/>
          <w:numId w:val="10"/>
        </w:numPr>
        <w:suppressAutoHyphens/>
        <w:spacing w:before="0" w:after="0"/>
        <w:jc w:val="both"/>
      </w:pPr>
      <w:r w:rsidRPr="00A52ED7">
        <w:t>nadzorowanie realizacji wymogów w zakresie stosowania niebezpiecznych substancji i preparatów chemicznych w szkolnych pracowniach chemicznych,</w:t>
      </w:r>
    </w:p>
    <w:p w:rsidR="00AF0FDB" w:rsidRPr="00A52ED7" w:rsidRDefault="00AF0FDB" w:rsidP="0035117D">
      <w:pPr>
        <w:numPr>
          <w:ilvl w:val="0"/>
          <w:numId w:val="10"/>
        </w:numPr>
        <w:suppressAutoHyphens/>
        <w:spacing w:before="0" w:after="0"/>
        <w:jc w:val="both"/>
      </w:pPr>
      <w:r w:rsidRPr="00A52ED7">
        <w:t>ocena warunków higieny procesów nauczania i planu zajęć lekcyjnych w szkołach,</w:t>
      </w:r>
    </w:p>
    <w:p w:rsidR="00AF0FDB" w:rsidRPr="00A52ED7" w:rsidRDefault="00AF0FDB" w:rsidP="0035117D">
      <w:pPr>
        <w:numPr>
          <w:ilvl w:val="0"/>
          <w:numId w:val="10"/>
        </w:numPr>
        <w:suppressAutoHyphens/>
        <w:spacing w:before="0" w:after="0"/>
        <w:jc w:val="both"/>
      </w:pPr>
      <w:r w:rsidRPr="00A52ED7">
        <w:t>ocena ergonomii stanowisk nauki, dostosowania mebli szkolnych do wzrostu uczniów oraz wymaganych dokumentów jak atesty i certyfikaty.</w:t>
      </w:r>
    </w:p>
    <w:p w:rsidR="00AF0FDB" w:rsidRPr="00A52ED7" w:rsidRDefault="00AF0FDB" w:rsidP="00D61460">
      <w:pPr>
        <w:jc w:val="both"/>
      </w:pPr>
      <w:r w:rsidRPr="00A52ED7">
        <w:t xml:space="preserve">Państwowy Powiatowy Inspektor Sanitarny w Poznaniu wydał w 2018 r. 111 opinii sanitarnych na prowadzenie  punktów przedszkolnych, przedszkoli, szkół i innych placówek oświatowych. W związku z ułatwieniami  w zakładaniu obiektów opieki nad dziećmi do lat 3 od 2011 r. systematycznie wzrasta liczba żłobków i klubów dziecięcych. Rośnie również liczba przedszkoli i punktów przedszkolnych (tab. nr 2). </w:t>
      </w:r>
    </w:p>
    <w:p w:rsidR="00AF0FDB" w:rsidRPr="00A52ED7" w:rsidRDefault="00AF0FDB" w:rsidP="00B435EE">
      <w:pPr>
        <w:rPr>
          <w:sz w:val="20"/>
          <w:szCs w:val="20"/>
        </w:rPr>
      </w:pPr>
      <w:r w:rsidRPr="00A52ED7">
        <w:rPr>
          <w:b/>
          <w:bCs/>
          <w:sz w:val="20"/>
          <w:szCs w:val="20"/>
        </w:rPr>
        <w:t>Tab. 2.</w:t>
      </w:r>
      <w:r w:rsidRPr="00A52ED7">
        <w:rPr>
          <w:rFonts w:ascii="Arial" w:hAnsi="Arial" w:cs="Arial"/>
        </w:rPr>
        <w:t xml:space="preserve"> </w:t>
      </w:r>
      <w:r w:rsidRPr="00A52ED7">
        <w:rPr>
          <w:sz w:val="20"/>
          <w:szCs w:val="20"/>
        </w:rPr>
        <w:t>Stan liczbowy obiektów opieki nad dziećmi do lat 3 oraz przedszkoli i punktów przedszkolnych w latach 2016-2018</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2523"/>
        <w:gridCol w:w="2126"/>
        <w:gridCol w:w="2127"/>
        <w:gridCol w:w="2126"/>
      </w:tblGrid>
      <w:tr w:rsidR="00AF0FDB" w:rsidRPr="00A52ED7">
        <w:tc>
          <w:tcPr>
            <w:tcW w:w="2523" w:type="dxa"/>
            <w:shd w:val="clear" w:color="auto" w:fill="E8E8E8"/>
          </w:tcPr>
          <w:p w:rsidR="00AF0FDB" w:rsidRPr="002C4F7C" w:rsidRDefault="00AF0FDB" w:rsidP="002C4F7C">
            <w:pPr>
              <w:snapToGrid w:val="0"/>
              <w:rPr>
                <w:b/>
                <w:bCs/>
                <w:sz w:val="22"/>
                <w:szCs w:val="22"/>
              </w:rPr>
            </w:pPr>
            <w:r w:rsidRPr="002C4F7C">
              <w:rPr>
                <w:b/>
                <w:bCs/>
                <w:sz w:val="22"/>
                <w:szCs w:val="22"/>
              </w:rPr>
              <w:t>Rodzaj obiektów</w:t>
            </w:r>
          </w:p>
        </w:tc>
        <w:tc>
          <w:tcPr>
            <w:tcW w:w="2126" w:type="dxa"/>
            <w:shd w:val="clear" w:color="auto" w:fill="E8E8E8"/>
          </w:tcPr>
          <w:p w:rsidR="00AF0FDB" w:rsidRPr="002C4F7C" w:rsidRDefault="00AF0FDB" w:rsidP="002C4F7C">
            <w:pPr>
              <w:snapToGrid w:val="0"/>
              <w:jc w:val="center"/>
              <w:rPr>
                <w:b/>
                <w:bCs/>
                <w:sz w:val="22"/>
                <w:szCs w:val="22"/>
              </w:rPr>
            </w:pPr>
            <w:r w:rsidRPr="002C4F7C">
              <w:rPr>
                <w:b/>
                <w:bCs/>
                <w:sz w:val="22"/>
                <w:szCs w:val="22"/>
              </w:rPr>
              <w:t>2016 r.</w:t>
            </w:r>
          </w:p>
        </w:tc>
        <w:tc>
          <w:tcPr>
            <w:tcW w:w="2127" w:type="dxa"/>
            <w:shd w:val="clear" w:color="auto" w:fill="E8E8E8"/>
          </w:tcPr>
          <w:p w:rsidR="00AF0FDB" w:rsidRPr="002C4F7C" w:rsidRDefault="00AF0FDB" w:rsidP="002C4F7C">
            <w:pPr>
              <w:snapToGrid w:val="0"/>
              <w:jc w:val="center"/>
              <w:rPr>
                <w:b/>
                <w:bCs/>
                <w:sz w:val="22"/>
                <w:szCs w:val="22"/>
              </w:rPr>
            </w:pPr>
            <w:r w:rsidRPr="002C4F7C">
              <w:rPr>
                <w:b/>
                <w:bCs/>
                <w:sz w:val="22"/>
                <w:szCs w:val="22"/>
              </w:rPr>
              <w:t>2017 r.</w:t>
            </w:r>
          </w:p>
        </w:tc>
        <w:tc>
          <w:tcPr>
            <w:tcW w:w="2126" w:type="dxa"/>
            <w:shd w:val="clear" w:color="auto" w:fill="E8E8E8"/>
          </w:tcPr>
          <w:p w:rsidR="00AF0FDB" w:rsidRPr="002C4F7C" w:rsidRDefault="00AF0FDB" w:rsidP="002C4F7C">
            <w:pPr>
              <w:snapToGrid w:val="0"/>
              <w:jc w:val="center"/>
              <w:rPr>
                <w:b/>
                <w:bCs/>
                <w:sz w:val="22"/>
                <w:szCs w:val="22"/>
              </w:rPr>
            </w:pPr>
            <w:r w:rsidRPr="002C4F7C">
              <w:rPr>
                <w:b/>
                <w:bCs/>
                <w:sz w:val="22"/>
                <w:szCs w:val="22"/>
              </w:rPr>
              <w:t>2018 r.</w:t>
            </w:r>
          </w:p>
        </w:tc>
      </w:tr>
      <w:tr w:rsidR="00AF0FDB" w:rsidRPr="00A52ED7">
        <w:tc>
          <w:tcPr>
            <w:tcW w:w="2523" w:type="dxa"/>
            <w:shd w:val="clear" w:color="auto" w:fill="E8E8E8"/>
          </w:tcPr>
          <w:p w:rsidR="00AF0FDB" w:rsidRPr="002C4F7C" w:rsidRDefault="00AF0FDB" w:rsidP="002C4F7C">
            <w:pPr>
              <w:snapToGrid w:val="0"/>
              <w:rPr>
                <w:sz w:val="22"/>
                <w:szCs w:val="22"/>
              </w:rPr>
            </w:pPr>
            <w:r w:rsidRPr="002C4F7C">
              <w:rPr>
                <w:sz w:val="22"/>
                <w:szCs w:val="22"/>
              </w:rPr>
              <w:t>żłobki i kluby dziecięce</w:t>
            </w:r>
          </w:p>
        </w:tc>
        <w:tc>
          <w:tcPr>
            <w:tcW w:w="2126" w:type="dxa"/>
          </w:tcPr>
          <w:p w:rsidR="00AF0FDB" w:rsidRPr="002C4F7C" w:rsidRDefault="00AF0FDB" w:rsidP="002C4F7C">
            <w:pPr>
              <w:jc w:val="center"/>
              <w:rPr>
                <w:sz w:val="22"/>
                <w:szCs w:val="22"/>
              </w:rPr>
            </w:pPr>
            <w:r w:rsidRPr="002C4F7C">
              <w:rPr>
                <w:sz w:val="22"/>
                <w:szCs w:val="22"/>
              </w:rPr>
              <w:t>195</w:t>
            </w:r>
          </w:p>
        </w:tc>
        <w:tc>
          <w:tcPr>
            <w:tcW w:w="2127" w:type="dxa"/>
            <w:shd w:val="clear" w:color="auto" w:fill="E8E8E8"/>
          </w:tcPr>
          <w:p w:rsidR="00AF0FDB" w:rsidRPr="002C4F7C" w:rsidRDefault="00AF0FDB" w:rsidP="002C4F7C">
            <w:pPr>
              <w:jc w:val="center"/>
              <w:rPr>
                <w:sz w:val="22"/>
                <w:szCs w:val="22"/>
              </w:rPr>
            </w:pPr>
            <w:r w:rsidRPr="002C4F7C">
              <w:rPr>
                <w:sz w:val="22"/>
                <w:szCs w:val="22"/>
              </w:rPr>
              <w:t>215</w:t>
            </w:r>
          </w:p>
        </w:tc>
        <w:tc>
          <w:tcPr>
            <w:tcW w:w="2126" w:type="dxa"/>
          </w:tcPr>
          <w:p w:rsidR="00AF0FDB" w:rsidRPr="002C4F7C" w:rsidRDefault="00AF0FDB" w:rsidP="002C4F7C">
            <w:pPr>
              <w:jc w:val="center"/>
              <w:rPr>
                <w:sz w:val="22"/>
                <w:szCs w:val="22"/>
              </w:rPr>
            </w:pPr>
            <w:r w:rsidRPr="002C4F7C">
              <w:rPr>
                <w:sz w:val="22"/>
                <w:szCs w:val="22"/>
              </w:rPr>
              <w:t>240</w:t>
            </w:r>
          </w:p>
        </w:tc>
      </w:tr>
      <w:tr w:rsidR="00AF0FDB" w:rsidRPr="00A52ED7">
        <w:tc>
          <w:tcPr>
            <w:tcW w:w="2523" w:type="dxa"/>
            <w:shd w:val="clear" w:color="auto" w:fill="E8E8E8"/>
          </w:tcPr>
          <w:p w:rsidR="00AF0FDB" w:rsidRPr="002C4F7C" w:rsidRDefault="00AF0FDB" w:rsidP="002C4F7C">
            <w:pPr>
              <w:snapToGrid w:val="0"/>
              <w:rPr>
                <w:sz w:val="22"/>
                <w:szCs w:val="22"/>
              </w:rPr>
            </w:pPr>
            <w:r w:rsidRPr="002C4F7C">
              <w:rPr>
                <w:sz w:val="22"/>
                <w:szCs w:val="22"/>
              </w:rPr>
              <w:t>przedszkola i punkty przedszkolne</w:t>
            </w:r>
          </w:p>
        </w:tc>
        <w:tc>
          <w:tcPr>
            <w:tcW w:w="2126" w:type="dxa"/>
            <w:shd w:val="clear" w:color="auto" w:fill="E8E8E8"/>
          </w:tcPr>
          <w:p w:rsidR="00AF0FDB" w:rsidRPr="002C4F7C" w:rsidRDefault="00AF0FDB" w:rsidP="002C4F7C">
            <w:pPr>
              <w:jc w:val="center"/>
              <w:rPr>
                <w:sz w:val="22"/>
                <w:szCs w:val="22"/>
              </w:rPr>
            </w:pPr>
            <w:r w:rsidRPr="002C4F7C">
              <w:rPr>
                <w:sz w:val="22"/>
                <w:szCs w:val="22"/>
              </w:rPr>
              <w:t>447</w:t>
            </w:r>
          </w:p>
        </w:tc>
        <w:tc>
          <w:tcPr>
            <w:tcW w:w="2127" w:type="dxa"/>
            <w:shd w:val="clear" w:color="auto" w:fill="E8E8E8"/>
          </w:tcPr>
          <w:p w:rsidR="00AF0FDB" w:rsidRPr="002C4F7C" w:rsidRDefault="00AF0FDB" w:rsidP="002C4F7C">
            <w:pPr>
              <w:jc w:val="center"/>
              <w:rPr>
                <w:sz w:val="22"/>
                <w:szCs w:val="22"/>
              </w:rPr>
            </w:pPr>
            <w:r w:rsidRPr="002C4F7C">
              <w:rPr>
                <w:sz w:val="22"/>
                <w:szCs w:val="22"/>
              </w:rPr>
              <w:t>462</w:t>
            </w:r>
          </w:p>
        </w:tc>
        <w:tc>
          <w:tcPr>
            <w:tcW w:w="2126" w:type="dxa"/>
            <w:shd w:val="clear" w:color="auto" w:fill="E8E8E8"/>
          </w:tcPr>
          <w:p w:rsidR="00AF0FDB" w:rsidRPr="002C4F7C" w:rsidRDefault="00AF0FDB" w:rsidP="002C4F7C">
            <w:pPr>
              <w:jc w:val="center"/>
              <w:rPr>
                <w:sz w:val="22"/>
                <w:szCs w:val="22"/>
              </w:rPr>
            </w:pPr>
            <w:r w:rsidRPr="002C4F7C">
              <w:rPr>
                <w:sz w:val="22"/>
                <w:szCs w:val="22"/>
              </w:rPr>
              <w:t>494</w:t>
            </w:r>
          </w:p>
        </w:tc>
      </w:tr>
    </w:tbl>
    <w:p w:rsidR="00AF0FDB" w:rsidRPr="00A52ED7" w:rsidRDefault="00AF0FDB" w:rsidP="00B435EE">
      <w:pPr>
        <w:jc w:val="both"/>
        <w:rPr>
          <w:rFonts w:ascii="Arial" w:eastAsia="Arial Unicode MS" w:hAnsi="Arial"/>
        </w:rPr>
      </w:pPr>
    </w:p>
    <w:p w:rsidR="00AF0FDB" w:rsidRPr="00A52ED7" w:rsidRDefault="00AF0FDB" w:rsidP="009D629B">
      <w:pPr>
        <w:pStyle w:val="Heading1"/>
        <w:rPr>
          <w:rFonts w:ascii="Times New Roman" w:eastAsia="Arial Unicode MS" w:hAnsi="Times New Roman" w:cs="Times New Roman"/>
          <w:sz w:val="24"/>
          <w:szCs w:val="24"/>
        </w:rPr>
      </w:pPr>
      <w:bookmarkStart w:id="305" w:name="_Toc938856"/>
      <w:r w:rsidRPr="00A52ED7">
        <w:rPr>
          <w:rFonts w:ascii="Times New Roman" w:eastAsia="Arial Unicode MS" w:hAnsi="Times New Roman" w:cs="Times New Roman"/>
          <w:sz w:val="24"/>
          <w:szCs w:val="24"/>
        </w:rPr>
        <w:t>Decyzje administracyjne</w:t>
      </w:r>
      <w:bookmarkEnd w:id="305"/>
    </w:p>
    <w:p w:rsidR="00AF0FDB" w:rsidRPr="00A52ED7" w:rsidRDefault="00AF0FDB" w:rsidP="00D61460">
      <w:pPr>
        <w:jc w:val="both"/>
      </w:pPr>
      <w:r w:rsidRPr="00A52ED7">
        <w:t xml:space="preserve">Na placówki nauczania i wychowania Państwowy Powiatowy Inspektor Sanitarny w Poznaniu w 2018 roku wydał 171 decyzji płatniczych i 100 decyzji merytorycznych (w tym 76 decyzji dotyczących określenia warunków lokalowych w żłobkach). </w:t>
      </w:r>
    </w:p>
    <w:p w:rsidR="00AF0FDB" w:rsidRPr="00A52ED7" w:rsidRDefault="00AF0FDB" w:rsidP="0018661D">
      <w:pPr>
        <w:pStyle w:val="Tekstpodstawowy21"/>
        <w:tabs>
          <w:tab w:val="left" w:pos="720"/>
        </w:tabs>
      </w:pPr>
      <w:r w:rsidRPr="00A52ED7">
        <w:t xml:space="preserve">W 2018 r. Oddział Higieny Dzieci i Młodzieży podczas kontroli sprawdzających stwierdził wykonanie 13 decyzji wydanych  przez Państwowego Powiatowego Inspektora Sanitarnego w Poznaniu. Zarządzenia decyzji najczęściej dotyczyły poprawy stanu sanitarno - technicznego dróg i dojść do placówek, ciągów komunikacyjnych w budynkach, pomieszczeń do nauki,  pomieszczeń sanitarnych, bloków sportowych, nawierzchni boisk oraz zapewnienia ciepłej bieżącej wody. </w:t>
      </w:r>
    </w:p>
    <w:p w:rsidR="00AF0FDB" w:rsidRPr="00A52ED7" w:rsidRDefault="00AF0FDB" w:rsidP="00B435EE">
      <w:pPr>
        <w:pStyle w:val="Tekstpodstawowy21"/>
        <w:tabs>
          <w:tab w:val="left" w:pos="720"/>
        </w:tabs>
        <w:spacing w:line="240" w:lineRule="auto"/>
        <w:jc w:val="left"/>
        <w:rPr>
          <w:sz w:val="20"/>
          <w:szCs w:val="20"/>
        </w:rPr>
      </w:pPr>
      <w:r w:rsidRPr="00A52ED7">
        <w:rPr>
          <w:b/>
          <w:bCs/>
          <w:sz w:val="20"/>
          <w:szCs w:val="20"/>
        </w:rPr>
        <w:t>Tab. 3.</w:t>
      </w:r>
      <w:r w:rsidRPr="00A52ED7">
        <w:rPr>
          <w:sz w:val="20"/>
          <w:szCs w:val="20"/>
        </w:rPr>
        <w:t xml:space="preserve"> Porównanie  liczby wydanych  decyzji w latach 2016-2018</w:t>
      </w:r>
    </w:p>
    <w:p w:rsidR="00AF0FDB" w:rsidRPr="00A52ED7" w:rsidRDefault="00AF0FDB" w:rsidP="00B435EE">
      <w:pPr>
        <w:pStyle w:val="Tekstpodstawowy21"/>
        <w:tabs>
          <w:tab w:val="left" w:pos="720"/>
        </w:tabs>
        <w:spacing w:line="240" w:lineRule="auto"/>
        <w:jc w:val="left"/>
        <w:rPr>
          <w:rFonts w:ascii="Arial" w:hAnsi="Arial" w:cs="Arial"/>
          <w:sz w:val="20"/>
          <w:szCs w:val="20"/>
        </w:rPr>
      </w:pPr>
    </w:p>
    <w:tbl>
      <w:tblPr>
        <w:tblW w:w="8789"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2410"/>
        <w:gridCol w:w="1984"/>
        <w:gridCol w:w="2019"/>
        <w:gridCol w:w="2376"/>
      </w:tblGrid>
      <w:tr w:rsidR="00AF0FDB" w:rsidRPr="00A52ED7">
        <w:tc>
          <w:tcPr>
            <w:tcW w:w="2410" w:type="dxa"/>
            <w:shd w:val="clear" w:color="auto" w:fill="E8E8E8"/>
          </w:tcPr>
          <w:p w:rsidR="00AF0FDB" w:rsidRPr="002C4F7C" w:rsidRDefault="00AF0FDB" w:rsidP="002C4F7C">
            <w:pPr>
              <w:snapToGrid w:val="0"/>
              <w:spacing w:before="0" w:line="276" w:lineRule="auto"/>
              <w:jc w:val="both"/>
              <w:rPr>
                <w:b/>
                <w:bCs/>
                <w:sz w:val="22"/>
                <w:szCs w:val="22"/>
              </w:rPr>
            </w:pPr>
            <w:r w:rsidRPr="002C4F7C">
              <w:rPr>
                <w:b/>
                <w:bCs/>
                <w:sz w:val="22"/>
                <w:szCs w:val="22"/>
              </w:rPr>
              <w:t>Porównywane parametry</w:t>
            </w:r>
          </w:p>
        </w:tc>
        <w:tc>
          <w:tcPr>
            <w:tcW w:w="1984" w:type="dxa"/>
            <w:shd w:val="clear" w:color="auto" w:fill="E8E8E8"/>
          </w:tcPr>
          <w:p w:rsidR="00AF0FDB" w:rsidRPr="002C4F7C" w:rsidRDefault="00AF0FDB" w:rsidP="002C4F7C">
            <w:pPr>
              <w:snapToGrid w:val="0"/>
              <w:jc w:val="center"/>
              <w:rPr>
                <w:b/>
                <w:bCs/>
                <w:sz w:val="22"/>
                <w:szCs w:val="22"/>
              </w:rPr>
            </w:pPr>
            <w:r w:rsidRPr="002C4F7C">
              <w:rPr>
                <w:b/>
                <w:bCs/>
                <w:sz w:val="22"/>
                <w:szCs w:val="22"/>
              </w:rPr>
              <w:t>2016 r.</w:t>
            </w:r>
          </w:p>
        </w:tc>
        <w:tc>
          <w:tcPr>
            <w:tcW w:w="2019" w:type="dxa"/>
            <w:shd w:val="clear" w:color="auto" w:fill="E8E8E8"/>
          </w:tcPr>
          <w:p w:rsidR="00AF0FDB" w:rsidRPr="002C4F7C" w:rsidRDefault="00AF0FDB" w:rsidP="002C4F7C">
            <w:pPr>
              <w:snapToGrid w:val="0"/>
              <w:jc w:val="center"/>
              <w:rPr>
                <w:b/>
                <w:bCs/>
                <w:sz w:val="22"/>
                <w:szCs w:val="22"/>
              </w:rPr>
            </w:pPr>
            <w:r w:rsidRPr="002C4F7C">
              <w:rPr>
                <w:b/>
                <w:bCs/>
                <w:sz w:val="22"/>
                <w:szCs w:val="22"/>
              </w:rPr>
              <w:t>2017 r.</w:t>
            </w:r>
          </w:p>
        </w:tc>
        <w:tc>
          <w:tcPr>
            <w:tcW w:w="2376" w:type="dxa"/>
            <w:shd w:val="clear" w:color="auto" w:fill="E8E8E8"/>
          </w:tcPr>
          <w:p w:rsidR="00AF0FDB" w:rsidRPr="002C4F7C" w:rsidRDefault="00AF0FDB" w:rsidP="002C4F7C">
            <w:pPr>
              <w:snapToGrid w:val="0"/>
              <w:jc w:val="center"/>
              <w:rPr>
                <w:b/>
                <w:bCs/>
                <w:sz w:val="22"/>
                <w:szCs w:val="22"/>
              </w:rPr>
            </w:pPr>
            <w:r w:rsidRPr="002C4F7C">
              <w:rPr>
                <w:b/>
                <w:bCs/>
                <w:sz w:val="22"/>
                <w:szCs w:val="22"/>
              </w:rPr>
              <w:t>2018 r.</w:t>
            </w:r>
          </w:p>
        </w:tc>
      </w:tr>
      <w:tr w:rsidR="00AF0FDB" w:rsidRPr="00A52ED7">
        <w:tc>
          <w:tcPr>
            <w:tcW w:w="2410" w:type="dxa"/>
            <w:shd w:val="clear" w:color="auto" w:fill="E8E8E8"/>
          </w:tcPr>
          <w:p w:rsidR="00AF0FDB" w:rsidRPr="002C4F7C" w:rsidRDefault="00AF0FDB" w:rsidP="002C4F7C">
            <w:pPr>
              <w:pStyle w:val="Tekstpodstawowy21"/>
              <w:tabs>
                <w:tab w:val="left" w:pos="720"/>
              </w:tabs>
              <w:snapToGrid w:val="0"/>
              <w:spacing w:line="240" w:lineRule="auto"/>
              <w:jc w:val="left"/>
              <w:rPr>
                <w:sz w:val="22"/>
                <w:szCs w:val="22"/>
              </w:rPr>
            </w:pPr>
            <w:r w:rsidRPr="002C4F7C">
              <w:rPr>
                <w:sz w:val="22"/>
                <w:szCs w:val="22"/>
              </w:rPr>
              <w:t>liczba wydanych  decyzji</w:t>
            </w:r>
          </w:p>
        </w:tc>
        <w:tc>
          <w:tcPr>
            <w:tcW w:w="1984" w:type="dxa"/>
          </w:tcPr>
          <w:p w:rsidR="00AF0FDB" w:rsidRPr="002C4F7C" w:rsidRDefault="00AF0FDB" w:rsidP="002C4F7C">
            <w:pPr>
              <w:pStyle w:val="Tekstpodstawowy21"/>
              <w:tabs>
                <w:tab w:val="left" w:pos="720"/>
              </w:tabs>
              <w:snapToGrid w:val="0"/>
              <w:spacing w:line="240" w:lineRule="auto"/>
              <w:jc w:val="center"/>
              <w:rPr>
                <w:sz w:val="22"/>
                <w:szCs w:val="22"/>
              </w:rPr>
            </w:pPr>
            <w:r w:rsidRPr="002C4F7C">
              <w:rPr>
                <w:sz w:val="22"/>
                <w:szCs w:val="22"/>
              </w:rPr>
              <w:t>185</w:t>
            </w:r>
          </w:p>
        </w:tc>
        <w:tc>
          <w:tcPr>
            <w:tcW w:w="2019" w:type="dxa"/>
            <w:shd w:val="clear" w:color="auto" w:fill="E8E8E8"/>
          </w:tcPr>
          <w:p w:rsidR="00AF0FDB" w:rsidRPr="002C4F7C" w:rsidRDefault="00AF0FDB" w:rsidP="002C4F7C">
            <w:pPr>
              <w:pStyle w:val="Tekstpodstawowy21"/>
              <w:tabs>
                <w:tab w:val="left" w:pos="720"/>
              </w:tabs>
              <w:snapToGrid w:val="0"/>
              <w:spacing w:line="240" w:lineRule="auto"/>
              <w:jc w:val="center"/>
              <w:rPr>
                <w:sz w:val="22"/>
                <w:szCs w:val="22"/>
              </w:rPr>
            </w:pPr>
            <w:r w:rsidRPr="002C4F7C">
              <w:rPr>
                <w:sz w:val="22"/>
                <w:szCs w:val="22"/>
              </w:rPr>
              <w:t>178</w:t>
            </w:r>
          </w:p>
        </w:tc>
        <w:tc>
          <w:tcPr>
            <w:tcW w:w="2376" w:type="dxa"/>
          </w:tcPr>
          <w:p w:rsidR="00AF0FDB" w:rsidRPr="002C4F7C" w:rsidRDefault="00AF0FDB" w:rsidP="002C4F7C">
            <w:pPr>
              <w:pStyle w:val="Tekstpodstawowy21"/>
              <w:tabs>
                <w:tab w:val="left" w:pos="720"/>
              </w:tabs>
              <w:snapToGrid w:val="0"/>
              <w:spacing w:line="240" w:lineRule="auto"/>
              <w:jc w:val="center"/>
              <w:rPr>
                <w:sz w:val="22"/>
                <w:szCs w:val="22"/>
              </w:rPr>
            </w:pPr>
            <w:r w:rsidRPr="002C4F7C">
              <w:rPr>
                <w:sz w:val="22"/>
                <w:szCs w:val="22"/>
              </w:rPr>
              <w:t>271</w:t>
            </w:r>
          </w:p>
        </w:tc>
      </w:tr>
    </w:tbl>
    <w:p w:rsidR="00AF0FDB" w:rsidRPr="00A52ED7" w:rsidRDefault="00AF0FDB" w:rsidP="000E6A59">
      <w:pPr>
        <w:pStyle w:val="Heading1"/>
        <w:ind w:left="6372"/>
        <w:jc w:val="left"/>
        <w:rPr>
          <w:rFonts w:ascii="Times New Roman" w:hAnsi="Times New Roman" w:cs="Times New Roman"/>
          <w:sz w:val="24"/>
          <w:szCs w:val="24"/>
        </w:rPr>
      </w:pPr>
      <w:r w:rsidRPr="00A52ED7">
        <w:rPr>
          <w:rFonts w:ascii="Times New Roman" w:hAnsi="Times New Roman" w:cs="Times New Roman"/>
          <w:sz w:val="24"/>
          <w:szCs w:val="24"/>
        </w:rPr>
        <w:t xml:space="preserve">        </w:t>
      </w:r>
      <w:bookmarkStart w:id="306" w:name="_Toc938857"/>
      <w:r w:rsidRPr="00A52ED7">
        <w:rPr>
          <w:rFonts w:ascii="Times New Roman" w:hAnsi="Times New Roman" w:cs="Times New Roman"/>
          <w:sz w:val="24"/>
          <w:szCs w:val="24"/>
        </w:rPr>
        <w:t>Analiza rozkładu zajęć</w:t>
      </w:r>
      <w:bookmarkEnd w:id="306"/>
    </w:p>
    <w:p w:rsidR="00AF0FDB" w:rsidRPr="00A52ED7" w:rsidRDefault="00AF0FDB" w:rsidP="00D61460">
      <w:pPr>
        <w:pStyle w:val="BodyText"/>
        <w:spacing w:line="360" w:lineRule="auto"/>
      </w:pPr>
      <w:r w:rsidRPr="00A52ED7">
        <w:t>Jednym z zadań dotyczących nadzoru nad warunkami higieny procesów nauczania i wychowania jest prawidłowe planowanie nauki uczniów w szkołach. Podczas kompleksowych kontroli sanitarnych w 2018</w:t>
      </w:r>
      <w:r>
        <w:t xml:space="preserve"> </w:t>
      </w:r>
      <w:r w:rsidRPr="00A52ED7">
        <w:t>r. przeprowadzono analizę rozkładów zajęć lekcyjnych w  szkołach. Nieprawidłowości w planach lekcyjnych stwierdzono w 9  szkołach, a głównym problemem stanowiło nierównomierne rozłożenie zajęć lekcyjnych w poszczególnych dniach tygodnia. Nieprawidłowe plany lekcyjne wynikały głównie z powodu ograniczonej dyspozycyjności nauczycieli zatrudnionych w niepełnym wymiarze czasu pracy, dowozem dzieci do szkoły z odległych miejscowości oraz zbyt małej ilości sal lekcyjnych.</w:t>
      </w:r>
    </w:p>
    <w:p w:rsidR="00AF0FDB" w:rsidRPr="00A52ED7" w:rsidRDefault="00AF0FDB" w:rsidP="00B435EE">
      <w:pPr>
        <w:pStyle w:val="BodyText"/>
        <w:spacing w:line="360" w:lineRule="auto"/>
        <w:ind w:firstLine="600"/>
      </w:pPr>
    </w:p>
    <w:p w:rsidR="00AF0FDB" w:rsidRPr="00A52ED7" w:rsidRDefault="00AF0FDB" w:rsidP="009D629B">
      <w:pPr>
        <w:pStyle w:val="Heading1"/>
        <w:rPr>
          <w:rFonts w:ascii="Times New Roman" w:hAnsi="Times New Roman" w:cs="Times New Roman"/>
          <w:sz w:val="24"/>
          <w:szCs w:val="24"/>
        </w:rPr>
      </w:pPr>
      <w:bookmarkStart w:id="307" w:name="_Toc938858"/>
      <w:r w:rsidRPr="00A52ED7">
        <w:rPr>
          <w:rFonts w:ascii="Times New Roman" w:hAnsi="Times New Roman" w:cs="Times New Roman"/>
          <w:sz w:val="24"/>
          <w:szCs w:val="24"/>
        </w:rPr>
        <w:t>Ergonomia w placówkach nauczania i wychowania</w:t>
      </w:r>
      <w:bookmarkEnd w:id="307"/>
    </w:p>
    <w:p w:rsidR="00AF0FDB" w:rsidRPr="00A52ED7" w:rsidRDefault="00AF0FDB" w:rsidP="006C38E6">
      <w:pPr>
        <w:jc w:val="both"/>
      </w:pPr>
      <w:r w:rsidRPr="00A52ED7">
        <w:t>W ramach sprawowanego nadzoru sanitarnego w 2018</w:t>
      </w:r>
      <w:r>
        <w:t xml:space="preserve"> </w:t>
      </w:r>
      <w:r w:rsidRPr="00A52ED7">
        <w:t xml:space="preserve">r. dokonano oceny dostosowania mebli przedszkolnych oraz szkolnych do wzrostu dzieci w przedszkolach, szkołach podstawowych, gimnazjach i stwierdzono prawidłowe dostosowanie mebli do  wzrostu. Dokonano pomiarów w 9 szkołach podstawowych w 23 oddziałach szkolnych, zmierzono 511 uczniów i stwierdzono prawidłowe ergonomicznie dostosowanie stanowisk pracy uczniów. W badanych placówkach wyposażenie szkolne: stoły i krzesła posiadały wymaganą dokumentację jak atesty i certyfikaty. </w:t>
      </w:r>
    </w:p>
    <w:p w:rsidR="00AF0FDB" w:rsidRPr="00A52ED7" w:rsidRDefault="00AF0FDB" w:rsidP="00B435EE">
      <w:pPr>
        <w:jc w:val="both"/>
      </w:pPr>
      <w:r w:rsidRPr="00A52ED7">
        <w:t xml:space="preserve">Stwierdza się większą świadomość wśród dyrektorów oraz nauczycieli szkół i przedszkoli dotyczącą szkodliwości nieprawidłowego dostosowania mebli do wzrostu dzieci. Ponadto w placówkach oświatowych systematycznie są wymieniane stare meble na nowe, które posiadają wymaganą dokumentację jak atesty i </w:t>
      </w:r>
      <w:r>
        <w:t xml:space="preserve">certyfikaty. </w:t>
      </w:r>
    </w:p>
    <w:p w:rsidR="00AF0FDB" w:rsidRPr="00A52ED7" w:rsidRDefault="00AF0FDB" w:rsidP="00807359">
      <w:pPr>
        <w:pStyle w:val="Heading1"/>
        <w:spacing w:before="0" w:after="0"/>
        <w:rPr>
          <w:rFonts w:ascii="Times New Roman" w:eastAsia="Arial Unicode MS" w:hAnsi="Times New Roman" w:cs="Times New Roman"/>
          <w:sz w:val="24"/>
          <w:szCs w:val="24"/>
        </w:rPr>
      </w:pPr>
      <w:bookmarkStart w:id="308" w:name="_Toc938859"/>
      <w:r w:rsidRPr="00A52ED7">
        <w:rPr>
          <w:rFonts w:ascii="Times New Roman" w:eastAsia="Arial Unicode MS" w:hAnsi="Times New Roman" w:cs="Times New Roman"/>
          <w:sz w:val="24"/>
          <w:szCs w:val="24"/>
        </w:rPr>
        <w:t>Nadzór nad substancjami</w:t>
      </w:r>
      <w:bookmarkEnd w:id="308"/>
      <w:r w:rsidRPr="00A52ED7">
        <w:rPr>
          <w:rFonts w:ascii="Times New Roman" w:eastAsia="Arial Unicode MS" w:hAnsi="Times New Roman" w:cs="Times New Roman"/>
          <w:sz w:val="24"/>
          <w:szCs w:val="24"/>
        </w:rPr>
        <w:t xml:space="preserve"> </w:t>
      </w:r>
    </w:p>
    <w:p w:rsidR="00AF0FDB" w:rsidRDefault="00AF0FDB" w:rsidP="00807359">
      <w:pPr>
        <w:pStyle w:val="Heading1"/>
        <w:spacing w:before="0" w:after="0"/>
        <w:rPr>
          <w:rFonts w:ascii="Times New Roman" w:eastAsia="Arial Unicode MS" w:hAnsi="Times New Roman" w:cs="Times New Roman"/>
          <w:sz w:val="24"/>
          <w:szCs w:val="24"/>
        </w:rPr>
      </w:pPr>
      <w:bookmarkStart w:id="309" w:name="_Toc938860"/>
      <w:r w:rsidRPr="00A52ED7">
        <w:rPr>
          <w:rFonts w:ascii="Times New Roman" w:eastAsia="Arial Unicode MS" w:hAnsi="Times New Roman" w:cs="Times New Roman"/>
          <w:sz w:val="24"/>
          <w:szCs w:val="24"/>
        </w:rPr>
        <w:t>i preparatami chemicznymi w szkołach</w:t>
      </w:r>
      <w:bookmarkEnd w:id="309"/>
    </w:p>
    <w:p w:rsidR="00AF0FDB" w:rsidRPr="00807359" w:rsidRDefault="00AF0FDB" w:rsidP="00807359">
      <w:pPr>
        <w:rPr>
          <w:rFonts w:eastAsia="Arial Unicode MS"/>
        </w:rPr>
      </w:pPr>
    </w:p>
    <w:p w:rsidR="00AF0FDB" w:rsidRPr="00A52ED7" w:rsidRDefault="00AF0FDB" w:rsidP="00D61460">
      <w:pPr>
        <w:pStyle w:val="Tekstpodstawowy21"/>
      </w:pPr>
      <w:r w:rsidRPr="00A52ED7">
        <w:t>W ramach sprawowanego nadzoru sanitarnego nad szkolnymi pracowniami chemicznymi Oddział Higieny Dzieci i Młodzieży zwraca uwagę na prawidłowe zgodne z przepisami postępowanie z substancjami biobójczymi. Kontroli podlegają między innymi  terminy przydatności, ewidencja środków biobójczych, aktualizacja kart charakterystyki, zgodne z wymaganiami oznakowanie i przechowywanie niebezpiecznych substancji i preparatów, środki ochrony osobistej uczniów i nauczycieli, wyposażenie apteczki I pomocy, a także regulamin określający zasady bezpieczeństwa i higieny pracy w pracowniach chemicznych. Stwierdzono, że w szkolnych pracowniach chemicznych jest prawidłowe postępowanie z substancjami i preparatami niebezpiecznymi. Placówki oświatowe systematycznie i prawidłowo przekazują do utylizacji przeterminowane odczynniki  uprawnionym zakładom.</w:t>
      </w:r>
    </w:p>
    <w:p w:rsidR="00AF0FDB" w:rsidRPr="00A52ED7" w:rsidRDefault="00AF0FDB" w:rsidP="009D629B">
      <w:pPr>
        <w:pStyle w:val="Heading1"/>
        <w:rPr>
          <w:rFonts w:ascii="Times New Roman" w:eastAsia="Arial Unicode MS" w:hAnsi="Times New Roman" w:cs="Times New Roman"/>
          <w:sz w:val="24"/>
          <w:szCs w:val="24"/>
        </w:rPr>
      </w:pPr>
      <w:bookmarkStart w:id="310" w:name="_Toc938861"/>
      <w:r w:rsidRPr="00A52ED7">
        <w:rPr>
          <w:rFonts w:ascii="Times New Roman" w:eastAsia="Arial Unicode MS" w:hAnsi="Times New Roman" w:cs="Times New Roman"/>
          <w:sz w:val="24"/>
          <w:szCs w:val="24"/>
        </w:rPr>
        <w:t>Wypoczynek dla dzieci i młodzieży</w:t>
      </w:r>
      <w:bookmarkEnd w:id="310"/>
      <w:r w:rsidRPr="00A52ED7">
        <w:rPr>
          <w:rFonts w:ascii="Times New Roman" w:eastAsia="Arial Unicode MS" w:hAnsi="Times New Roman" w:cs="Times New Roman"/>
          <w:sz w:val="24"/>
          <w:szCs w:val="24"/>
        </w:rPr>
        <w:t xml:space="preserve"> </w:t>
      </w:r>
    </w:p>
    <w:p w:rsidR="00AF0FDB" w:rsidRPr="003E7A4E" w:rsidRDefault="00AF0FDB" w:rsidP="0076123E">
      <w:pPr>
        <w:jc w:val="both"/>
        <w:rPr>
          <w:rFonts w:ascii="Arial" w:eastAsia="Arial Unicode MS" w:hAnsi="Arial"/>
        </w:rPr>
      </w:pPr>
      <w:r w:rsidRPr="00A52ED7">
        <w:rPr>
          <w:rFonts w:eastAsia="Arial Unicode MS"/>
        </w:rPr>
        <w:t>W</w:t>
      </w:r>
      <w:r w:rsidRPr="00A52ED7">
        <w:t xml:space="preserve"> 2018 roku przeprowadzono 68 kontroli sezonowych placówek zimowego i letniego wypoczynku dla dzieci i młodzieży na terenie powiatu poznańskiego. Kontrole warunków sanitarno-higienicznych wypoczynku dzieci i młodzieży nie wykazały większych nieprawidłowości w  kontrolowanych obiektach wypoczynku.</w:t>
      </w:r>
    </w:p>
    <w:p w:rsidR="00AF0FDB" w:rsidRPr="00A52ED7" w:rsidRDefault="00AF0FDB" w:rsidP="009D629B">
      <w:pPr>
        <w:pStyle w:val="Heading1"/>
        <w:rPr>
          <w:rFonts w:ascii="Times New Roman" w:hAnsi="Times New Roman" w:cs="Times New Roman"/>
          <w:sz w:val="24"/>
          <w:szCs w:val="24"/>
        </w:rPr>
      </w:pPr>
      <w:bookmarkStart w:id="311" w:name="_Toc938862"/>
      <w:r w:rsidRPr="00A52ED7">
        <w:rPr>
          <w:rFonts w:ascii="Times New Roman" w:hAnsi="Times New Roman" w:cs="Times New Roman"/>
          <w:sz w:val="24"/>
          <w:szCs w:val="24"/>
        </w:rPr>
        <w:t>Podsumowanie</w:t>
      </w:r>
      <w:bookmarkEnd w:id="311"/>
    </w:p>
    <w:p w:rsidR="00AF0FDB" w:rsidRPr="00A52ED7" w:rsidRDefault="00AF0FDB" w:rsidP="00434E52">
      <w:pPr>
        <w:numPr>
          <w:ilvl w:val="0"/>
          <w:numId w:val="9"/>
        </w:numPr>
        <w:tabs>
          <w:tab w:val="left" w:pos="480"/>
        </w:tabs>
        <w:suppressAutoHyphens/>
        <w:spacing w:before="0" w:after="0"/>
        <w:jc w:val="both"/>
      </w:pPr>
      <w:r w:rsidRPr="00A52ED7">
        <w:t>Warunki sanitarno-techniczne  w placówkach oświatowych uległy poprawie w wyniku wykonanych w 2018</w:t>
      </w:r>
      <w:r>
        <w:t xml:space="preserve"> </w:t>
      </w:r>
      <w:r w:rsidRPr="00A52ED7">
        <w:t>r. 12 decyzji Państwowego Powiatowego Inspektora Sanitarnego w Poznaniu.</w:t>
      </w:r>
    </w:p>
    <w:p w:rsidR="00AF0FDB" w:rsidRPr="00A52ED7" w:rsidRDefault="00AF0FDB" w:rsidP="00434E52">
      <w:pPr>
        <w:numPr>
          <w:ilvl w:val="0"/>
          <w:numId w:val="9"/>
        </w:numPr>
        <w:suppressAutoHyphens/>
        <w:spacing w:before="0" w:after="0"/>
        <w:jc w:val="both"/>
      </w:pPr>
      <w:r w:rsidRPr="00A52ED7">
        <w:t>Systematycznie ulega poprawie stan techniczny mebli szkolnych i urządzeń sportowych,  ponieważ placówki oświatowe  wymieniają sprzęt i urządzenia na nowe posiadające wymaganą dokumentację jak certyfikaty i atesty.</w:t>
      </w:r>
    </w:p>
    <w:p w:rsidR="00AF0FDB" w:rsidRPr="00A52ED7" w:rsidRDefault="00AF0FDB" w:rsidP="00434E52">
      <w:pPr>
        <w:pStyle w:val="BodyText"/>
        <w:numPr>
          <w:ilvl w:val="0"/>
          <w:numId w:val="9"/>
        </w:numPr>
        <w:suppressAutoHyphens/>
        <w:spacing w:line="360" w:lineRule="auto"/>
      </w:pPr>
      <w:r w:rsidRPr="00A52ED7">
        <w:t xml:space="preserve">W 2018 r. warunki higieny procesów nauczania i wychowania w szkołach na podstawie przeprowadzonych  analiz rozkładu zajęć lekcyjnych nie uległy zmianie. </w:t>
      </w:r>
    </w:p>
    <w:p w:rsidR="00AF0FDB" w:rsidRPr="00A52ED7" w:rsidRDefault="00AF0FDB" w:rsidP="00807359">
      <w:pPr>
        <w:pStyle w:val="BodyText"/>
        <w:numPr>
          <w:ilvl w:val="0"/>
          <w:numId w:val="9"/>
        </w:numPr>
        <w:suppressAutoHyphens/>
        <w:spacing w:line="360" w:lineRule="auto"/>
      </w:pPr>
      <w:r w:rsidRPr="00A52ED7">
        <w:t>Podczas kontroli sanitarnych w placówkach oświatowych stwierdza się dostępność do  środków higieny osobistej (papier toaletowy, mydło, ręczniki jednorazowe, suszarki). Do Oddziału Higieny Dzieci i Młodzieży są zgłaszane pojedyncze przypadki braku środków higieny, przyczyną tego są niesystematyczne uzupełniania środków higieny oraz niewłaściwe zachowanie uczniów.</w:t>
      </w:r>
    </w:p>
    <w:p w:rsidR="00AF0FDB" w:rsidRPr="00807359" w:rsidRDefault="00AF0FDB" w:rsidP="00807359">
      <w:pPr>
        <w:pStyle w:val="BodyText"/>
        <w:numPr>
          <w:ilvl w:val="0"/>
          <w:numId w:val="9"/>
        </w:numPr>
        <w:suppressAutoHyphens/>
        <w:spacing w:line="360" w:lineRule="auto"/>
      </w:pPr>
      <w:r>
        <w:t xml:space="preserve">W 2018 r. </w:t>
      </w:r>
      <w:r w:rsidRPr="00A52ED7">
        <w:t>wzrosła ilość placówek oświatowych i opieki dzieci do lat 3</w:t>
      </w:r>
      <w:r>
        <w:t xml:space="preserve"> oraz</w:t>
      </w:r>
      <w:r w:rsidRPr="00807359">
        <w:t xml:space="preserve"> przedszkolnych, </w:t>
      </w:r>
      <w:bookmarkStart w:id="312" w:name="_Toc411600393"/>
      <w:bookmarkStart w:id="313" w:name="_Toc412019601"/>
      <w:r>
        <w:t>na terenie miasta Poznania i powiatu poznańskiego.</w:t>
      </w:r>
    </w:p>
    <w:p w:rsidR="00AF0FDB" w:rsidRPr="00A52ED7"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0E6A59"/>
    <w:p w:rsidR="00AF0FDB" w:rsidRDefault="00AF0FDB" w:rsidP="000E6A59"/>
    <w:p w:rsidR="00AF0FDB" w:rsidRDefault="00AF0FDB" w:rsidP="000E6A59"/>
    <w:p w:rsidR="00AF0FDB" w:rsidRPr="000E6A59" w:rsidRDefault="00AF0FDB" w:rsidP="000E6A59"/>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633A09">
      <w:pPr>
        <w:rPr>
          <w:rFonts w:ascii="Cambria" w:hAnsi="Cambria" w:cs="Cambria"/>
          <w:b/>
          <w:bCs/>
          <w:sz w:val="48"/>
          <w:szCs w:val="48"/>
        </w:rPr>
      </w:pPr>
    </w:p>
    <w:p w:rsidR="00AF0FDB" w:rsidRDefault="00AF0FDB" w:rsidP="00633A09"/>
    <w:p w:rsidR="00AF0FDB" w:rsidRPr="00633A09" w:rsidRDefault="00AF0FDB" w:rsidP="00633A09"/>
    <w:p w:rsidR="00AF0FDB" w:rsidRDefault="00AF0FDB" w:rsidP="00633A09">
      <w:pPr>
        <w:pStyle w:val="Heading1"/>
      </w:pPr>
      <w:bookmarkStart w:id="314" w:name="_Toc938863"/>
      <w:r w:rsidRPr="00301544">
        <w:t>SYTUACJA EPIDEMIOLOGICZNA</w:t>
      </w:r>
      <w:r w:rsidRPr="00301544">
        <w:br/>
        <w:t>W ZAKRESIE CHORÓB ZAKAŹNYC</w:t>
      </w:r>
      <w:bookmarkEnd w:id="312"/>
      <w:bookmarkEnd w:id="313"/>
      <w:r>
        <w:t>H</w:t>
      </w:r>
      <w:bookmarkEnd w:id="314"/>
    </w:p>
    <w:p w:rsidR="00AF0FDB" w:rsidRPr="003103ED" w:rsidRDefault="00AF0FDB" w:rsidP="00807359">
      <w:pPr>
        <w:tabs>
          <w:tab w:val="left" w:pos="5280"/>
        </w:tabs>
        <w:spacing w:line="240" w:lineRule="auto"/>
      </w:pPr>
    </w:p>
    <w:p w:rsidR="00AF0FDB" w:rsidRPr="001C2774" w:rsidRDefault="00AF0FDB" w:rsidP="001C2774">
      <w:pPr>
        <w:pStyle w:val="Heading1"/>
        <w:rPr>
          <w:rFonts w:ascii="Times New Roman" w:hAnsi="Times New Roman" w:cs="Times New Roman"/>
          <w:sz w:val="24"/>
          <w:szCs w:val="24"/>
        </w:rPr>
      </w:pPr>
      <w:bookmarkStart w:id="315" w:name="_Toc938864"/>
      <w:r w:rsidRPr="001C2774">
        <w:rPr>
          <w:rFonts w:ascii="Times New Roman" w:hAnsi="Times New Roman" w:cs="Times New Roman"/>
          <w:sz w:val="24"/>
          <w:szCs w:val="24"/>
        </w:rPr>
        <w:t>Ocena sytuacji epidemiologicznej</w:t>
      </w:r>
      <w:bookmarkEnd w:id="315"/>
    </w:p>
    <w:p w:rsidR="00AF0FDB" w:rsidRDefault="00AF0FDB" w:rsidP="00642C07">
      <w:pPr>
        <w:jc w:val="both"/>
      </w:pPr>
      <w:r>
        <w:t xml:space="preserve">Liczbę zachorowań i współczynniki zapadalności dla poszczególnych chorób zakaźnych </w:t>
      </w:r>
      <w:r>
        <w:br/>
        <w:t>w latach 2017-2018:</w:t>
      </w:r>
    </w:p>
    <w:p w:rsidR="00AF0FDB" w:rsidRPr="00E95377" w:rsidRDefault="00AF0FDB" w:rsidP="00E95377">
      <w:pPr>
        <w:ind w:right="-142" w:hanging="360"/>
        <w:rPr>
          <w:sz w:val="20"/>
          <w:szCs w:val="20"/>
        </w:rPr>
      </w:pPr>
      <w:r>
        <w:rPr>
          <w:b/>
          <w:bCs/>
          <w:sz w:val="20"/>
          <w:szCs w:val="20"/>
        </w:rPr>
        <w:t>Tab. 1.</w:t>
      </w:r>
      <w:r>
        <w:rPr>
          <w:sz w:val="20"/>
          <w:szCs w:val="20"/>
        </w:rPr>
        <w:t xml:space="preserve">   Liczba zachorowań i współczynniki zapadalności dla poszczególnych chorób  </w:t>
      </w:r>
      <w:r w:rsidRPr="00971776">
        <w:rPr>
          <w:sz w:val="20"/>
          <w:szCs w:val="20"/>
        </w:rPr>
        <w:t>zakaźnych w latach 201</w:t>
      </w:r>
      <w:r>
        <w:rPr>
          <w:sz w:val="20"/>
          <w:szCs w:val="20"/>
        </w:rPr>
        <w:t>7</w:t>
      </w:r>
      <w:r w:rsidRPr="00971776">
        <w:rPr>
          <w:sz w:val="20"/>
          <w:szCs w:val="20"/>
        </w:rPr>
        <w:t>-201</w:t>
      </w:r>
      <w:r>
        <w:rPr>
          <w:sz w:val="20"/>
          <w:szCs w:val="20"/>
        </w:rPr>
        <w:t>8</w:t>
      </w:r>
    </w:p>
    <w:tbl>
      <w:tblPr>
        <w:tblW w:w="10199"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534"/>
        <w:gridCol w:w="1320"/>
        <w:gridCol w:w="1566"/>
        <w:gridCol w:w="9"/>
        <w:gridCol w:w="57"/>
        <w:gridCol w:w="574"/>
        <w:gridCol w:w="17"/>
        <w:gridCol w:w="426"/>
        <w:gridCol w:w="199"/>
        <w:gridCol w:w="368"/>
        <w:gridCol w:w="850"/>
        <w:gridCol w:w="1134"/>
        <w:gridCol w:w="992"/>
        <w:gridCol w:w="1134"/>
        <w:gridCol w:w="977"/>
        <w:gridCol w:w="42"/>
      </w:tblGrid>
      <w:tr w:rsidR="00AF0FDB" w:rsidRPr="0091115B">
        <w:trPr>
          <w:gridAfter w:val="1"/>
          <w:wAfter w:w="42" w:type="dxa"/>
          <w:trHeight w:val="660"/>
          <w:tblHeader/>
        </w:trPr>
        <w:tc>
          <w:tcPr>
            <w:tcW w:w="534" w:type="dxa"/>
            <w:shd w:val="clear" w:color="auto" w:fill="E8E8E8"/>
          </w:tcPr>
          <w:p w:rsidR="00AF0FDB" w:rsidRPr="002C4F7C" w:rsidRDefault="00AF0FDB" w:rsidP="002C4F7C">
            <w:pPr>
              <w:suppressAutoHyphens/>
              <w:spacing w:before="0" w:after="0" w:line="240" w:lineRule="auto"/>
              <w:rPr>
                <w:b/>
                <w:bCs/>
                <w:sz w:val="19"/>
                <w:szCs w:val="19"/>
                <w:lang w:eastAsia="ar-SA"/>
              </w:rPr>
            </w:pPr>
            <w:r w:rsidRPr="002C4F7C">
              <w:rPr>
                <w:b/>
                <w:bCs/>
                <w:sz w:val="19"/>
                <w:szCs w:val="19"/>
                <w:lang w:eastAsia="ar-SA"/>
              </w:rPr>
              <w:t>L.p</w:t>
            </w:r>
          </w:p>
        </w:tc>
        <w:tc>
          <w:tcPr>
            <w:tcW w:w="1320" w:type="dxa"/>
          </w:tcPr>
          <w:p w:rsidR="00AF0FDB" w:rsidRPr="002C4F7C" w:rsidRDefault="00AF0FDB" w:rsidP="002C4F7C">
            <w:pPr>
              <w:suppressAutoHyphens/>
              <w:spacing w:before="0" w:after="0" w:line="240" w:lineRule="auto"/>
              <w:jc w:val="center"/>
              <w:rPr>
                <w:b/>
                <w:bCs/>
                <w:sz w:val="19"/>
                <w:szCs w:val="19"/>
                <w:lang w:eastAsia="ar-SA"/>
              </w:rPr>
            </w:pPr>
            <w:r w:rsidRPr="002C4F7C">
              <w:rPr>
                <w:b/>
                <w:bCs/>
                <w:sz w:val="19"/>
                <w:szCs w:val="19"/>
                <w:lang w:eastAsia="ar-SA"/>
              </w:rPr>
              <w:t>Kog wg ICD-10</w:t>
            </w:r>
          </w:p>
        </w:tc>
        <w:tc>
          <w:tcPr>
            <w:tcW w:w="4066" w:type="dxa"/>
            <w:gridSpan w:val="9"/>
            <w:shd w:val="clear" w:color="auto" w:fill="E8E8E8"/>
          </w:tcPr>
          <w:p w:rsidR="00AF0FDB" w:rsidRPr="002C4F7C" w:rsidRDefault="00AF0FDB" w:rsidP="002C4F7C">
            <w:pPr>
              <w:suppressAutoHyphens/>
              <w:spacing w:before="0" w:after="0" w:line="240" w:lineRule="auto"/>
              <w:jc w:val="center"/>
              <w:rPr>
                <w:b/>
                <w:bCs/>
                <w:sz w:val="28"/>
                <w:szCs w:val="28"/>
                <w:lang w:eastAsia="ar-SA"/>
              </w:rPr>
            </w:pPr>
            <w:r w:rsidRPr="002C4F7C">
              <w:rPr>
                <w:b/>
                <w:bCs/>
                <w:sz w:val="19"/>
                <w:szCs w:val="19"/>
                <w:lang w:eastAsia="ar-SA"/>
              </w:rPr>
              <w:t>Jednostka chorobowa</w:t>
            </w:r>
          </w:p>
        </w:tc>
        <w:tc>
          <w:tcPr>
            <w:tcW w:w="2126" w:type="dxa"/>
            <w:gridSpan w:val="2"/>
          </w:tcPr>
          <w:p w:rsidR="00AF0FDB" w:rsidRPr="002C4F7C" w:rsidRDefault="00AF0FDB" w:rsidP="002C4F7C">
            <w:pPr>
              <w:suppressAutoHyphens/>
              <w:spacing w:before="0" w:after="0" w:line="240" w:lineRule="auto"/>
              <w:jc w:val="center"/>
              <w:rPr>
                <w:b/>
                <w:bCs/>
                <w:sz w:val="20"/>
                <w:szCs w:val="20"/>
                <w:lang w:eastAsia="ar-SA"/>
              </w:rPr>
            </w:pPr>
            <w:r w:rsidRPr="002C4F7C">
              <w:rPr>
                <w:b/>
                <w:bCs/>
                <w:sz w:val="20"/>
                <w:szCs w:val="20"/>
                <w:lang w:eastAsia="ar-SA"/>
              </w:rPr>
              <w:t>2017</w:t>
            </w:r>
          </w:p>
        </w:tc>
        <w:tc>
          <w:tcPr>
            <w:tcW w:w="2111" w:type="dxa"/>
            <w:gridSpan w:val="2"/>
            <w:shd w:val="clear" w:color="auto" w:fill="E8E8E8"/>
          </w:tcPr>
          <w:p w:rsidR="00AF0FDB" w:rsidRPr="002C4F7C" w:rsidRDefault="00AF0FDB" w:rsidP="002C4F7C">
            <w:pPr>
              <w:suppressAutoHyphens/>
              <w:spacing w:before="0" w:after="0" w:line="240" w:lineRule="auto"/>
              <w:jc w:val="center"/>
              <w:rPr>
                <w:b/>
                <w:bCs/>
                <w:sz w:val="20"/>
                <w:szCs w:val="20"/>
                <w:lang w:eastAsia="ar-SA"/>
              </w:rPr>
            </w:pPr>
            <w:r w:rsidRPr="002C4F7C">
              <w:rPr>
                <w:b/>
                <w:bCs/>
                <w:sz w:val="20"/>
                <w:szCs w:val="20"/>
                <w:lang w:eastAsia="ar-SA"/>
              </w:rPr>
              <w:t>2018</w:t>
            </w:r>
          </w:p>
        </w:tc>
      </w:tr>
      <w:tr w:rsidR="00AF0FDB" w:rsidRPr="0091115B">
        <w:trPr>
          <w:gridAfter w:val="1"/>
          <w:wAfter w:w="42" w:type="dxa"/>
          <w:trHeight w:val="270"/>
          <w:tblHeader/>
        </w:trPr>
        <w:tc>
          <w:tcPr>
            <w:tcW w:w="534" w:type="dxa"/>
            <w:shd w:val="clear" w:color="auto" w:fill="E8E8E8"/>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0</w:t>
            </w:r>
          </w:p>
        </w:tc>
        <w:tc>
          <w:tcPr>
            <w:tcW w:w="1320" w:type="dxa"/>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1</w:t>
            </w:r>
          </w:p>
        </w:tc>
        <w:tc>
          <w:tcPr>
            <w:tcW w:w="4066" w:type="dxa"/>
            <w:gridSpan w:val="9"/>
            <w:shd w:val="clear" w:color="auto" w:fill="E8E8E8"/>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2</w:t>
            </w:r>
          </w:p>
        </w:tc>
        <w:tc>
          <w:tcPr>
            <w:tcW w:w="1134" w:type="dxa"/>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l. zachorowań</w:t>
            </w:r>
          </w:p>
        </w:tc>
        <w:tc>
          <w:tcPr>
            <w:tcW w:w="992" w:type="dxa"/>
            <w:shd w:val="clear" w:color="auto" w:fill="E8E8E8"/>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zapadalność</w:t>
            </w:r>
          </w:p>
        </w:tc>
        <w:tc>
          <w:tcPr>
            <w:tcW w:w="1134" w:type="dxa"/>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l. zachorowań</w:t>
            </w:r>
          </w:p>
        </w:tc>
        <w:tc>
          <w:tcPr>
            <w:tcW w:w="977" w:type="dxa"/>
            <w:shd w:val="clear" w:color="auto" w:fill="E8E8E8"/>
          </w:tcPr>
          <w:p w:rsidR="00AF0FDB" w:rsidRPr="002C4F7C" w:rsidRDefault="00AF0FDB" w:rsidP="002C4F7C">
            <w:pPr>
              <w:suppressAutoHyphens/>
              <w:spacing w:before="0" w:after="0" w:line="240" w:lineRule="auto"/>
              <w:jc w:val="center"/>
              <w:rPr>
                <w:b/>
                <w:bCs/>
                <w:sz w:val="22"/>
                <w:szCs w:val="22"/>
                <w:lang w:eastAsia="ar-SA"/>
              </w:rPr>
            </w:pPr>
            <w:r w:rsidRPr="002C4F7C">
              <w:rPr>
                <w:b/>
                <w:bCs/>
                <w:sz w:val="14"/>
                <w:szCs w:val="14"/>
                <w:lang w:eastAsia="ar-SA"/>
              </w:rPr>
              <w:t>zapadalność</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A00</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Cholera </w:t>
            </w:r>
          </w:p>
        </w:tc>
        <w:tc>
          <w:tcPr>
            <w:tcW w:w="1134"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20"/>
                <w:szCs w:val="20"/>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A01.0</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Dur brzuszny </w:t>
            </w:r>
          </w:p>
        </w:tc>
        <w:tc>
          <w:tcPr>
            <w:tcW w:w="1134" w:type="dxa"/>
          </w:tcPr>
          <w:p w:rsidR="00AF0FDB" w:rsidRPr="002C4F7C" w:rsidRDefault="00AF0FDB" w:rsidP="002C4F7C">
            <w:pPr>
              <w:suppressAutoHyphens/>
              <w:spacing w:before="0" w:after="0" w:line="240" w:lineRule="auto"/>
              <w:jc w:val="center"/>
              <w:rPr>
                <w:b/>
                <w:bCs/>
                <w:sz w:val="20"/>
                <w:szCs w:val="20"/>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1134" w:type="dxa"/>
          </w:tcPr>
          <w:p w:rsidR="00AF0FDB" w:rsidRPr="002C4F7C" w:rsidRDefault="00AF0FDB" w:rsidP="002C4F7C">
            <w:pPr>
              <w:suppressAutoHyphens/>
              <w:spacing w:before="0" w:after="0" w:line="240" w:lineRule="auto"/>
              <w:jc w:val="center"/>
              <w:rPr>
                <w:b/>
                <w:bCs/>
                <w:sz w:val="20"/>
                <w:szCs w:val="20"/>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20"/>
                <w:szCs w:val="20"/>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A01.1-3</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Dury rzekome A,B,C </w:t>
            </w:r>
          </w:p>
        </w:tc>
        <w:tc>
          <w:tcPr>
            <w:tcW w:w="1134"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20"/>
                <w:szCs w:val="20"/>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20"/>
                <w:szCs w:val="20"/>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A02.0</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Salmonellozy</w:t>
            </w:r>
          </w:p>
        </w:tc>
        <w:tc>
          <w:tcPr>
            <w:tcW w:w="1860" w:type="dxa"/>
            <w:gridSpan w:val="5"/>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zatrucia pokarmowe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125</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13,6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156</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16,9</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A02.1</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posocznica</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0,4</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A02.2-8</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inne zakażenia pozajelitowe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A03</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Czerwonka bakteryjna (szigeloza)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21</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A04.0-2</w:t>
            </w:r>
          </w:p>
        </w:tc>
        <w:tc>
          <w:tcPr>
            <w:tcW w:w="1575" w:type="dxa"/>
            <w:gridSpan w:val="2"/>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Inne bakteryjne zakażenia jelitowe (ogółem)</w:t>
            </w:r>
          </w:p>
        </w:tc>
        <w:tc>
          <w:tcPr>
            <w:tcW w:w="2491" w:type="dxa"/>
            <w:gridSpan w:val="7"/>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wywołane przez </w:t>
            </w:r>
            <w:r w:rsidRPr="002C4F7C">
              <w:rPr>
                <w:b/>
                <w:bCs/>
                <w:i/>
                <w:iCs/>
                <w:sz w:val="17"/>
                <w:szCs w:val="17"/>
                <w:lang w:eastAsia="ar-SA"/>
              </w:rPr>
              <w:t>E. coli</w:t>
            </w:r>
            <w:r w:rsidRPr="002C4F7C">
              <w:rPr>
                <w:b/>
                <w:bCs/>
                <w:sz w:val="17"/>
                <w:szCs w:val="17"/>
                <w:lang w:eastAsia="ar-SA"/>
              </w:rPr>
              <w:t xml:space="preserve"> biegunkotwórczą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12</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1,3</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A04.3</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wywołane przez </w:t>
            </w:r>
            <w:r w:rsidRPr="002C4F7C">
              <w:rPr>
                <w:b/>
                <w:bCs/>
                <w:i/>
                <w:iCs/>
                <w:sz w:val="17"/>
                <w:szCs w:val="17"/>
                <w:lang w:eastAsia="ar-SA"/>
              </w:rPr>
              <w:t>E. coli</w:t>
            </w:r>
            <w:r w:rsidRPr="002C4F7C">
              <w:rPr>
                <w:b/>
                <w:bCs/>
                <w:sz w:val="17"/>
                <w:szCs w:val="17"/>
                <w:lang w:eastAsia="ar-SA"/>
              </w:rPr>
              <w:t xml:space="preserve"> enterokrwotoczną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A04.4</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wywołane przez</w:t>
            </w:r>
            <w:r w:rsidRPr="002C4F7C">
              <w:rPr>
                <w:b/>
                <w:bCs/>
                <w:i/>
                <w:iCs/>
                <w:sz w:val="17"/>
                <w:szCs w:val="17"/>
                <w:lang w:eastAsia="ar-SA"/>
              </w:rPr>
              <w:t>E. coli</w:t>
            </w:r>
            <w:r w:rsidRPr="002C4F7C">
              <w:rPr>
                <w:b/>
                <w:bCs/>
                <w:sz w:val="17"/>
                <w:szCs w:val="17"/>
                <w:lang w:eastAsia="ar-SA"/>
              </w:rPr>
              <w:t xml:space="preserve"> inną i BNO</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7</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0,8</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8</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0,9</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A04.5</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wywołane przez </w:t>
            </w:r>
            <w:r w:rsidRPr="002C4F7C">
              <w:rPr>
                <w:b/>
                <w:bCs/>
                <w:i/>
                <w:iCs/>
                <w:sz w:val="17"/>
                <w:szCs w:val="17"/>
                <w:lang w:eastAsia="ar-SA"/>
              </w:rPr>
              <w:t>Campylobacter</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55</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6,0</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49</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5,3</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A04.6</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4"/>
                <w:szCs w:val="14"/>
                <w:lang w:eastAsia="ar-SA"/>
              </w:rPr>
              <w:t xml:space="preserve">wywołane przez </w:t>
            </w:r>
            <w:r w:rsidRPr="002C4F7C">
              <w:rPr>
                <w:b/>
                <w:bCs/>
                <w:i/>
                <w:iCs/>
                <w:sz w:val="14"/>
                <w:szCs w:val="14"/>
                <w:lang w:eastAsia="ar-SA"/>
              </w:rPr>
              <w:t>Yersinia enterocolitica</w:t>
            </w:r>
            <w:r w:rsidRPr="002C4F7C">
              <w:rPr>
                <w:b/>
                <w:bCs/>
                <w:sz w:val="14"/>
                <w:szCs w:val="14"/>
                <w:lang w:eastAsia="ar-SA"/>
              </w:rPr>
              <w:t xml:space="preserve"> lub</w:t>
            </w:r>
            <w:r w:rsidRPr="002C4F7C">
              <w:rPr>
                <w:b/>
                <w:bCs/>
                <w:i/>
                <w:iCs/>
                <w:sz w:val="14"/>
                <w:szCs w:val="14"/>
                <w:lang w:eastAsia="ar-SA"/>
              </w:rPr>
              <w:t xml:space="preserve"> pseudotuberculosis</w:t>
            </w:r>
            <w:r w:rsidRPr="002C4F7C">
              <w:rPr>
                <w:b/>
                <w:bCs/>
                <w:sz w:val="14"/>
                <w:szCs w:val="14"/>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A04.7</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wywołane przez </w:t>
            </w:r>
            <w:r w:rsidRPr="002C4F7C">
              <w:rPr>
                <w:i/>
                <w:iCs/>
                <w:sz w:val="17"/>
                <w:szCs w:val="17"/>
                <w:lang w:eastAsia="ar-SA"/>
              </w:rPr>
              <w:t>Clostridium difficile</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168</w:t>
            </w:r>
          </w:p>
        </w:tc>
        <w:tc>
          <w:tcPr>
            <w:tcW w:w="992"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18,3</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129</w:t>
            </w:r>
          </w:p>
        </w:tc>
        <w:tc>
          <w:tcPr>
            <w:tcW w:w="977"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14,0</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A04.7-8</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inne określone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A04.9</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A04</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Inne bakteryjne zakażenia jelitowe u dzieci do lat 2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26</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118,2</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32</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140,3</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A05.0</w:t>
            </w:r>
          </w:p>
        </w:tc>
        <w:tc>
          <w:tcPr>
            <w:tcW w:w="1575" w:type="dxa"/>
            <w:gridSpan w:val="2"/>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Inne bakteryjne zatrucia pokarmowe(ogółem)</w:t>
            </w: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gronkowcowe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A05.1</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jadem kiełbasianym (botulizm)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A05.2</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wywołane przez </w:t>
            </w:r>
            <w:r w:rsidRPr="002C4F7C">
              <w:rPr>
                <w:b/>
                <w:bCs/>
                <w:i/>
                <w:iCs/>
                <w:sz w:val="17"/>
                <w:szCs w:val="17"/>
                <w:lang w:eastAsia="ar-SA"/>
              </w:rPr>
              <w:t>Cl. perfringens</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A05.3-8</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inne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A05.9</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83</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9,0</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A05</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Inne bakteryjne zatrucia pokarmowe u dzieci do lat 2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A07.1</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Lamblioza (giardioza)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0,4</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1,7</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A07.2</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Kryptosporydioza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A08.0</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Wirusowe i inne </w:t>
            </w:r>
            <w:r w:rsidRPr="002C4F7C">
              <w:rPr>
                <w:b/>
                <w:bCs/>
                <w:sz w:val="17"/>
                <w:szCs w:val="17"/>
                <w:lang w:eastAsia="ar-SA"/>
              </w:rPr>
              <w:br/>
              <w:t xml:space="preserve">określone zakażenia jelitowe </w:t>
            </w:r>
            <w:r w:rsidRPr="002C4F7C">
              <w:rPr>
                <w:b/>
                <w:bCs/>
                <w:sz w:val="17"/>
                <w:szCs w:val="17"/>
                <w:lang w:eastAsia="ar-SA"/>
              </w:rPr>
              <w:br/>
              <w:t>(ogółem)</w:t>
            </w:r>
          </w:p>
        </w:tc>
        <w:tc>
          <w:tcPr>
            <w:tcW w:w="1860" w:type="dxa"/>
            <w:gridSpan w:val="5"/>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wywołane przez rotawirusy</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600</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65,4</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571</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61,8</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A08.1</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wywołane przez norowirusy</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42</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47</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5,1</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A08.2-3</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inne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52</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5,7</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129</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14,0</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A08.4</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308</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33,6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370</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40,6</w:t>
            </w:r>
          </w:p>
        </w:tc>
      </w:tr>
      <w:tr w:rsidR="00AF0FDB" w:rsidRPr="0091115B">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29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A08.0-4</w:t>
            </w:r>
          </w:p>
        </w:tc>
        <w:tc>
          <w:tcPr>
            <w:tcW w:w="4066" w:type="dxa"/>
            <w:gridSpan w:val="9"/>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Wirusowe zakażenia jelitowe u dzieci do lat 2 </w:t>
            </w:r>
          </w:p>
          <w:p w:rsidR="00AF0FDB" w:rsidRPr="002C4F7C" w:rsidRDefault="00AF0FDB" w:rsidP="002C4F7C">
            <w:pPr>
              <w:suppressAutoHyphens/>
              <w:spacing w:before="0" w:after="0" w:line="240" w:lineRule="auto"/>
              <w:rPr>
                <w:b/>
                <w:bCs/>
                <w:color w:val="FFFFCC"/>
                <w:sz w:val="22"/>
                <w:szCs w:val="22"/>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453</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2058,9</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535</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2345,1</w:t>
            </w:r>
          </w:p>
        </w:tc>
      </w:tr>
      <w:tr w:rsidR="00AF0FDB" w:rsidRPr="00807359">
        <w:trPr>
          <w:gridAfter w:val="1"/>
          <w:wAfter w:w="42" w:type="dxa"/>
          <w:trHeight w:val="36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30</w:t>
            </w:r>
          </w:p>
        </w:tc>
        <w:tc>
          <w:tcPr>
            <w:tcW w:w="1320" w:type="dxa"/>
            <w:vMerge w:val="restart"/>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A09</w:t>
            </w:r>
          </w:p>
        </w:tc>
        <w:tc>
          <w:tcPr>
            <w:tcW w:w="3216" w:type="dxa"/>
            <w:gridSpan w:val="8"/>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Biegunka i zapalenie żołądkowo-jelitowe BNO, o prawdopodobnie zakaźnym pochodzeniu</w:t>
            </w:r>
          </w:p>
        </w:tc>
        <w:tc>
          <w:tcPr>
            <w:tcW w:w="850" w:type="dxa"/>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ogółem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2336</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254,7</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2648</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290,5</w:t>
            </w:r>
          </w:p>
        </w:tc>
      </w:tr>
      <w:tr w:rsidR="00AF0FDB" w:rsidRPr="00807359">
        <w:trPr>
          <w:gridAfter w:val="1"/>
          <w:wAfter w:w="42" w:type="dxa"/>
          <w:trHeight w:val="51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31</w:t>
            </w:r>
          </w:p>
        </w:tc>
        <w:tc>
          <w:tcPr>
            <w:tcW w:w="1320" w:type="dxa"/>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3216" w:type="dxa"/>
            <w:gridSpan w:val="8"/>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850" w:type="dxa"/>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w tym u dzieci do lat 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740</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3363,3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highlight w:val="yellow"/>
                <w:lang w:eastAsia="ar-SA"/>
              </w:rPr>
            </w:pPr>
            <w:r w:rsidRPr="002C4F7C">
              <w:rPr>
                <w:sz w:val="17"/>
                <w:szCs w:val="17"/>
                <w:lang w:eastAsia="ar-SA"/>
              </w:rPr>
              <w:t>883</w:t>
            </w:r>
          </w:p>
        </w:tc>
        <w:tc>
          <w:tcPr>
            <w:tcW w:w="977" w:type="dxa"/>
            <w:shd w:val="clear" w:color="auto" w:fill="E8E8E8"/>
          </w:tcPr>
          <w:p w:rsidR="00AF0FDB" w:rsidRPr="002C4F7C" w:rsidRDefault="00AF0FDB" w:rsidP="002C4F7C">
            <w:pPr>
              <w:suppressAutoHyphens/>
              <w:spacing w:before="0" w:after="0" w:line="240" w:lineRule="auto"/>
              <w:jc w:val="center"/>
              <w:rPr>
                <w:sz w:val="17"/>
                <w:szCs w:val="17"/>
                <w:highlight w:val="yellow"/>
                <w:lang w:eastAsia="ar-SA"/>
              </w:rPr>
            </w:pPr>
            <w:r w:rsidRPr="002C4F7C">
              <w:rPr>
                <w:sz w:val="17"/>
                <w:szCs w:val="17"/>
                <w:lang w:eastAsia="ar-SA"/>
              </w:rPr>
              <w:t>3870,6</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A20</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Dżuma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64"/>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A21</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Tularemia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A22</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Wąglik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A23</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Bruceloza: nowe zachorowania</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A24.0</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Nosacizna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A27</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Leptospiroza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A28.2</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Jersinioza pozajelitowa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39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A31</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Mikobakteriozy - inne i BNO</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7</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0,8</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0,5</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A32</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Listerioza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0,5</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A33-35</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Tężec</w:t>
            </w:r>
            <w:r w:rsidRPr="002C4F7C">
              <w:rPr>
                <w:b/>
                <w:bCs/>
                <w:sz w:val="17"/>
                <w:szCs w:val="17"/>
                <w:vertAlign w:val="superscript"/>
                <w:lang w:eastAsia="ar-SA"/>
              </w:rPr>
              <w:t xml:space="preserve"> </w:t>
            </w:r>
          </w:p>
        </w:tc>
        <w:tc>
          <w:tcPr>
            <w:tcW w:w="1860" w:type="dxa"/>
            <w:gridSpan w:val="5"/>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ogółem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A33</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noworodków</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A36</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Błonica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A37</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Krztusiec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103</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11,2</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74</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8,0</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A38</w:t>
            </w:r>
          </w:p>
        </w:tc>
        <w:tc>
          <w:tcPr>
            <w:tcW w:w="4066" w:type="dxa"/>
            <w:gridSpan w:val="9"/>
            <w:shd w:val="clear" w:color="auto" w:fill="E8E8E8"/>
          </w:tcPr>
          <w:p w:rsidR="00AF0FDB" w:rsidRPr="002C4F7C" w:rsidRDefault="00AF0FDB" w:rsidP="002C4F7C">
            <w:pPr>
              <w:suppressAutoHyphens/>
              <w:spacing w:before="0" w:after="0" w:line="240" w:lineRule="auto"/>
              <w:rPr>
                <w:b/>
                <w:bCs/>
                <w:color w:val="FFFFCC"/>
                <w:sz w:val="22"/>
                <w:szCs w:val="22"/>
                <w:lang w:eastAsia="ar-SA"/>
              </w:rPr>
            </w:pPr>
            <w:r w:rsidRPr="002C4F7C">
              <w:rPr>
                <w:b/>
                <w:bCs/>
                <w:sz w:val="17"/>
                <w:szCs w:val="17"/>
                <w:lang w:eastAsia="ar-SA"/>
              </w:rPr>
              <w:t xml:space="preserve">Płonica (szkarlatyna)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380</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41,4</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454</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49,2</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A39</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Choroba </w:t>
            </w:r>
            <w:r w:rsidRPr="002C4F7C">
              <w:rPr>
                <w:b/>
                <w:bCs/>
                <w:sz w:val="17"/>
                <w:szCs w:val="17"/>
                <w:lang w:eastAsia="ar-SA"/>
              </w:rPr>
              <w:br/>
              <w:t xml:space="preserve">meningokokowa, inwazyjna </w:t>
            </w: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ogółem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0,5</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0,6</w:t>
            </w:r>
          </w:p>
        </w:tc>
      </w:tr>
      <w:tr w:rsidR="00AF0FDB" w:rsidRPr="00807359">
        <w:trPr>
          <w:gridAfter w:val="1"/>
          <w:wAfter w:w="42" w:type="dxa"/>
          <w:trHeight w:val="465"/>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A39.0;A39.8</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zapalenie opon mózgowych i/lub mózgu</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0,4</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0,4</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A39.1-4</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posocznica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49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A39.5-9</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inna określona i nie określona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6"/>
                <w:szCs w:val="16"/>
                <w:lang w:eastAsia="ar-SA"/>
              </w:rPr>
            </w:pPr>
            <w:r w:rsidRPr="002C4F7C">
              <w:rPr>
                <w:b/>
                <w:bCs/>
                <w:sz w:val="17"/>
                <w:szCs w:val="17"/>
                <w:lang w:eastAsia="ar-SA"/>
              </w:rPr>
              <w:t>50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6"/>
                <w:szCs w:val="16"/>
                <w:lang w:eastAsia="ar-SA"/>
              </w:rPr>
              <w:t>wym.niżej</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Choroba wywołana przez </w:t>
            </w:r>
            <w:r w:rsidRPr="002C4F7C">
              <w:rPr>
                <w:b/>
                <w:bCs/>
                <w:i/>
                <w:iCs/>
                <w:sz w:val="17"/>
                <w:szCs w:val="17"/>
                <w:lang w:eastAsia="ar-SA"/>
              </w:rPr>
              <w:t xml:space="preserve">Streptococcus </w:t>
            </w:r>
            <w:r w:rsidRPr="002C4F7C">
              <w:rPr>
                <w:b/>
                <w:bCs/>
                <w:i/>
                <w:iCs/>
                <w:sz w:val="17"/>
                <w:szCs w:val="17"/>
                <w:lang w:eastAsia="ar-SA"/>
              </w:rPr>
              <w:br/>
              <w:t>pyogenes,</w:t>
            </w:r>
            <w:r w:rsidRPr="002C4F7C">
              <w:rPr>
                <w:b/>
                <w:bCs/>
                <w:sz w:val="17"/>
                <w:szCs w:val="17"/>
                <w:lang w:eastAsia="ar-SA"/>
              </w:rPr>
              <w:t xml:space="preserve">inwazyjna </w:t>
            </w: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ogółem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49</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66</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7,1</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A46</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róża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39</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57</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6,2</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A48.3</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zespół wstrząsu toksycznego</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B95.0/O85</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gorączka połogowa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B95.0/(…)</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inna określona i nie określona</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8</w:t>
            </w:r>
          </w:p>
        </w:tc>
        <w:tc>
          <w:tcPr>
            <w:tcW w:w="977"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0,9</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A48.1</w:t>
            </w:r>
          </w:p>
        </w:tc>
        <w:tc>
          <w:tcPr>
            <w:tcW w:w="1575" w:type="dxa"/>
            <w:gridSpan w:val="2"/>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Legioneloza </w:t>
            </w:r>
          </w:p>
        </w:tc>
        <w:tc>
          <w:tcPr>
            <w:tcW w:w="2491" w:type="dxa"/>
            <w:gridSpan w:val="7"/>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choroba legionistów</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A48.2</w:t>
            </w:r>
          </w:p>
        </w:tc>
        <w:tc>
          <w:tcPr>
            <w:tcW w:w="1575" w:type="dxa"/>
            <w:gridSpan w:val="2"/>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91" w:type="dxa"/>
            <w:gridSpan w:val="7"/>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gorączka z Pontiac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77" w:type="dxa"/>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A50</w:t>
            </w:r>
          </w:p>
        </w:tc>
        <w:tc>
          <w:tcPr>
            <w:tcW w:w="1566" w:type="dxa"/>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Kiła</w:t>
            </w:r>
          </w:p>
        </w:tc>
        <w:tc>
          <w:tcPr>
            <w:tcW w:w="2500" w:type="dxa"/>
            <w:gridSpan w:val="8"/>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wrodzona i noworodków</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3</w:t>
            </w:r>
          </w:p>
        </w:tc>
        <w:tc>
          <w:tcPr>
            <w:tcW w:w="977"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0,3</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A51</w:t>
            </w:r>
          </w:p>
        </w:tc>
        <w:tc>
          <w:tcPr>
            <w:tcW w:w="1566" w:type="dxa"/>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500" w:type="dxa"/>
            <w:gridSpan w:val="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wczesna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42</w:t>
            </w:r>
          </w:p>
        </w:tc>
        <w:tc>
          <w:tcPr>
            <w:tcW w:w="992" w:type="dxa"/>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4,6</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64</w:t>
            </w:r>
          </w:p>
        </w:tc>
        <w:tc>
          <w:tcPr>
            <w:tcW w:w="977" w:type="dxa"/>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7,0</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59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A52</w:t>
            </w:r>
          </w:p>
        </w:tc>
        <w:tc>
          <w:tcPr>
            <w:tcW w:w="1566" w:type="dxa"/>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500" w:type="dxa"/>
            <w:gridSpan w:val="8"/>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późna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5</w:t>
            </w:r>
          </w:p>
        </w:tc>
        <w:tc>
          <w:tcPr>
            <w:tcW w:w="977"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0,5</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A53</w:t>
            </w:r>
          </w:p>
        </w:tc>
        <w:tc>
          <w:tcPr>
            <w:tcW w:w="1566" w:type="dxa"/>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500" w:type="dxa"/>
            <w:gridSpan w:val="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postacie kiły i kiła nie określona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95</w:t>
            </w:r>
          </w:p>
        </w:tc>
        <w:tc>
          <w:tcPr>
            <w:tcW w:w="992" w:type="dxa"/>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10,3</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98</w:t>
            </w:r>
          </w:p>
        </w:tc>
        <w:tc>
          <w:tcPr>
            <w:tcW w:w="977" w:type="dxa"/>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10,6</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A54</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Rzeżączka</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14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23</w:t>
            </w:r>
          </w:p>
        </w:tc>
        <w:tc>
          <w:tcPr>
            <w:tcW w:w="977"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2,5</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A55</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Ziarnica weneryczna wywołana przez Chlamydie</w:t>
            </w:r>
          </w:p>
        </w:tc>
        <w:tc>
          <w:tcPr>
            <w:tcW w:w="1134" w:type="dxa"/>
          </w:tcPr>
          <w:p w:rsidR="00AF0FDB" w:rsidRPr="002C4F7C" w:rsidRDefault="00AF0FDB" w:rsidP="002C4F7C">
            <w:pPr>
              <w:suppressAutoHyphens/>
              <w:snapToGrid w:val="0"/>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napToGrid w:val="0"/>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A56</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choroby przenoszone droga płciową wywołane przez Chlamydie</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32</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3,5</w:t>
            </w:r>
          </w:p>
        </w:tc>
        <w:tc>
          <w:tcPr>
            <w:tcW w:w="1134"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45</w:t>
            </w:r>
          </w:p>
        </w:tc>
        <w:tc>
          <w:tcPr>
            <w:tcW w:w="977" w:type="dxa"/>
            <w:shd w:val="clear" w:color="auto" w:fill="E8E8E8"/>
          </w:tcPr>
          <w:p w:rsidR="00AF0FDB" w:rsidRPr="002C4F7C" w:rsidRDefault="00AF0FDB" w:rsidP="002C4F7C">
            <w:pPr>
              <w:suppressAutoHyphens/>
              <w:snapToGrid w:val="0"/>
              <w:spacing w:before="0" w:after="0" w:line="240" w:lineRule="auto"/>
              <w:jc w:val="center"/>
              <w:rPr>
                <w:sz w:val="17"/>
                <w:szCs w:val="17"/>
                <w:lang w:eastAsia="ar-SA"/>
              </w:rPr>
            </w:pPr>
            <w:r w:rsidRPr="002C4F7C">
              <w:rPr>
                <w:sz w:val="17"/>
                <w:szCs w:val="17"/>
                <w:lang w:eastAsia="ar-SA"/>
              </w:rPr>
              <w:t>4,9</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A69.2</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Borelioza z Lyme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237</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25,8</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199</w:t>
            </w: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21,5</w:t>
            </w: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A70</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Ornitozy (zakażenia </w:t>
            </w:r>
            <w:r w:rsidRPr="002C4F7C">
              <w:rPr>
                <w:b/>
                <w:bCs/>
                <w:i/>
                <w:iCs/>
                <w:sz w:val="17"/>
                <w:szCs w:val="17"/>
                <w:lang w:eastAsia="ar-SA"/>
              </w:rPr>
              <w:t>Chlamydia psittaci</w:t>
            </w:r>
            <w:r w:rsidRPr="002C4F7C">
              <w:rPr>
                <w:b/>
                <w:bCs/>
                <w:sz w:val="17"/>
                <w:szCs w:val="17"/>
                <w:lang w:eastAsia="ar-SA"/>
              </w:rPr>
              <w:t>)</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A75</w:t>
            </w:r>
          </w:p>
        </w:tc>
        <w:tc>
          <w:tcPr>
            <w:tcW w:w="4066" w:type="dxa"/>
            <w:gridSpan w:val="9"/>
            <w:shd w:val="clear" w:color="auto" w:fill="E8E8E8"/>
          </w:tcPr>
          <w:p w:rsidR="00AF0FDB" w:rsidRPr="002C4F7C" w:rsidRDefault="00AF0FDB" w:rsidP="002C4F7C">
            <w:pPr>
              <w:suppressAutoHyphens/>
              <w:spacing w:before="0" w:after="0" w:line="240" w:lineRule="auto"/>
              <w:rPr>
                <w:b/>
                <w:bCs/>
                <w:sz w:val="17"/>
                <w:szCs w:val="17"/>
                <w:lang w:eastAsia="ar-SA"/>
              </w:rPr>
            </w:pPr>
          </w:p>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Dur wysypkowy</w:t>
            </w:r>
          </w:p>
          <w:p w:rsidR="00AF0FDB" w:rsidRPr="002C4F7C" w:rsidRDefault="00AF0FDB" w:rsidP="002C4F7C">
            <w:pPr>
              <w:suppressAutoHyphens/>
              <w:spacing w:before="0" w:after="0" w:line="240" w:lineRule="auto"/>
              <w:rPr>
                <w:b/>
                <w:bCs/>
                <w:sz w:val="22"/>
                <w:szCs w:val="22"/>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A78</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Gorączka Q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A77; A79</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Gorączka plamista i inne riketsjozy</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69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A80.1-2,4</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Poliomyelitis</w:t>
            </w:r>
            <w:r w:rsidRPr="002C4F7C">
              <w:rPr>
                <w:b/>
                <w:bCs/>
                <w:sz w:val="17"/>
                <w:szCs w:val="17"/>
                <w:vertAlign w:val="superscript"/>
                <w:lang w:eastAsia="ar-SA"/>
              </w:rPr>
              <w:t xml:space="preserve"> </w:t>
            </w: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wywołane dzikim wirusem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525"/>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A80.0,3-8</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wyw. wirusem pochodzenia szczepionkowego</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tcPr>
          <w:p w:rsidR="00AF0FDB" w:rsidRPr="002C4F7C" w:rsidRDefault="00AF0FDB" w:rsidP="002C4F7C">
            <w:pPr>
              <w:suppressAutoHyphens/>
              <w:spacing w:before="0" w:after="0" w:line="240" w:lineRule="auto"/>
              <w:jc w:val="center"/>
              <w:rPr>
                <w:sz w:val="17"/>
                <w:szCs w:val="17"/>
                <w:lang w:eastAsia="ar-SA"/>
              </w:rPr>
            </w:pPr>
          </w:p>
        </w:tc>
      </w:tr>
      <w:tr w:rsidR="00AF0FDB" w:rsidRPr="00807359">
        <w:trPr>
          <w:gridAfter w:val="1"/>
          <w:wAfter w:w="42" w:type="dxa"/>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Ostre porażenia wiotkie u dzieci w wieku 0-14 lat</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2,0</w:t>
            </w:r>
          </w:p>
        </w:tc>
        <w:tc>
          <w:tcPr>
            <w:tcW w:w="1134"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977"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A81.0</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Encefalopatie gąbczaste</w:t>
            </w: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choroba Creutzfeldta-Jakoba (CJD)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trHeight w:val="555"/>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A81.0</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wariant choroby Creutzfeldta-Jakoba (vCJD)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A81</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A82</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Wścieklizna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465"/>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Z20.3/Z24.2</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Styczność i narażenie na wściekliznę / potrzeba szczepień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17,9</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155</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16,8</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A84</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Kleszczowe zapalenie mózgu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78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B00.4</w:t>
            </w:r>
          </w:p>
        </w:tc>
        <w:tc>
          <w:tcPr>
            <w:tcW w:w="2649" w:type="dxa"/>
            <w:gridSpan w:val="6"/>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Inne wirusowe zapalenie mózgu</w:t>
            </w:r>
          </w:p>
        </w:tc>
        <w:tc>
          <w:tcPr>
            <w:tcW w:w="1417" w:type="dxa"/>
            <w:gridSpan w:val="3"/>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opryszczkowe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45"/>
        </w:trPr>
        <w:tc>
          <w:tcPr>
            <w:tcW w:w="534" w:type="dxa"/>
            <w:shd w:val="clear" w:color="auto" w:fill="E8E8E8"/>
          </w:tcPr>
          <w:p w:rsidR="00AF0FDB" w:rsidRPr="002C4F7C" w:rsidRDefault="00AF0FDB" w:rsidP="002C4F7C">
            <w:pPr>
              <w:suppressAutoHyphens/>
              <w:spacing w:before="0" w:after="0" w:line="240" w:lineRule="auto"/>
              <w:jc w:val="right"/>
              <w:rPr>
                <w:b/>
                <w:bCs/>
                <w:sz w:val="10"/>
                <w:szCs w:val="10"/>
                <w:lang w:eastAsia="ar-SA"/>
              </w:rPr>
            </w:pPr>
            <w:r w:rsidRPr="002C4F7C">
              <w:rPr>
                <w:b/>
                <w:bCs/>
                <w:sz w:val="17"/>
                <w:szCs w:val="17"/>
                <w:lang w:eastAsia="ar-SA"/>
              </w:rPr>
              <w:t>79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4"/>
                <w:szCs w:val="14"/>
                <w:lang w:eastAsia="ar-SA"/>
              </w:rPr>
              <w:t>A81.1;A83; A85;B02.0</w:t>
            </w:r>
          </w:p>
        </w:tc>
        <w:tc>
          <w:tcPr>
            <w:tcW w:w="2649" w:type="dxa"/>
            <w:gridSpan w:val="6"/>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417" w:type="dxa"/>
            <w:gridSpan w:val="3"/>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A86</w:t>
            </w:r>
          </w:p>
        </w:tc>
        <w:tc>
          <w:tcPr>
            <w:tcW w:w="2649" w:type="dxa"/>
            <w:gridSpan w:val="6"/>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417" w:type="dxa"/>
            <w:gridSpan w:val="3"/>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w:t>
            </w:r>
          </w:p>
        </w:tc>
        <w:tc>
          <w:tcPr>
            <w:tcW w:w="2649" w:type="dxa"/>
            <w:gridSpan w:val="6"/>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417" w:type="dxa"/>
            <w:gridSpan w:val="3"/>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2"/>
                <w:szCs w:val="12"/>
                <w:lang w:eastAsia="ar-SA"/>
              </w:rPr>
              <w:t>w innych chorobach objętych MZ-56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A87.0</w:t>
            </w:r>
          </w:p>
        </w:tc>
        <w:tc>
          <w:tcPr>
            <w:tcW w:w="2649" w:type="dxa"/>
            <w:gridSpan w:val="6"/>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Wirusowe zapalenie opon mózgowych</w:t>
            </w:r>
          </w:p>
        </w:tc>
        <w:tc>
          <w:tcPr>
            <w:tcW w:w="1417" w:type="dxa"/>
            <w:gridSpan w:val="3"/>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enterowirusowe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B00.3</w:t>
            </w:r>
          </w:p>
        </w:tc>
        <w:tc>
          <w:tcPr>
            <w:tcW w:w="2649" w:type="dxa"/>
            <w:gridSpan w:val="6"/>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417" w:type="dxa"/>
            <w:gridSpan w:val="3"/>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opryszczkowe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480"/>
        </w:trPr>
        <w:tc>
          <w:tcPr>
            <w:tcW w:w="534" w:type="dxa"/>
            <w:shd w:val="clear" w:color="auto" w:fill="E8E8E8"/>
          </w:tcPr>
          <w:p w:rsidR="00AF0FDB" w:rsidRPr="002C4F7C" w:rsidRDefault="00AF0FDB" w:rsidP="002C4F7C">
            <w:pPr>
              <w:suppressAutoHyphens/>
              <w:spacing w:before="0" w:after="0" w:line="240" w:lineRule="auto"/>
              <w:jc w:val="right"/>
              <w:rPr>
                <w:b/>
                <w:bCs/>
                <w:sz w:val="12"/>
                <w:szCs w:val="12"/>
                <w:lang w:eastAsia="ar-SA"/>
              </w:rPr>
            </w:pPr>
            <w:r w:rsidRPr="002C4F7C">
              <w:rPr>
                <w:b/>
                <w:bCs/>
                <w:sz w:val="17"/>
                <w:szCs w:val="17"/>
                <w:lang w:eastAsia="ar-SA"/>
              </w:rPr>
              <w:t>84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2"/>
                <w:szCs w:val="12"/>
                <w:lang w:eastAsia="ar-SA"/>
              </w:rPr>
              <w:t>A87.1-9;B02.1</w:t>
            </w:r>
          </w:p>
        </w:tc>
        <w:tc>
          <w:tcPr>
            <w:tcW w:w="2649" w:type="dxa"/>
            <w:gridSpan w:val="6"/>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417" w:type="dxa"/>
            <w:gridSpan w:val="3"/>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określone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22</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38</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4,2</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w:t>
            </w:r>
          </w:p>
        </w:tc>
        <w:tc>
          <w:tcPr>
            <w:tcW w:w="2649" w:type="dxa"/>
            <w:gridSpan w:val="6"/>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417" w:type="dxa"/>
            <w:gridSpan w:val="3"/>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2"/>
                <w:szCs w:val="12"/>
                <w:lang w:eastAsia="ar-SA"/>
              </w:rPr>
              <w:t>w innych chorobach objętych MZ-56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A90-1</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Gorączka denga (klasyczna lub krwotoczna)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A92.3</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Gorączka zachodniego Nilu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88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A95</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Żółta gorączka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0"/>
                <w:szCs w:val="10"/>
                <w:lang w:eastAsia="ar-SA"/>
              </w:rPr>
            </w:pPr>
            <w:r w:rsidRPr="002C4F7C">
              <w:rPr>
                <w:b/>
                <w:bCs/>
                <w:sz w:val="17"/>
                <w:szCs w:val="17"/>
                <w:lang w:eastAsia="ar-SA"/>
              </w:rPr>
              <w:t>89</w:t>
            </w:r>
          </w:p>
        </w:tc>
        <w:tc>
          <w:tcPr>
            <w:tcW w:w="1320" w:type="dxa"/>
            <w:shd w:val="clear" w:color="auto" w:fill="E8E8E8"/>
          </w:tcPr>
          <w:p w:rsidR="00AF0FDB" w:rsidRPr="002C4F7C" w:rsidRDefault="00AF0FDB" w:rsidP="002C4F7C">
            <w:pPr>
              <w:suppressAutoHyphens/>
              <w:spacing w:before="0" w:after="0" w:line="240" w:lineRule="auto"/>
              <w:jc w:val="center"/>
              <w:rPr>
                <w:b/>
                <w:bCs/>
                <w:sz w:val="16"/>
                <w:szCs w:val="16"/>
                <w:lang w:eastAsia="ar-SA"/>
              </w:rPr>
            </w:pPr>
            <w:r w:rsidRPr="002C4F7C">
              <w:rPr>
                <w:b/>
                <w:bCs/>
                <w:sz w:val="16"/>
                <w:szCs w:val="16"/>
                <w:lang w:eastAsia="ar-SA"/>
              </w:rPr>
              <w:t>A96.2;A98.3-4</w:t>
            </w:r>
          </w:p>
        </w:tc>
        <w:tc>
          <w:tcPr>
            <w:tcW w:w="2848" w:type="dxa"/>
            <w:gridSpan w:val="7"/>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Wirusowe gorączki krwotoczne </w:t>
            </w:r>
          </w:p>
        </w:tc>
        <w:tc>
          <w:tcPr>
            <w:tcW w:w="1218" w:type="dxa"/>
            <w:gridSpan w:val="2"/>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Ebola, Marburg, Lassa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525"/>
        </w:trPr>
        <w:tc>
          <w:tcPr>
            <w:tcW w:w="534" w:type="dxa"/>
            <w:shd w:val="clear" w:color="auto" w:fill="E8E8E8"/>
          </w:tcPr>
          <w:p w:rsidR="00AF0FDB" w:rsidRPr="002C4F7C" w:rsidRDefault="00AF0FDB" w:rsidP="002C4F7C">
            <w:pPr>
              <w:suppressAutoHyphens/>
              <w:spacing w:before="0" w:after="0" w:line="240" w:lineRule="auto"/>
              <w:jc w:val="right"/>
              <w:rPr>
                <w:b/>
                <w:bCs/>
                <w:sz w:val="10"/>
                <w:szCs w:val="10"/>
                <w:lang w:eastAsia="ar-SA"/>
              </w:rPr>
            </w:pPr>
            <w:r w:rsidRPr="002C4F7C">
              <w:rPr>
                <w:b/>
                <w:bCs/>
                <w:sz w:val="17"/>
                <w:szCs w:val="17"/>
                <w:lang w:eastAsia="ar-SA"/>
              </w:rPr>
              <w:t>90</w:t>
            </w:r>
          </w:p>
        </w:tc>
        <w:tc>
          <w:tcPr>
            <w:tcW w:w="1320" w:type="dxa"/>
          </w:tcPr>
          <w:p w:rsidR="00AF0FDB" w:rsidRPr="002C4F7C" w:rsidRDefault="00AF0FDB" w:rsidP="002C4F7C">
            <w:pPr>
              <w:suppressAutoHyphens/>
              <w:spacing w:before="0" w:after="0" w:line="240" w:lineRule="auto"/>
              <w:jc w:val="center"/>
              <w:rPr>
                <w:b/>
                <w:bCs/>
                <w:sz w:val="16"/>
                <w:szCs w:val="16"/>
                <w:lang w:eastAsia="ar-SA"/>
              </w:rPr>
            </w:pPr>
            <w:r w:rsidRPr="002C4F7C">
              <w:rPr>
                <w:b/>
                <w:bCs/>
                <w:sz w:val="16"/>
                <w:szCs w:val="16"/>
                <w:lang w:eastAsia="ar-SA"/>
              </w:rPr>
              <w:t>A92.0;A96.0-1,8-9;A98.0-2,5-8,A99</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inne określone i nie określone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91</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A98.5</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Choroba wywołana przez hantawirusy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92</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B01</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Ospa wietrzna</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4708</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513,3</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3912</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423,7</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B03</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Ospa prawdziwa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B05</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Odra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25</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2,7</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1,62</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B06</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Różyczka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27</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2,9</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B08.8</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Pryszczyca</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B15</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Wirusowe </w:t>
            </w:r>
            <w:r w:rsidRPr="002C4F7C">
              <w:rPr>
                <w:b/>
                <w:bCs/>
                <w:sz w:val="17"/>
                <w:szCs w:val="17"/>
                <w:lang w:eastAsia="ar-SA"/>
              </w:rPr>
              <w:br/>
              <w:t xml:space="preserve">zapalenie </w:t>
            </w:r>
            <w:r w:rsidRPr="002C4F7C">
              <w:rPr>
                <w:b/>
                <w:bCs/>
                <w:sz w:val="17"/>
                <w:szCs w:val="17"/>
                <w:lang w:eastAsia="ar-SA"/>
              </w:rPr>
              <w:br/>
              <w:t>wątroby</w:t>
            </w: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typu 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309</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33,7</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21</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B16</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typu B - ostre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99</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B18.0-1</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typu B - przewlekłe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158</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17,2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144</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15,6</w:t>
            </w:r>
          </w:p>
        </w:tc>
      </w:tr>
      <w:tr w:rsidR="00AF0FDB" w:rsidRPr="0091115B">
        <w:trPr>
          <w:trHeight w:val="495"/>
        </w:trPr>
        <w:tc>
          <w:tcPr>
            <w:tcW w:w="534" w:type="dxa"/>
            <w:shd w:val="clear" w:color="auto" w:fill="E8E8E8"/>
          </w:tcPr>
          <w:p w:rsidR="00AF0FDB" w:rsidRPr="002C4F7C" w:rsidRDefault="00AF0FDB" w:rsidP="002C4F7C">
            <w:pPr>
              <w:suppressAutoHyphens/>
              <w:spacing w:before="0" w:after="0" w:line="240" w:lineRule="auto"/>
              <w:jc w:val="right"/>
              <w:rPr>
                <w:b/>
                <w:bCs/>
                <w:sz w:val="12"/>
                <w:szCs w:val="12"/>
                <w:lang w:eastAsia="ar-SA"/>
              </w:rPr>
            </w:pPr>
            <w:r w:rsidRPr="002C4F7C">
              <w:rPr>
                <w:b/>
                <w:bCs/>
                <w:sz w:val="17"/>
                <w:szCs w:val="17"/>
                <w:lang w:eastAsia="ar-SA"/>
              </w:rPr>
              <w:t>100</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2"/>
                <w:szCs w:val="12"/>
                <w:lang w:eastAsia="ar-SA"/>
              </w:rPr>
              <w:t>B17.1; B18.2</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typu C: wg definicji przypadku - 2014 r.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173</w:t>
            </w:r>
          </w:p>
        </w:tc>
        <w:tc>
          <w:tcPr>
            <w:tcW w:w="992" w:type="dxa"/>
          </w:tcPr>
          <w:p w:rsidR="00AF0FDB" w:rsidRPr="002C4F7C" w:rsidRDefault="00AF0FDB" w:rsidP="002C4F7C">
            <w:pPr>
              <w:suppressAutoHyphens/>
              <w:spacing w:before="0" w:after="0" w:line="240" w:lineRule="auto"/>
              <w:jc w:val="center"/>
              <w:rPr>
                <w:color w:val="000000"/>
                <w:sz w:val="17"/>
                <w:szCs w:val="17"/>
                <w:lang w:eastAsia="ar-SA"/>
              </w:rPr>
            </w:pPr>
            <w:r w:rsidRPr="002C4F7C">
              <w:rPr>
                <w:sz w:val="17"/>
                <w:szCs w:val="17"/>
                <w:lang w:eastAsia="ar-SA"/>
              </w:rPr>
              <w:t>18,9</w:t>
            </w:r>
          </w:p>
        </w:tc>
        <w:tc>
          <w:tcPr>
            <w:tcW w:w="1134" w:type="dxa"/>
            <w:shd w:val="clear" w:color="auto" w:fill="E8E8E8"/>
          </w:tcPr>
          <w:p w:rsidR="00AF0FDB" w:rsidRPr="002C4F7C" w:rsidRDefault="00AF0FDB" w:rsidP="002C4F7C">
            <w:pPr>
              <w:suppressAutoHyphens/>
              <w:snapToGrid w:val="0"/>
              <w:spacing w:before="0" w:after="0" w:line="240" w:lineRule="auto"/>
              <w:jc w:val="center"/>
              <w:rPr>
                <w:color w:val="000000"/>
                <w:sz w:val="17"/>
                <w:szCs w:val="17"/>
                <w:lang w:eastAsia="ar-SA"/>
              </w:rPr>
            </w:pPr>
            <w:r w:rsidRPr="002C4F7C">
              <w:rPr>
                <w:color w:val="000000"/>
                <w:sz w:val="17"/>
                <w:szCs w:val="17"/>
                <w:lang w:eastAsia="ar-SA"/>
              </w:rPr>
              <w:t>151</w:t>
            </w:r>
          </w:p>
        </w:tc>
        <w:tc>
          <w:tcPr>
            <w:tcW w:w="1019" w:type="dxa"/>
            <w:gridSpan w:val="2"/>
          </w:tcPr>
          <w:p w:rsidR="00AF0FDB" w:rsidRPr="002C4F7C" w:rsidRDefault="00AF0FDB" w:rsidP="002C4F7C">
            <w:pPr>
              <w:suppressAutoHyphens/>
              <w:snapToGrid w:val="0"/>
              <w:spacing w:before="0" w:after="0" w:line="240" w:lineRule="auto"/>
              <w:jc w:val="center"/>
              <w:rPr>
                <w:color w:val="0D0D0D"/>
                <w:sz w:val="17"/>
                <w:szCs w:val="17"/>
                <w:lang w:eastAsia="ar-SA"/>
              </w:rPr>
            </w:pPr>
            <w:r w:rsidRPr="002C4F7C">
              <w:rPr>
                <w:color w:val="0D0D0D"/>
                <w:sz w:val="17"/>
                <w:szCs w:val="17"/>
                <w:lang w:eastAsia="ar-SA"/>
              </w:rPr>
              <w:t>16,4</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sz w:val="12"/>
                <w:szCs w:val="12"/>
                <w:lang w:eastAsia="ar-SA"/>
              </w:rPr>
            </w:pPr>
            <w:r w:rsidRPr="002C4F7C">
              <w:rPr>
                <w:b/>
                <w:bCs/>
                <w:sz w:val="17"/>
                <w:szCs w:val="17"/>
                <w:lang w:eastAsia="ar-SA"/>
              </w:rPr>
              <w:t>101</w:t>
            </w:r>
          </w:p>
        </w:tc>
        <w:tc>
          <w:tcPr>
            <w:tcW w:w="1320" w:type="dxa"/>
            <w:shd w:val="clear" w:color="auto" w:fill="E8E8E8"/>
          </w:tcPr>
          <w:p w:rsidR="00AF0FDB" w:rsidRPr="002C4F7C" w:rsidRDefault="00AF0FDB" w:rsidP="002C4F7C">
            <w:pPr>
              <w:suppressAutoHyphens/>
              <w:spacing w:before="0" w:after="0" w:line="240" w:lineRule="auto"/>
              <w:jc w:val="center"/>
              <w:rPr>
                <w:b/>
                <w:bCs/>
                <w:sz w:val="14"/>
                <w:szCs w:val="14"/>
                <w:lang w:eastAsia="ar-SA"/>
              </w:rPr>
            </w:pPr>
            <w:r w:rsidRPr="002C4F7C">
              <w:rPr>
                <w:sz w:val="14"/>
                <w:szCs w:val="14"/>
                <w:lang w:eastAsia="ar-SA"/>
              </w:rPr>
              <w:t>odpowiednio</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4"/>
                <w:szCs w:val="14"/>
                <w:lang w:eastAsia="ar-SA"/>
              </w:rPr>
              <w:t xml:space="preserve">typu B+C (zakażenie mieszane)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8"/>
                <w:szCs w:val="8"/>
                <w:lang w:eastAsia="ar-SA"/>
              </w:rPr>
            </w:pPr>
            <w:r w:rsidRPr="002C4F7C">
              <w:rPr>
                <w:b/>
                <w:bCs/>
                <w:sz w:val="17"/>
                <w:szCs w:val="17"/>
                <w:lang w:eastAsia="ar-SA"/>
              </w:rPr>
              <w:t>102</w:t>
            </w:r>
          </w:p>
        </w:tc>
        <w:tc>
          <w:tcPr>
            <w:tcW w:w="1320" w:type="dxa"/>
          </w:tcPr>
          <w:p w:rsidR="00AF0FDB" w:rsidRPr="002C4F7C" w:rsidRDefault="00AF0FDB" w:rsidP="002C4F7C">
            <w:pPr>
              <w:suppressAutoHyphens/>
              <w:spacing w:before="0" w:after="0" w:line="240" w:lineRule="auto"/>
              <w:jc w:val="center"/>
              <w:rPr>
                <w:b/>
                <w:bCs/>
                <w:sz w:val="14"/>
                <w:szCs w:val="14"/>
                <w:lang w:eastAsia="ar-SA"/>
              </w:rPr>
            </w:pPr>
            <w:r w:rsidRPr="002C4F7C">
              <w:rPr>
                <w:b/>
                <w:bCs/>
                <w:sz w:val="14"/>
                <w:szCs w:val="14"/>
                <w:lang w:eastAsia="ar-SA"/>
              </w:rPr>
              <w:t>B17.0,2-8;B18.8-9;B19</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103</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B20-B24</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AIDS-Zespół nabytego upośledzenia odporności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8</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0,9</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0,6</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104</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Z21</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Nowo wykryte zakażenia HIV </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111</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12,1</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95</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10,3</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105</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B26</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Świnka (nagminne zapalenie przyusznic)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46</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5,0</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45</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4,9</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106</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B50-B54</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Malaria (zimnica)</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107</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B67</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Bąblowica (echinokokoza)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55"/>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108</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B69</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Wągrzyca (cysticerkoza)</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p>
        </w:tc>
        <w:tc>
          <w:tcPr>
            <w:tcW w:w="4066" w:type="dxa"/>
            <w:gridSpan w:val="9"/>
            <w:shd w:val="clear" w:color="auto" w:fill="E8E8E8"/>
          </w:tcPr>
          <w:p w:rsidR="00AF0FDB" w:rsidRPr="002C4F7C" w:rsidRDefault="00AF0FDB" w:rsidP="002C4F7C">
            <w:pPr>
              <w:suppressAutoHyphens/>
              <w:spacing w:before="0" w:after="0" w:line="240" w:lineRule="auto"/>
              <w:rPr>
                <w:b/>
                <w:bCs/>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224"/>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109</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B75</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Włośnica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sz w:val="17"/>
                <w:szCs w:val="17"/>
                <w:lang w:eastAsia="ar-SA"/>
              </w:rPr>
            </w:pPr>
            <w:r w:rsidRPr="002C4F7C">
              <w:rPr>
                <w:b/>
                <w:bCs/>
                <w:sz w:val="17"/>
                <w:szCs w:val="17"/>
                <w:lang w:eastAsia="ar-SA"/>
              </w:rPr>
              <w:t>110</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sz w:val="17"/>
                <w:szCs w:val="17"/>
                <w:lang w:eastAsia="ar-SA"/>
              </w:rPr>
              <w:t>wym. niżej</w:t>
            </w:r>
          </w:p>
        </w:tc>
        <w:tc>
          <w:tcPr>
            <w:tcW w:w="2848" w:type="dxa"/>
            <w:gridSpan w:val="7"/>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Choroba wywołana przez</w:t>
            </w:r>
            <w:r w:rsidRPr="002C4F7C">
              <w:rPr>
                <w:b/>
                <w:bCs/>
                <w:sz w:val="17"/>
                <w:szCs w:val="17"/>
                <w:lang w:eastAsia="ar-SA"/>
              </w:rPr>
              <w:br/>
            </w:r>
            <w:r w:rsidRPr="002C4F7C">
              <w:rPr>
                <w:b/>
                <w:bCs/>
                <w:i/>
                <w:iCs/>
                <w:sz w:val="17"/>
                <w:szCs w:val="17"/>
                <w:lang w:eastAsia="ar-SA"/>
              </w:rPr>
              <w:t>Streptococcus pneumoniae,</w:t>
            </w:r>
            <w:r w:rsidRPr="002C4F7C">
              <w:rPr>
                <w:b/>
                <w:bCs/>
                <w:sz w:val="17"/>
                <w:szCs w:val="17"/>
                <w:lang w:eastAsia="ar-SA"/>
              </w:rPr>
              <w:br/>
              <w:t xml:space="preserve">inwazyjna  </w:t>
            </w:r>
          </w:p>
        </w:tc>
        <w:tc>
          <w:tcPr>
            <w:tcW w:w="1218" w:type="dxa"/>
            <w:gridSpan w:val="2"/>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ogółem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64</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6,9</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highlight w:val="green"/>
                <w:lang w:eastAsia="ar-SA"/>
              </w:rPr>
            </w:pPr>
            <w:r w:rsidRPr="002C4F7C">
              <w:rPr>
                <w:sz w:val="17"/>
                <w:szCs w:val="17"/>
                <w:lang w:eastAsia="ar-SA"/>
              </w:rPr>
              <w:t>58</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highlight w:val="green"/>
                <w:lang w:eastAsia="ar-SA"/>
              </w:rPr>
            </w:pPr>
            <w:r w:rsidRPr="002C4F7C">
              <w:rPr>
                <w:sz w:val="17"/>
                <w:szCs w:val="17"/>
                <w:lang w:eastAsia="ar-SA"/>
              </w:rPr>
              <w:t>6,3</w:t>
            </w:r>
          </w:p>
        </w:tc>
      </w:tr>
      <w:tr w:rsidR="00AF0FDB" w:rsidRPr="0091115B">
        <w:trPr>
          <w:trHeight w:val="525"/>
        </w:trPr>
        <w:tc>
          <w:tcPr>
            <w:tcW w:w="534" w:type="dxa"/>
            <w:shd w:val="clear" w:color="auto" w:fill="E8E8E8"/>
          </w:tcPr>
          <w:p w:rsidR="00AF0FDB" w:rsidRPr="002C4F7C" w:rsidRDefault="00AF0FDB" w:rsidP="002C4F7C">
            <w:pPr>
              <w:suppressAutoHyphens/>
              <w:spacing w:before="0" w:after="0" w:line="240" w:lineRule="auto"/>
              <w:jc w:val="right"/>
              <w:rPr>
                <w:b/>
                <w:bCs/>
                <w:sz w:val="10"/>
                <w:szCs w:val="10"/>
                <w:lang w:eastAsia="ar-SA"/>
              </w:rPr>
            </w:pPr>
            <w:r w:rsidRPr="002C4F7C">
              <w:rPr>
                <w:b/>
                <w:bCs/>
                <w:sz w:val="17"/>
                <w:szCs w:val="17"/>
                <w:lang w:eastAsia="ar-SA"/>
              </w:rPr>
              <w:t>111</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B95.3/G04.2; G00.1</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tcPr>
          <w:p w:rsidR="00AF0FDB" w:rsidRPr="002C4F7C" w:rsidRDefault="00AF0FDB" w:rsidP="002C4F7C">
            <w:pPr>
              <w:suppressAutoHyphens/>
              <w:spacing w:before="0" w:after="0" w:line="240" w:lineRule="auto"/>
              <w:rPr>
                <w:b/>
                <w:bCs/>
                <w:sz w:val="22"/>
                <w:szCs w:val="22"/>
                <w:lang w:eastAsia="ar-SA"/>
              </w:rPr>
            </w:pPr>
            <w:r w:rsidRPr="002C4F7C">
              <w:rPr>
                <w:b/>
                <w:bCs/>
                <w:sz w:val="16"/>
                <w:szCs w:val="16"/>
                <w:lang w:eastAsia="ar-SA"/>
              </w:rPr>
              <w:t>zapalenie opon mózgowych i/ lub mózgu</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7</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0,8</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0,4</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112</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A40.3</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posocznica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20</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17</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1,8</w:t>
            </w:r>
          </w:p>
        </w:tc>
      </w:tr>
      <w:tr w:rsidR="00AF0FDB" w:rsidRPr="0091115B">
        <w:trPr>
          <w:trHeight w:val="57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113</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B95.3/(…)</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inna określona i nie określona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39</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41</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4,4</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4"/>
                <w:szCs w:val="14"/>
                <w:lang w:eastAsia="ar-SA"/>
              </w:rPr>
            </w:pPr>
            <w:r w:rsidRPr="002C4F7C">
              <w:rPr>
                <w:b/>
                <w:bCs/>
                <w:sz w:val="17"/>
                <w:szCs w:val="17"/>
                <w:lang w:eastAsia="ar-SA"/>
              </w:rPr>
              <w:t>114</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4"/>
                <w:szCs w:val="14"/>
                <w:lang w:eastAsia="ar-SA"/>
              </w:rPr>
              <w:t>B96.2/D59.3</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Zespół hemolityczno-mocznicowy w przebiegu zak. </w:t>
            </w:r>
            <w:r w:rsidRPr="002C4F7C">
              <w:rPr>
                <w:b/>
                <w:bCs/>
                <w:i/>
                <w:iCs/>
                <w:sz w:val="17"/>
                <w:szCs w:val="17"/>
                <w:lang w:eastAsia="ar-SA"/>
              </w:rPr>
              <w:t xml:space="preserve">E. coli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sz w:val="17"/>
                <w:szCs w:val="17"/>
                <w:lang w:eastAsia="ar-SA"/>
              </w:rPr>
            </w:pPr>
            <w:r w:rsidRPr="002C4F7C">
              <w:rPr>
                <w:b/>
                <w:bCs/>
                <w:sz w:val="17"/>
                <w:szCs w:val="17"/>
                <w:lang w:eastAsia="ar-SA"/>
              </w:rPr>
              <w:t>115</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sz w:val="17"/>
                <w:szCs w:val="17"/>
                <w:lang w:eastAsia="ar-SA"/>
              </w:rPr>
              <w:t>wym. niżej</w:t>
            </w:r>
          </w:p>
        </w:tc>
        <w:tc>
          <w:tcPr>
            <w:tcW w:w="2848" w:type="dxa"/>
            <w:gridSpan w:val="7"/>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Choroba</w:t>
            </w:r>
            <w:r w:rsidRPr="002C4F7C">
              <w:rPr>
                <w:b/>
                <w:bCs/>
                <w:sz w:val="17"/>
                <w:szCs w:val="17"/>
                <w:lang w:eastAsia="ar-SA"/>
              </w:rPr>
              <w:br/>
              <w:t>wywołana przez</w:t>
            </w:r>
            <w:r w:rsidRPr="002C4F7C">
              <w:rPr>
                <w:b/>
                <w:bCs/>
                <w:sz w:val="17"/>
                <w:szCs w:val="17"/>
                <w:lang w:eastAsia="ar-SA"/>
              </w:rPr>
              <w:br/>
            </w:r>
            <w:r w:rsidRPr="002C4F7C">
              <w:rPr>
                <w:b/>
                <w:bCs/>
                <w:i/>
                <w:iCs/>
                <w:sz w:val="17"/>
                <w:szCs w:val="17"/>
                <w:lang w:eastAsia="ar-SA"/>
              </w:rPr>
              <w:t xml:space="preserve">Haemophilus </w:t>
            </w:r>
            <w:r w:rsidRPr="002C4F7C">
              <w:rPr>
                <w:b/>
                <w:bCs/>
                <w:i/>
                <w:iCs/>
                <w:sz w:val="17"/>
                <w:szCs w:val="17"/>
                <w:lang w:eastAsia="ar-SA"/>
              </w:rPr>
              <w:br/>
              <w:t>influenzae,</w:t>
            </w:r>
            <w:r w:rsidRPr="002C4F7C">
              <w:rPr>
                <w:b/>
                <w:bCs/>
                <w:sz w:val="17"/>
                <w:szCs w:val="17"/>
                <w:lang w:eastAsia="ar-SA"/>
              </w:rPr>
              <w:br/>
              <w:t xml:space="preserve">inwazyjna </w:t>
            </w:r>
          </w:p>
        </w:tc>
        <w:tc>
          <w:tcPr>
            <w:tcW w:w="1218" w:type="dxa"/>
            <w:gridSpan w:val="2"/>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ogółem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13</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1,4</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21</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2,3</w:t>
            </w:r>
          </w:p>
        </w:tc>
      </w:tr>
      <w:tr w:rsidR="00AF0FDB" w:rsidRPr="0091115B">
        <w:trPr>
          <w:trHeight w:val="465"/>
        </w:trPr>
        <w:tc>
          <w:tcPr>
            <w:tcW w:w="534" w:type="dxa"/>
            <w:shd w:val="clear" w:color="auto" w:fill="E8E8E8"/>
          </w:tcPr>
          <w:p w:rsidR="00AF0FDB" w:rsidRPr="002C4F7C" w:rsidRDefault="00AF0FDB" w:rsidP="002C4F7C">
            <w:pPr>
              <w:suppressAutoHyphens/>
              <w:spacing w:before="0" w:after="0" w:line="240" w:lineRule="auto"/>
              <w:jc w:val="right"/>
              <w:rPr>
                <w:b/>
                <w:bCs/>
                <w:sz w:val="16"/>
                <w:szCs w:val="16"/>
                <w:lang w:eastAsia="ar-SA"/>
              </w:rPr>
            </w:pPr>
            <w:r w:rsidRPr="002C4F7C">
              <w:rPr>
                <w:b/>
                <w:bCs/>
                <w:sz w:val="17"/>
                <w:szCs w:val="17"/>
                <w:lang w:eastAsia="ar-SA"/>
              </w:rPr>
              <w:t>116</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6"/>
                <w:szCs w:val="16"/>
                <w:lang w:eastAsia="ar-SA"/>
              </w:rPr>
              <w:t>B96.3/G04.2;G00.0</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6"/>
                <w:szCs w:val="16"/>
                <w:lang w:eastAsia="ar-SA"/>
              </w:rPr>
              <w:t>zapalenie opon mózgowych i/ lub mózgu</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117</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A41.3</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posocznica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trHeight w:val="57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118</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B96.3/(…)</w:t>
            </w:r>
          </w:p>
        </w:tc>
        <w:tc>
          <w:tcPr>
            <w:tcW w:w="2848" w:type="dxa"/>
            <w:gridSpan w:val="7"/>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218" w:type="dxa"/>
            <w:gridSpan w:val="2"/>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inna określona i nie określona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10</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20</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2,2</w:t>
            </w:r>
          </w:p>
        </w:tc>
      </w:tr>
      <w:tr w:rsidR="00AF0FDB" w:rsidRPr="0091115B">
        <w:trPr>
          <w:trHeight w:val="465"/>
        </w:trPr>
        <w:tc>
          <w:tcPr>
            <w:tcW w:w="534" w:type="dxa"/>
            <w:shd w:val="clear" w:color="auto" w:fill="E8E8E8"/>
          </w:tcPr>
          <w:p w:rsidR="00AF0FDB" w:rsidRPr="002C4F7C" w:rsidRDefault="00AF0FDB" w:rsidP="002C4F7C">
            <w:pPr>
              <w:suppressAutoHyphens/>
              <w:spacing w:before="0" w:after="0" w:line="240" w:lineRule="auto"/>
              <w:jc w:val="right"/>
              <w:rPr>
                <w:b/>
                <w:bCs/>
                <w:sz w:val="16"/>
                <w:szCs w:val="16"/>
                <w:lang w:eastAsia="ar-SA"/>
              </w:rPr>
            </w:pPr>
            <w:r w:rsidRPr="002C4F7C">
              <w:rPr>
                <w:b/>
                <w:bCs/>
                <w:sz w:val="17"/>
                <w:szCs w:val="17"/>
                <w:lang w:eastAsia="ar-SA"/>
              </w:rPr>
              <w:t>119</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6"/>
                <w:szCs w:val="16"/>
                <w:lang w:eastAsia="ar-SA"/>
              </w:rPr>
              <w:t>G01;G04.2;G05.0;</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Bakteryjne zapalenie opon mózgowych i/lub mózgu</w:t>
            </w: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w innych chorobach objętych MZ-56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8</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0,9</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15</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1,6</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2"/>
                <w:szCs w:val="12"/>
                <w:lang w:eastAsia="ar-SA"/>
              </w:rPr>
            </w:pPr>
            <w:r w:rsidRPr="002C4F7C">
              <w:rPr>
                <w:b/>
                <w:bCs/>
                <w:sz w:val="17"/>
                <w:szCs w:val="17"/>
                <w:lang w:eastAsia="ar-SA"/>
              </w:rPr>
              <w:t>120</w:t>
            </w:r>
          </w:p>
        </w:tc>
        <w:tc>
          <w:tcPr>
            <w:tcW w:w="1320" w:type="dxa"/>
            <w:shd w:val="clear" w:color="auto" w:fill="E8E8E8"/>
          </w:tcPr>
          <w:p w:rsidR="00AF0FDB" w:rsidRPr="002C4F7C" w:rsidRDefault="00AF0FDB" w:rsidP="002C4F7C">
            <w:pPr>
              <w:suppressAutoHyphens/>
              <w:spacing w:before="0" w:after="0" w:line="240" w:lineRule="auto"/>
              <w:jc w:val="center"/>
              <w:rPr>
                <w:b/>
                <w:bCs/>
                <w:sz w:val="16"/>
                <w:szCs w:val="16"/>
                <w:lang w:eastAsia="ar-SA"/>
              </w:rPr>
            </w:pPr>
            <w:r w:rsidRPr="002C4F7C">
              <w:rPr>
                <w:b/>
                <w:bCs/>
                <w:sz w:val="16"/>
                <w:szCs w:val="16"/>
                <w:lang w:eastAsia="ar-SA"/>
              </w:rPr>
              <w:t>G00.2-8;G04.2</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0,5</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4"/>
                <w:szCs w:val="14"/>
                <w:lang w:eastAsia="ar-SA"/>
              </w:rPr>
            </w:pPr>
            <w:r w:rsidRPr="002C4F7C">
              <w:rPr>
                <w:b/>
                <w:bCs/>
                <w:sz w:val="17"/>
                <w:szCs w:val="17"/>
                <w:lang w:eastAsia="ar-SA"/>
              </w:rPr>
              <w:t>121</w:t>
            </w:r>
          </w:p>
        </w:tc>
        <w:tc>
          <w:tcPr>
            <w:tcW w:w="1320" w:type="dxa"/>
          </w:tcPr>
          <w:p w:rsidR="00AF0FDB" w:rsidRPr="002C4F7C" w:rsidRDefault="00AF0FDB" w:rsidP="002C4F7C">
            <w:pPr>
              <w:suppressAutoHyphens/>
              <w:spacing w:before="0" w:after="0" w:line="240" w:lineRule="auto"/>
              <w:jc w:val="center"/>
              <w:rPr>
                <w:b/>
                <w:bCs/>
                <w:sz w:val="16"/>
                <w:szCs w:val="16"/>
                <w:lang w:eastAsia="ar-SA"/>
              </w:rPr>
            </w:pPr>
            <w:r w:rsidRPr="002C4F7C">
              <w:rPr>
                <w:b/>
                <w:bCs/>
                <w:sz w:val="16"/>
                <w:szCs w:val="16"/>
                <w:lang w:eastAsia="ar-SA"/>
              </w:rPr>
              <w:t>G00.9;G04.2</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0,5</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0,3</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122</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G03</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Zapalenie opon mózgowych inne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35</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3,8</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38</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4,1</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123</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G04.0,8-9</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Zapalenie mózgu inne i nie określone</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5</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0,5</w:t>
            </w:r>
          </w:p>
        </w:tc>
        <w:tc>
          <w:tcPr>
            <w:tcW w:w="1134"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0,1</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124</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J09</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Grypa ptaków typu A/H5 lub A/H5N1 u ludzi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125</w:t>
            </w:r>
          </w:p>
        </w:tc>
        <w:tc>
          <w:tcPr>
            <w:tcW w:w="1320" w:type="dxa"/>
            <w:vMerge w:val="restart"/>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J10-J11</w:t>
            </w:r>
          </w:p>
        </w:tc>
        <w:tc>
          <w:tcPr>
            <w:tcW w:w="1632" w:type="dxa"/>
            <w:gridSpan w:val="3"/>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 xml:space="preserve">Grypa </w:t>
            </w:r>
          </w:p>
        </w:tc>
        <w:tc>
          <w:tcPr>
            <w:tcW w:w="2434" w:type="dxa"/>
            <w:gridSpan w:val="6"/>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ogółem</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116</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12,6</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297</w:t>
            </w: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32,1</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126</w:t>
            </w:r>
          </w:p>
        </w:tc>
        <w:tc>
          <w:tcPr>
            <w:tcW w:w="1320" w:type="dxa"/>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632" w:type="dxa"/>
            <w:gridSpan w:val="3"/>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2434" w:type="dxa"/>
            <w:gridSpan w:val="6"/>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u dzieci w wieku 0-14 lat</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39</w:t>
            </w: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26,1</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173</w:t>
            </w: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18,7</w:t>
            </w: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127</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P35.0</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Wrodzone choroby wirusowe</w:t>
            </w: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różyczka wrodzona</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128</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P35.1-9</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określone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129</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P37.1</w:t>
            </w:r>
          </w:p>
        </w:tc>
        <w:tc>
          <w:tcPr>
            <w:tcW w:w="2223" w:type="dxa"/>
            <w:gridSpan w:val="5"/>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Inne wrodzone zakażenia i choroby pasożytnicze</w:t>
            </w:r>
          </w:p>
        </w:tc>
        <w:tc>
          <w:tcPr>
            <w:tcW w:w="1843" w:type="dxa"/>
            <w:gridSpan w:val="4"/>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toksoplazmoza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2</w:t>
            </w:r>
          </w:p>
        </w:tc>
        <w:tc>
          <w:tcPr>
            <w:tcW w:w="992" w:type="dxa"/>
          </w:tcPr>
          <w:p w:rsidR="00AF0FDB" w:rsidRPr="002C4F7C" w:rsidRDefault="00AF0FDB" w:rsidP="002C4F7C">
            <w:pPr>
              <w:suppressAutoHyphens/>
              <w:spacing w:before="0" w:after="0" w:line="240" w:lineRule="auto"/>
              <w:jc w:val="center"/>
              <w:rPr>
                <w:sz w:val="17"/>
                <w:szCs w:val="17"/>
                <w:lang w:eastAsia="ar-SA"/>
              </w:rPr>
            </w:pPr>
            <w:r w:rsidRPr="002C4F7C">
              <w:rPr>
                <w:sz w:val="17"/>
                <w:szCs w:val="17"/>
                <w:lang w:eastAsia="ar-SA"/>
              </w:rPr>
              <w:t>0,2</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130</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P37.2</w:t>
            </w:r>
          </w:p>
        </w:tc>
        <w:tc>
          <w:tcPr>
            <w:tcW w:w="2223" w:type="dxa"/>
            <w:gridSpan w:val="5"/>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43" w:type="dxa"/>
            <w:gridSpan w:val="4"/>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listerioza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54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131</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P37.3-9</w:t>
            </w:r>
          </w:p>
        </w:tc>
        <w:tc>
          <w:tcPr>
            <w:tcW w:w="2223" w:type="dxa"/>
            <w:gridSpan w:val="5"/>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43" w:type="dxa"/>
            <w:gridSpan w:val="4"/>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określone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132</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U04</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SARS-Zespół ostrej niewydolności oddechowej</w:t>
            </w:r>
            <w:r w:rsidRPr="002C4F7C">
              <w:rPr>
                <w:b/>
                <w:bCs/>
                <w:sz w:val="17"/>
                <w:szCs w:val="17"/>
                <w:vertAlign w:val="superscript"/>
                <w:lang w:eastAsia="ar-SA"/>
              </w:rPr>
              <w:t xml:space="preserve"> </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133</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T60</w:t>
            </w:r>
          </w:p>
        </w:tc>
        <w:tc>
          <w:tcPr>
            <w:tcW w:w="4066" w:type="dxa"/>
            <w:gridSpan w:val="9"/>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 xml:space="preserve">Zatrucia pestycydami - ostre </w:t>
            </w: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134</w:t>
            </w:r>
          </w:p>
        </w:tc>
        <w:tc>
          <w:tcPr>
            <w:tcW w:w="1320" w:type="dxa"/>
            <w:shd w:val="clear" w:color="auto" w:fill="E8E8E8"/>
          </w:tcPr>
          <w:p w:rsidR="00AF0FDB" w:rsidRPr="002C4F7C" w:rsidRDefault="00AF0FDB" w:rsidP="002C4F7C">
            <w:pPr>
              <w:suppressAutoHyphens/>
              <w:spacing w:before="0" w:after="0" w:line="240" w:lineRule="auto"/>
              <w:jc w:val="center"/>
              <w:rPr>
                <w:b/>
                <w:bCs/>
                <w:sz w:val="14"/>
                <w:szCs w:val="14"/>
                <w:lang w:eastAsia="ar-SA"/>
              </w:rPr>
            </w:pPr>
            <w:r w:rsidRPr="002C4F7C">
              <w:rPr>
                <w:b/>
                <w:bCs/>
                <w:sz w:val="17"/>
                <w:szCs w:val="17"/>
                <w:lang w:eastAsia="ar-SA"/>
              </w:rPr>
              <w:t>T61</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4"/>
                <w:szCs w:val="14"/>
                <w:lang w:eastAsia="ar-SA"/>
              </w:rPr>
            </w:pPr>
            <w:r w:rsidRPr="002C4F7C">
              <w:rPr>
                <w:b/>
                <w:bCs/>
                <w:sz w:val="14"/>
                <w:szCs w:val="14"/>
                <w:lang w:eastAsia="ar-SA"/>
              </w:rPr>
              <w:t>Zatrucia naturalnie toksycznymi substancjami spożytymi jako pokarm</w:t>
            </w:r>
            <w:r w:rsidRPr="002C4F7C">
              <w:rPr>
                <w:b/>
                <w:bCs/>
                <w:sz w:val="14"/>
                <w:szCs w:val="14"/>
                <w:vertAlign w:val="superscript"/>
                <w:lang w:eastAsia="ar-SA"/>
              </w:rPr>
              <w:t xml:space="preserve"> </w:t>
            </w: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4"/>
                <w:szCs w:val="14"/>
                <w:lang w:eastAsia="ar-SA"/>
              </w:rPr>
              <w:t>ryby, skorupiaki i inne produkty morza</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135</w:t>
            </w:r>
          </w:p>
        </w:tc>
        <w:tc>
          <w:tcPr>
            <w:tcW w:w="1320" w:type="dxa"/>
          </w:tcPr>
          <w:p w:rsidR="00AF0FDB" w:rsidRPr="002C4F7C" w:rsidRDefault="00AF0FDB" w:rsidP="002C4F7C">
            <w:pPr>
              <w:suppressAutoHyphens/>
              <w:spacing w:before="0" w:after="0" w:line="240" w:lineRule="auto"/>
              <w:jc w:val="center"/>
              <w:rPr>
                <w:b/>
                <w:bCs/>
                <w:sz w:val="14"/>
                <w:szCs w:val="14"/>
                <w:lang w:eastAsia="ar-SA"/>
              </w:rPr>
            </w:pPr>
            <w:r w:rsidRPr="002C4F7C">
              <w:rPr>
                <w:b/>
                <w:bCs/>
                <w:sz w:val="17"/>
                <w:szCs w:val="17"/>
                <w:lang w:eastAsia="ar-SA"/>
              </w:rPr>
              <w:t>T62.0</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4"/>
                <w:szCs w:val="14"/>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4"/>
                <w:szCs w:val="14"/>
                <w:lang w:eastAsia="ar-SA"/>
              </w:rPr>
              <w:t>grzyby</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136</w:t>
            </w:r>
          </w:p>
        </w:tc>
        <w:tc>
          <w:tcPr>
            <w:tcW w:w="1320" w:type="dxa"/>
            <w:shd w:val="clear" w:color="auto" w:fill="E8E8E8"/>
          </w:tcPr>
          <w:p w:rsidR="00AF0FDB" w:rsidRPr="002C4F7C" w:rsidRDefault="00AF0FDB" w:rsidP="002C4F7C">
            <w:pPr>
              <w:suppressAutoHyphens/>
              <w:spacing w:before="0" w:after="0" w:line="240" w:lineRule="auto"/>
              <w:jc w:val="center"/>
              <w:rPr>
                <w:b/>
                <w:bCs/>
                <w:sz w:val="14"/>
                <w:szCs w:val="14"/>
                <w:lang w:eastAsia="ar-SA"/>
              </w:rPr>
            </w:pPr>
            <w:r w:rsidRPr="002C4F7C">
              <w:rPr>
                <w:b/>
                <w:bCs/>
                <w:sz w:val="17"/>
                <w:szCs w:val="17"/>
                <w:lang w:eastAsia="ar-SA"/>
              </w:rPr>
              <w:t>T62.1-2</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4"/>
                <w:szCs w:val="14"/>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4"/>
                <w:szCs w:val="14"/>
                <w:lang w:eastAsia="ar-SA"/>
              </w:rPr>
              <w:t>jagody i inne części roślin</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137</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T64</w:t>
            </w:r>
          </w:p>
        </w:tc>
        <w:tc>
          <w:tcPr>
            <w:tcW w:w="2206" w:type="dxa"/>
            <w:gridSpan w:val="4"/>
            <w:vMerge w:val="restart"/>
            <w:shd w:val="clear" w:color="auto" w:fill="E8E8E8"/>
          </w:tcPr>
          <w:p w:rsidR="00AF0FDB" w:rsidRPr="002C4F7C" w:rsidRDefault="00AF0FDB" w:rsidP="002C4F7C">
            <w:pPr>
              <w:suppressAutoHyphens/>
              <w:spacing w:before="0" w:after="0" w:line="240" w:lineRule="auto"/>
              <w:rPr>
                <w:b/>
                <w:bCs/>
                <w:sz w:val="17"/>
                <w:szCs w:val="17"/>
                <w:lang w:eastAsia="ar-SA"/>
              </w:rPr>
            </w:pPr>
            <w:r w:rsidRPr="002C4F7C">
              <w:rPr>
                <w:b/>
                <w:bCs/>
                <w:sz w:val="17"/>
                <w:szCs w:val="17"/>
                <w:lang w:eastAsia="ar-SA"/>
              </w:rPr>
              <w:t>Ostre zatrucia żywnością skażoną biologicznie i/lub chemicznie</w:t>
            </w:r>
            <w:r w:rsidRPr="002C4F7C">
              <w:rPr>
                <w:b/>
                <w:bCs/>
                <w:sz w:val="17"/>
                <w:szCs w:val="17"/>
                <w:vertAlign w:val="superscript"/>
                <w:lang w:eastAsia="ar-SA"/>
              </w:rPr>
              <w:t xml:space="preserve"> </w:t>
            </w: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mikotoksyny</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138</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dioksyny</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139</w:t>
            </w:r>
          </w:p>
        </w:tc>
        <w:tc>
          <w:tcPr>
            <w:tcW w:w="1320"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polichlorowane bifenyle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30"/>
        </w:trPr>
        <w:tc>
          <w:tcPr>
            <w:tcW w:w="534" w:type="dxa"/>
            <w:shd w:val="clear" w:color="auto" w:fill="E8E8E8"/>
          </w:tcPr>
          <w:p w:rsidR="00AF0FDB" w:rsidRPr="002C4F7C" w:rsidRDefault="00AF0FDB" w:rsidP="002C4F7C">
            <w:pPr>
              <w:suppressAutoHyphens/>
              <w:spacing w:before="0" w:after="0" w:line="240" w:lineRule="auto"/>
              <w:jc w:val="right"/>
              <w:rPr>
                <w:b/>
                <w:bCs/>
                <w:sz w:val="17"/>
                <w:szCs w:val="17"/>
                <w:lang w:eastAsia="ar-SA"/>
              </w:rPr>
            </w:pPr>
            <w:r w:rsidRPr="002C4F7C">
              <w:rPr>
                <w:b/>
                <w:bCs/>
                <w:sz w:val="17"/>
                <w:szCs w:val="17"/>
                <w:lang w:eastAsia="ar-SA"/>
              </w:rPr>
              <w:t>140</w:t>
            </w:r>
          </w:p>
        </w:tc>
        <w:tc>
          <w:tcPr>
            <w:tcW w:w="1320"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w:t>
            </w:r>
          </w:p>
        </w:tc>
        <w:tc>
          <w:tcPr>
            <w:tcW w:w="2206" w:type="dxa"/>
            <w:gridSpan w:val="4"/>
            <w:vMerge/>
            <w:shd w:val="clear" w:color="auto" w:fill="E8E8E8"/>
          </w:tcPr>
          <w:p w:rsidR="00AF0FDB" w:rsidRPr="002C4F7C" w:rsidRDefault="00AF0FDB" w:rsidP="002C4F7C">
            <w:pPr>
              <w:suppressAutoHyphens/>
              <w:snapToGrid w:val="0"/>
              <w:spacing w:before="0" w:after="0" w:line="240" w:lineRule="auto"/>
              <w:rPr>
                <w:b/>
                <w:bCs/>
                <w:sz w:val="17"/>
                <w:szCs w:val="17"/>
                <w:lang w:eastAsia="ar-SA"/>
              </w:rPr>
            </w:pPr>
          </w:p>
        </w:tc>
        <w:tc>
          <w:tcPr>
            <w:tcW w:w="1860" w:type="dxa"/>
            <w:gridSpan w:val="5"/>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inne określone i nie określone</w:t>
            </w: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992"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134" w:type="dxa"/>
            <w:shd w:val="clear" w:color="auto" w:fill="E8E8E8"/>
          </w:tcPr>
          <w:p w:rsidR="00AF0FDB" w:rsidRPr="002C4F7C" w:rsidRDefault="00AF0FDB" w:rsidP="002C4F7C">
            <w:pPr>
              <w:suppressAutoHyphens/>
              <w:spacing w:before="0" w:after="0" w:line="240" w:lineRule="auto"/>
              <w:jc w:val="center"/>
              <w:rPr>
                <w:sz w:val="17"/>
                <w:szCs w:val="17"/>
                <w:lang w:eastAsia="ar-SA"/>
              </w:rPr>
            </w:pPr>
          </w:p>
        </w:tc>
        <w:tc>
          <w:tcPr>
            <w:tcW w:w="1019" w:type="dxa"/>
            <w:gridSpan w:val="2"/>
            <w:shd w:val="clear" w:color="auto" w:fill="E8E8E8"/>
          </w:tcPr>
          <w:p w:rsidR="00AF0FDB" w:rsidRPr="002C4F7C" w:rsidRDefault="00AF0FDB" w:rsidP="002C4F7C">
            <w:pPr>
              <w:suppressAutoHyphens/>
              <w:spacing w:before="0" w:after="0" w:line="240" w:lineRule="auto"/>
              <w:jc w:val="center"/>
              <w:rPr>
                <w:sz w:val="17"/>
                <w:szCs w:val="17"/>
                <w:lang w:eastAsia="ar-SA"/>
              </w:rPr>
            </w:pPr>
          </w:p>
        </w:tc>
      </w:tr>
      <w:tr w:rsidR="00AF0FDB" w:rsidRPr="0091115B">
        <w:trPr>
          <w:trHeight w:val="374"/>
        </w:trPr>
        <w:tc>
          <w:tcPr>
            <w:tcW w:w="5920" w:type="dxa"/>
            <w:gridSpan w:val="11"/>
            <w:shd w:val="clear" w:color="auto" w:fill="E8E8E8"/>
          </w:tcPr>
          <w:p w:rsidR="00AF0FDB" w:rsidRPr="002C4F7C" w:rsidRDefault="00AF0FDB" w:rsidP="002C4F7C">
            <w:pPr>
              <w:suppressAutoHyphens/>
              <w:spacing w:before="0" w:after="0" w:line="240" w:lineRule="auto"/>
              <w:rPr>
                <w:b/>
                <w:bCs/>
                <w:sz w:val="22"/>
                <w:szCs w:val="22"/>
                <w:lang w:eastAsia="ar-SA"/>
              </w:rPr>
            </w:pPr>
            <w:r w:rsidRPr="002C4F7C">
              <w:rPr>
                <w:b/>
                <w:bCs/>
                <w:sz w:val="17"/>
                <w:szCs w:val="17"/>
                <w:lang w:eastAsia="ar-SA"/>
              </w:rPr>
              <w:t>Suma kontrolna</w:t>
            </w:r>
          </w:p>
        </w:tc>
        <w:tc>
          <w:tcPr>
            <w:tcW w:w="1134"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12103</w:t>
            </w:r>
          </w:p>
        </w:tc>
        <w:tc>
          <w:tcPr>
            <w:tcW w:w="992" w:type="dxa"/>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1319,7</w:t>
            </w:r>
          </w:p>
        </w:tc>
        <w:tc>
          <w:tcPr>
            <w:tcW w:w="1134" w:type="dxa"/>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12159</w:t>
            </w:r>
          </w:p>
        </w:tc>
        <w:tc>
          <w:tcPr>
            <w:tcW w:w="1019" w:type="dxa"/>
            <w:gridSpan w:val="2"/>
            <w:shd w:val="clear" w:color="auto" w:fill="E8E8E8"/>
          </w:tcPr>
          <w:p w:rsidR="00AF0FDB" w:rsidRPr="002C4F7C" w:rsidRDefault="00AF0FDB" w:rsidP="002C4F7C">
            <w:pPr>
              <w:suppressAutoHyphens/>
              <w:spacing w:before="0" w:after="0" w:line="240" w:lineRule="auto"/>
              <w:jc w:val="center"/>
              <w:rPr>
                <w:b/>
                <w:bCs/>
                <w:sz w:val="17"/>
                <w:szCs w:val="17"/>
                <w:lang w:eastAsia="ar-SA"/>
              </w:rPr>
            </w:pPr>
            <w:r w:rsidRPr="002C4F7C">
              <w:rPr>
                <w:b/>
                <w:bCs/>
                <w:sz w:val="17"/>
                <w:szCs w:val="17"/>
                <w:lang w:eastAsia="ar-SA"/>
              </w:rPr>
              <w:t>1316,9</w:t>
            </w:r>
          </w:p>
        </w:tc>
      </w:tr>
    </w:tbl>
    <w:p w:rsidR="00AF0FDB" w:rsidRPr="00A52ED7" w:rsidRDefault="00AF0FDB" w:rsidP="002C1132">
      <w:pPr>
        <w:spacing w:before="0"/>
        <w:rPr>
          <w:sz w:val="16"/>
          <w:szCs w:val="16"/>
        </w:rPr>
      </w:pPr>
      <w:hyperlink r:id="rId11" w:history="1">
        <w:r w:rsidRPr="00A52ED7">
          <w:rPr>
            <w:rStyle w:val="Hyperlink"/>
            <w:color w:val="auto"/>
            <w:sz w:val="16"/>
            <w:szCs w:val="16"/>
          </w:rPr>
          <w:t>www.pzh.gov.pl</w:t>
        </w:r>
      </w:hyperlink>
      <w:r w:rsidRPr="00A52ED7">
        <w:rPr>
          <w:sz w:val="16"/>
          <w:szCs w:val="16"/>
        </w:rPr>
        <w:t xml:space="preserve"> meldunki epidemiologiczne</w:t>
      </w: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Default="00AF0FDB" w:rsidP="002C1132">
      <w:pPr>
        <w:spacing w:before="0"/>
        <w:rPr>
          <w:sz w:val="16"/>
          <w:szCs w:val="16"/>
        </w:rPr>
      </w:pPr>
    </w:p>
    <w:p w:rsidR="00AF0FDB" w:rsidRPr="002C1132" w:rsidRDefault="00AF0FDB" w:rsidP="002C1132">
      <w:pPr>
        <w:spacing w:before="0"/>
        <w:rPr>
          <w:sz w:val="16"/>
          <w:szCs w:val="16"/>
        </w:rPr>
      </w:pPr>
    </w:p>
    <w:p w:rsidR="00AF0FDB" w:rsidRPr="001C2774" w:rsidRDefault="00AF0FDB" w:rsidP="001C2774">
      <w:pPr>
        <w:pStyle w:val="Heading1"/>
        <w:rPr>
          <w:rFonts w:ascii="Times New Roman" w:hAnsi="Times New Roman" w:cs="Times New Roman"/>
          <w:sz w:val="24"/>
          <w:szCs w:val="24"/>
        </w:rPr>
      </w:pPr>
      <w:bookmarkStart w:id="316" w:name="_Toc938865"/>
      <w:r w:rsidRPr="001C2774">
        <w:rPr>
          <w:rFonts w:ascii="Times New Roman" w:hAnsi="Times New Roman" w:cs="Times New Roman"/>
          <w:sz w:val="24"/>
          <w:szCs w:val="24"/>
        </w:rPr>
        <w:t>Choroby, szerzące się drogą pokarmową</w:t>
      </w:r>
      <w:bookmarkEnd w:id="316"/>
    </w:p>
    <w:p w:rsidR="00AF0FDB" w:rsidRPr="00BD72A5" w:rsidRDefault="00AF0FDB" w:rsidP="00642C07">
      <w:pPr>
        <w:spacing w:after="0"/>
        <w:jc w:val="both"/>
        <w:rPr>
          <w:b/>
          <w:bCs/>
          <w:lang w:eastAsia="en-US"/>
        </w:rPr>
      </w:pPr>
      <w:r w:rsidRPr="00BD72A5">
        <w:rPr>
          <w:b/>
          <w:bCs/>
        </w:rPr>
        <w:t>Dur brzuszny i dury rzekome</w:t>
      </w:r>
    </w:p>
    <w:p w:rsidR="00AF0FDB" w:rsidRDefault="00AF0FDB" w:rsidP="00642C07">
      <w:pPr>
        <w:spacing w:after="0"/>
        <w:jc w:val="both"/>
      </w:pPr>
      <w:r>
        <w:t>W 2018 roku nie odnotowano zachorowań na dur brzuszny i dury rzekome. Ostatni przypadek zarejestrowano w 2000 roku.</w:t>
      </w:r>
    </w:p>
    <w:p w:rsidR="00AF0FDB" w:rsidRPr="00BD72A5" w:rsidRDefault="00AF0FDB" w:rsidP="00642C07">
      <w:pPr>
        <w:spacing w:after="0"/>
        <w:jc w:val="both"/>
        <w:rPr>
          <w:b/>
          <w:bCs/>
        </w:rPr>
      </w:pPr>
      <w:r w:rsidRPr="00BD72A5">
        <w:rPr>
          <w:b/>
          <w:bCs/>
        </w:rPr>
        <w:t>Czerwonka</w:t>
      </w:r>
    </w:p>
    <w:p w:rsidR="00AF0FDB" w:rsidRPr="0061420D" w:rsidRDefault="00AF0FDB" w:rsidP="00945BAA">
      <w:pPr>
        <w:spacing w:after="0"/>
        <w:jc w:val="both"/>
      </w:pPr>
      <w:r w:rsidRPr="0061420D">
        <w:t xml:space="preserve">W 2018 roku odnotowano 21 przypadków zachorowania na czerwonkę (wsp. zap. 2,3/100000) z czego tylko jeden przypadek został wykazany jako potwierdzony. Zachorowanie zostało potwierdzone badaniem bakteriologicznym kału – wyhodowano pałeczki </w:t>
      </w:r>
      <w:r w:rsidRPr="0061420D">
        <w:rPr>
          <w:i/>
          <w:iCs/>
        </w:rPr>
        <w:t>Shigella sonnei</w:t>
      </w:r>
      <w:r w:rsidRPr="0061420D">
        <w:t>. Pozostałe zachorowania to przypadki prawdopodobne, które są powiązane epidemiologicznie</w:t>
      </w:r>
      <w:r>
        <w:t xml:space="preserve">. Wszystkie wystąpiły w </w:t>
      </w:r>
      <w:r w:rsidRPr="0061420D">
        <w:t>2 ogniska</w:t>
      </w:r>
      <w:r>
        <w:t>ch</w:t>
      </w:r>
      <w:r w:rsidRPr="0061420D">
        <w:t>: 19- i 2-osobow</w:t>
      </w:r>
      <w:r>
        <w:t xml:space="preserve">ym </w:t>
      </w:r>
      <w:r w:rsidRPr="0061420D">
        <w:t xml:space="preserve">podczas pobytów na wakacjach w Albanii oraz w Maroku. </w:t>
      </w:r>
    </w:p>
    <w:p w:rsidR="00AF0FDB" w:rsidRPr="0061420D" w:rsidRDefault="00AF0FDB" w:rsidP="00945BAA">
      <w:pPr>
        <w:spacing w:after="0"/>
        <w:jc w:val="both"/>
      </w:pPr>
      <w:r w:rsidRPr="0061420D">
        <w:t>W 2017 roku odnotowano 3 przypadki zachorowania na czerwonkę (wsp. zap. 0,3/100000) niepowiązane epidemiologicznie</w:t>
      </w:r>
      <w:r w:rsidRPr="0061420D">
        <w:rPr>
          <w:b/>
          <w:bCs/>
        </w:rPr>
        <w:t>.</w:t>
      </w:r>
      <w:r w:rsidRPr="0061420D">
        <w:t xml:space="preserve"> </w:t>
      </w:r>
    </w:p>
    <w:p w:rsidR="00AF0FDB" w:rsidRPr="00BD72A5" w:rsidRDefault="00AF0FDB" w:rsidP="00642C07">
      <w:pPr>
        <w:spacing w:after="0"/>
        <w:jc w:val="both"/>
        <w:rPr>
          <w:b/>
          <w:bCs/>
        </w:rPr>
      </w:pPr>
      <w:r w:rsidRPr="00BD72A5">
        <w:rPr>
          <w:b/>
          <w:bCs/>
        </w:rPr>
        <w:t xml:space="preserve">Zatrucia pokarmowe pałeczką </w:t>
      </w:r>
      <w:r w:rsidRPr="00BD72A5">
        <w:rPr>
          <w:b/>
          <w:bCs/>
          <w:i/>
          <w:iCs/>
        </w:rPr>
        <w:t>Salmonella</w:t>
      </w:r>
    </w:p>
    <w:p w:rsidR="00AF0FDB" w:rsidRPr="0061420D" w:rsidRDefault="00AF0FDB" w:rsidP="002C0978">
      <w:pPr>
        <w:spacing w:after="0"/>
        <w:jc w:val="both"/>
      </w:pPr>
      <w:bookmarkStart w:id="317" w:name="_Hlk341971"/>
      <w:r w:rsidRPr="0061420D">
        <w:t>W roku 2018 zarejestrowano 15</w:t>
      </w:r>
      <w:r>
        <w:t xml:space="preserve">6 </w:t>
      </w:r>
      <w:r w:rsidRPr="0061420D">
        <w:t xml:space="preserve">przypadków zatruć pokarmowych wywołanych przez pałeczkę </w:t>
      </w:r>
      <w:r w:rsidRPr="00127E1A">
        <w:rPr>
          <w:i/>
          <w:iCs/>
        </w:rPr>
        <w:t>Salmonella</w:t>
      </w:r>
      <w:r w:rsidRPr="0061420D">
        <w:t xml:space="preserve"> </w:t>
      </w:r>
      <w:r>
        <w:t xml:space="preserve">spp. </w:t>
      </w:r>
      <w:r w:rsidRPr="0061420D">
        <w:t xml:space="preserve">(wsp. zap. </w:t>
      </w:r>
      <w:r>
        <w:t>16,9</w:t>
      </w:r>
      <w:r w:rsidRPr="0061420D">
        <w:t xml:space="preserve">/100000) z czego 76 przypadków zarejestrowano jako prawdopodobne. Liczba zachorowań w porównaniu do roku ubiegłego wzrosła </w:t>
      </w:r>
      <w:r>
        <w:br/>
      </w:r>
      <w:r w:rsidRPr="0061420D">
        <w:t>o 25,6% tj. o 3</w:t>
      </w:r>
      <w:r>
        <w:t>1 przypadków</w:t>
      </w:r>
      <w:r w:rsidRPr="0061420D">
        <w:t xml:space="preserve"> (125 zachorowań, wsp. zap. 13,6/100000). Przeważały zachorowania wywołane pał. </w:t>
      </w:r>
      <w:r w:rsidRPr="0061420D">
        <w:rPr>
          <w:i/>
          <w:iCs/>
        </w:rPr>
        <w:t>Salmonella</w:t>
      </w:r>
      <w:r w:rsidRPr="0061420D">
        <w:t xml:space="preserve"> Enteritidis (8</w:t>
      </w:r>
      <w:r>
        <w:t>1</w:t>
      </w:r>
      <w:r w:rsidRPr="0061420D">
        <w:t xml:space="preserve"> przypadk</w:t>
      </w:r>
      <w:r>
        <w:t>ów</w:t>
      </w:r>
      <w:r w:rsidRPr="0061420D">
        <w:t>), stanowiące 5</w:t>
      </w:r>
      <w:r>
        <w:t>1</w:t>
      </w:r>
      <w:r w:rsidRPr="0061420D">
        <w:t>,</w:t>
      </w:r>
      <w:r>
        <w:t>9</w:t>
      </w:r>
      <w:r w:rsidRPr="0061420D">
        <w:t>% wszystkich zachorowań. Podobnie jak w poprzednich latach największą liczbę przypadków zarejestrowano w przedziale wiekowym 0-4 lata tj. 8</w:t>
      </w:r>
      <w:r>
        <w:t>7</w:t>
      </w:r>
      <w:r w:rsidRPr="0061420D">
        <w:t xml:space="preserve"> przypadków (wsp. zap. 16</w:t>
      </w:r>
      <w:r>
        <w:t>0</w:t>
      </w:r>
      <w:r w:rsidRPr="0061420D">
        <w:t>,</w:t>
      </w:r>
      <w:r>
        <w:t>1</w:t>
      </w:r>
      <w:r w:rsidRPr="0061420D">
        <w:t>/100000)), co stanowi 5</w:t>
      </w:r>
      <w:r>
        <w:t>5</w:t>
      </w:r>
      <w:r w:rsidRPr="0061420D">
        <w:t>,</w:t>
      </w:r>
      <w:r>
        <w:t>8</w:t>
      </w:r>
      <w:r w:rsidRPr="0061420D">
        <w:t>% wszystkich zachorowań. Wśród zgłoszonych 15</w:t>
      </w:r>
      <w:r>
        <w:t>6</w:t>
      </w:r>
      <w:r w:rsidRPr="0061420D">
        <w:t xml:space="preserve"> przypadków 4</w:t>
      </w:r>
      <w:r>
        <w:t>3</w:t>
      </w:r>
      <w:r w:rsidRPr="0061420D">
        <w:t xml:space="preserve"> (</w:t>
      </w:r>
      <w:r>
        <w:t>27,6</w:t>
      </w:r>
      <w:r w:rsidRPr="0061420D">
        <w:t xml:space="preserve">%) wymagały hospitalizacji.  </w:t>
      </w:r>
    </w:p>
    <w:bookmarkEnd w:id="317"/>
    <w:p w:rsidR="00AF0FDB" w:rsidRDefault="00AF0FDB" w:rsidP="00642C07">
      <w:pPr>
        <w:spacing w:after="0"/>
        <w:jc w:val="both"/>
        <w:rPr>
          <w:rFonts w:ascii="Arial" w:hAnsi="Arial" w:cs="Arial"/>
          <w:b/>
          <w:bCs/>
          <w:u w:val="single"/>
        </w:rPr>
      </w:pPr>
    </w:p>
    <w:p w:rsidR="00AF0FDB" w:rsidRDefault="00AF0FDB" w:rsidP="00642C07">
      <w:pPr>
        <w:spacing w:after="0"/>
        <w:jc w:val="both"/>
        <w:rPr>
          <w:rFonts w:ascii="Arial" w:hAnsi="Arial" w:cs="Arial"/>
          <w:b/>
          <w:bCs/>
          <w:u w:val="single"/>
        </w:rPr>
      </w:pPr>
    </w:p>
    <w:p w:rsidR="00AF0FDB" w:rsidRDefault="00AF0FDB" w:rsidP="00642C07">
      <w:pPr>
        <w:spacing w:after="0"/>
        <w:jc w:val="both"/>
        <w:rPr>
          <w:rFonts w:ascii="Arial" w:hAnsi="Arial" w:cs="Arial"/>
          <w:b/>
          <w:bCs/>
          <w:u w:val="single"/>
        </w:rPr>
      </w:pPr>
    </w:p>
    <w:p w:rsidR="00AF0FDB" w:rsidRDefault="00AF0FDB" w:rsidP="00642C07">
      <w:pPr>
        <w:spacing w:after="0"/>
        <w:jc w:val="both"/>
        <w:rPr>
          <w:rFonts w:ascii="Arial" w:hAnsi="Arial" w:cs="Arial"/>
          <w:b/>
          <w:bCs/>
        </w:rPr>
      </w:pPr>
    </w:p>
    <w:p w:rsidR="00AF0FDB" w:rsidRPr="005C14E7" w:rsidRDefault="00AF0FDB" w:rsidP="00642C07">
      <w:pPr>
        <w:spacing w:after="0"/>
        <w:jc w:val="both"/>
      </w:pPr>
      <w:r w:rsidRPr="005C14E7">
        <w:rPr>
          <w:b/>
          <w:bCs/>
        </w:rPr>
        <w:t>Zatrucia pokarmowe enterotoksyną gronkowcową</w:t>
      </w:r>
      <w:r w:rsidRPr="005C14E7">
        <w:tab/>
      </w:r>
    </w:p>
    <w:p w:rsidR="00AF0FDB" w:rsidRPr="00840EA4" w:rsidRDefault="00AF0FDB" w:rsidP="00840EA4">
      <w:pPr>
        <w:tabs>
          <w:tab w:val="left" w:pos="7757"/>
        </w:tabs>
        <w:spacing w:after="0"/>
        <w:jc w:val="both"/>
      </w:pPr>
      <w:r w:rsidRPr="0061420D">
        <w:t xml:space="preserve">W roku sprawozdawczym 2018 nie odnotowano zatruć pokarmowych wywołanych enterotoksyną gronkowcową. Ostatni przypadek zatrucia pokarmowego z powodu zakażenia </w:t>
      </w:r>
      <w:r w:rsidRPr="0061420D">
        <w:rPr>
          <w:i/>
          <w:iCs/>
        </w:rPr>
        <w:t>Staphylococcus aureus</w:t>
      </w:r>
      <w:r>
        <w:t xml:space="preserve"> zarejestrowano w roku 2015. </w:t>
      </w:r>
    </w:p>
    <w:p w:rsidR="00AF0FDB" w:rsidRPr="005C14E7" w:rsidRDefault="00AF0FDB" w:rsidP="00642C07">
      <w:pPr>
        <w:tabs>
          <w:tab w:val="left" w:pos="7757"/>
        </w:tabs>
        <w:spacing w:after="0"/>
        <w:jc w:val="both"/>
        <w:rPr>
          <w:b/>
          <w:bCs/>
        </w:rPr>
      </w:pPr>
      <w:r w:rsidRPr="005C14E7">
        <w:rPr>
          <w:b/>
          <w:bCs/>
        </w:rPr>
        <w:t>Zatrucia pokarmowe toksyną botulinową</w:t>
      </w:r>
    </w:p>
    <w:p w:rsidR="00AF0FDB" w:rsidRPr="005C14E7" w:rsidRDefault="00AF0FDB" w:rsidP="00BC4F2B">
      <w:pPr>
        <w:spacing w:after="0"/>
        <w:jc w:val="both"/>
      </w:pPr>
      <w:r w:rsidRPr="008C2D54">
        <w:t>W 2018 roku nie zarejestrowano zatruć toksyną botulinową. Ostatnie zachorowania wywołane toksyną jadu kiełbasianego zarejestrowano w 2012 roku i dotyczyły dwóch przypadków nie</w:t>
      </w:r>
      <w:r>
        <w:t xml:space="preserve">powiązanych epidemiologicznie. </w:t>
      </w:r>
    </w:p>
    <w:p w:rsidR="00AF0FDB" w:rsidRPr="005C14E7" w:rsidRDefault="00AF0FDB" w:rsidP="00642C07">
      <w:pPr>
        <w:spacing w:after="0"/>
        <w:jc w:val="both"/>
        <w:rPr>
          <w:b/>
          <w:bCs/>
        </w:rPr>
      </w:pPr>
      <w:r w:rsidRPr="005C14E7">
        <w:rPr>
          <w:b/>
          <w:bCs/>
        </w:rPr>
        <w:t>Zatrucia grzybami</w:t>
      </w:r>
    </w:p>
    <w:p w:rsidR="00AF0FDB" w:rsidRPr="008C2D54" w:rsidRDefault="00AF0FDB" w:rsidP="00BC4F2B">
      <w:pPr>
        <w:spacing w:after="0"/>
        <w:jc w:val="both"/>
      </w:pPr>
      <w:r w:rsidRPr="008C2D54">
        <w:t xml:space="preserve">W 2018 roku nie odnotowano zatruć grzybami. Ostatni przypadek zatrucia muchomorem </w:t>
      </w:r>
      <w:r w:rsidRPr="008C2D54">
        <w:br/>
        <w:t>sromotnikowym zarejestrowano w 2010 roku.</w:t>
      </w:r>
    </w:p>
    <w:p w:rsidR="00AF0FDB" w:rsidRPr="005C14E7" w:rsidRDefault="00AF0FDB" w:rsidP="00642C07">
      <w:pPr>
        <w:spacing w:after="120"/>
        <w:jc w:val="both"/>
        <w:rPr>
          <w:sz w:val="22"/>
          <w:szCs w:val="22"/>
        </w:rPr>
      </w:pPr>
      <w:r w:rsidRPr="005C14E7">
        <w:rPr>
          <w:b/>
          <w:bCs/>
        </w:rPr>
        <w:t>Jersinioza</w:t>
      </w:r>
    </w:p>
    <w:p w:rsidR="00AF0FDB" w:rsidRPr="008C2D54" w:rsidRDefault="00AF0FDB" w:rsidP="00EE55F8">
      <w:pPr>
        <w:spacing w:after="0"/>
        <w:jc w:val="both"/>
      </w:pPr>
      <w:r w:rsidRPr="008C2D54">
        <w:t xml:space="preserve">W 2018 roku odnotowano 3 zachorowania na jersiniozę niepowiązane epidemiologicznie (wsp. zap. 0,32/100000), w tym jedno zachorowanie na jersiniozę pozajelitową. Wszystkie 3 zachorowania były wywołane przez </w:t>
      </w:r>
      <w:r w:rsidRPr="008C2D54">
        <w:rPr>
          <w:i/>
          <w:iCs/>
        </w:rPr>
        <w:t>Yersinia enterocolitica</w:t>
      </w:r>
      <w:r w:rsidRPr="008C2D54">
        <w:t xml:space="preserve">. Nastąpił wzrost zachorowań w porównaniu do roku ubiegłego, w którym nie odnotowano zachorowań na jersiniozę. </w:t>
      </w:r>
    </w:p>
    <w:p w:rsidR="00AF0FDB" w:rsidRPr="005C14E7" w:rsidRDefault="00AF0FDB" w:rsidP="00642C07">
      <w:pPr>
        <w:spacing w:after="0"/>
        <w:jc w:val="both"/>
        <w:rPr>
          <w:b/>
          <w:bCs/>
        </w:rPr>
      </w:pPr>
      <w:r w:rsidRPr="005C14E7">
        <w:rPr>
          <w:b/>
          <w:bCs/>
        </w:rPr>
        <w:t>Wirusowe zapalenie wątroby typu A</w:t>
      </w:r>
    </w:p>
    <w:p w:rsidR="00AF0FDB" w:rsidRPr="008C2D54" w:rsidRDefault="00AF0FDB" w:rsidP="00B77221">
      <w:pPr>
        <w:spacing w:before="0" w:after="0"/>
        <w:jc w:val="both"/>
      </w:pPr>
      <w:r w:rsidRPr="008C2D54">
        <w:t>W 2018 r. zarejestrowano 21 przypadków zachorowań na wzw typu A (wsp. zap. 2,3/100000) co stanowi spadek zachorowań o 288 przypadków w porównaniu do 2017 roku, gdzie zgłoszono 309 przypadków zachorowań na wzw typu A (wsp. zap. 33,7/100000). Hospitalizowanych było 17 chorych. Wszystkie przypadki zachorowań były potwierdzone badaniami serologicznymi w kierunku przeciwciał a</w:t>
      </w:r>
      <w:r>
        <w:t>nty</w:t>
      </w:r>
      <w:r w:rsidRPr="008C2D54">
        <w:t>-HAV w klasie IgM. Odnotowano 1 zgon mężczyzny lat 48. Zachorowało 17 mieszkańców miast i 4 mieszkańców wsi. Zachorowania na wirusowe zapalenie wątroby typu A w 15 przypadkach (71,4%)  dotyczą mężczyzn, a w 6 przypadkach kobiet (28,6%). Najwięcej zachorowań na wzw typu A w 2018 r. zarejestrowano w grupie wiekowej 20-29 lat – 9 przypadków, co stanowi 42,8% zachorowań.</w:t>
      </w:r>
    </w:p>
    <w:p w:rsidR="00AF0FDB" w:rsidRDefault="00AF0FDB" w:rsidP="00B77221">
      <w:pPr>
        <w:spacing w:before="0" w:after="0"/>
        <w:jc w:val="both"/>
      </w:pPr>
      <w:r w:rsidRPr="008C2D54">
        <w:t>Żadna z chorych osób nie była szczepiona przeciwko wiruso</w:t>
      </w:r>
      <w:r>
        <w:t xml:space="preserve">wemu zapaleniu wątroby typu A. </w:t>
      </w:r>
    </w:p>
    <w:p w:rsidR="00AF0FDB" w:rsidRDefault="00AF0FDB" w:rsidP="00EE55F8">
      <w:pPr>
        <w:spacing w:after="0"/>
        <w:jc w:val="both"/>
      </w:pPr>
    </w:p>
    <w:p w:rsidR="00AF0FDB" w:rsidRPr="008C2D54" w:rsidRDefault="00AF0FDB" w:rsidP="00EE55F8">
      <w:pPr>
        <w:spacing w:after="0"/>
        <w:jc w:val="both"/>
      </w:pPr>
      <w:r>
        <w:t xml:space="preserve">Dwa z ww. zachorowań wystąpiły w </w:t>
      </w:r>
      <w:r w:rsidRPr="008C2D54">
        <w:t>2-osobow</w:t>
      </w:r>
      <w:r>
        <w:t xml:space="preserve">ym </w:t>
      </w:r>
      <w:r w:rsidRPr="008C2D54">
        <w:t>ognisk</w:t>
      </w:r>
      <w:r>
        <w:t>u</w:t>
      </w:r>
      <w:r w:rsidRPr="008C2D54">
        <w:t xml:space="preserve"> </w:t>
      </w:r>
      <w:r>
        <w:t>bowiem</w:t>
      </w:r>
      <w:r w:rsidRPr="008C2D54">
        <w:t xml:space="preserve"> dotycz</w:t>
      </w:r>
      <w:r>
        <w:t>yły</w:t>
      </w:r>
      <w:r w:rsidRPr="008C2D54">
        <w:t xml:space="preserve"> </w:t>
      </w:r>
      <w:r>
        <w:t xml:space="preserve">osób z </w:t>
      </w:r>
      <w:r w:rsidRPr="008C2D54">
        <w:t xml:space="preserve">tej samej szkoły podstawowej </w:t>
      </w:r>
      <w:r>
        <w:t>(</w:t>
      </w:r>
      <w:r w:rsidRPr="008C2D54">
        <w:t>nauczyciela i 14-letniej uczennicy</w:t>
      </w:r>
      <w:r>
        <w:t>)</w:t>
      </w:r>
      <w:r w:rsidRPr="008C2D54">
        <w:t xml:space="preserve">. Źródła zakażenia nie ustalono. </w:t>
      </w:r>
      <w:r w:rsidRPr="00A62AD8">
        <w:t>Jeden z przypadków dotyczył ogniska wzw typu A zarejestrowanego w 2017 r., pozostałych 1</w:t>
      </w:r>
      <w:r>
        <w:t>9</w:t>
      </w:r>
      <w:r w:rsidRPr="00A62AD8">
        <w:t xml:space="preserve"> zachorowań było sporadycznych. Zarejestrowano jeden przypadek importowany 29-letniego mężczyzny, który przebywał w Egipcie.</w:t>
      </w:r>
    </w:p>
    <w:p w:rsidR="00AF0FDB" w:rsidRPr="005C14E7" w:rsidRDefault="00AF0FDB" w:rsidP="00642C07">
      <w:pPr>
        <w:spacing w:after="0"/>
        <w:jc w:val="both"/>
        <w:rPr>
          <w:b/>
          <w:bCs/>
        </w:rPr>
      </w:pPr>
      <w:r w:rsidRPr="005C14E7">
        <w:rPr>
          <w:b/>
          <w:bCs/>
        </w:rPr>
        <w:t>Biegunki dzieci do lat 2</w:t>
      </w:r>
    </w:p>
    <w:p w:rsidR="00AF0FDB" w:rsidRDefault="00AF0FDB" w:rsidP="009B7F53">
      <w:pPr>
        <w:spacing w:after="0"/>
        <w:jc w:val="both"/>
      </w:pPr>
      <w:r w:rsidRPr="008C2D54">
        <w:t xml:space="preserve">W 2018 roku zarejestrowano 1450 przypadków biegunek u dzieci do 2 lat </w:t>
      </w:r>
      <w:r w:rsidRPr="008C2D54">
        <w:br/>
        <w:t xml:space="preserve">(wsp. zap. 6356,0/100000), co stanowi wzrost zachorowań o 231 przypadków </w:t>
      </w:r>
      <w:r>
        <w:br/>
      </w:r>
      <w:r w:rsidRPr="008C2D54">
        <w:t xml:space="preserve">w porównaniu z rokiem 2017, gdzie zgłoszono 1219 zachorowań (wsp. zap. 6250,0/100000). </w:t>
      </w:r>
    </w:p>
    <w:p w:rsidR="00AF0FDB" w:rsidRDefault="00AF0FDB" w:rsidP="009B7F53">
      <w:pPr>
        <w:spacing w:after="0"/>
        <w:jc w:val="both"/>
      </w:pPr>
      <w:r w:rsidRPr="008C2D54">
        <w:t xml:space="preserve">U 879 dzieci (60,6% wszystkich zgłoszonych zachorowań), przeprowadzono diagnostykę laboratoryjną. Wśród zgłoszonych </w:t>
      </w:r>
      <w:r>
        <w:t xml:space="preserve">781 </w:t>
      </w:r>
      <w:r w:rsidRPr="008C2D54">
        <w:t xml:space="preserve">zachorowań </w:t>
      </w:r>
      <w:r>
        <w:t>(</w:t>
      </w:r>
      <w:r w:rsidRPr="008C2D54">
        <w:t>53,9%</w:t>
      </w:r>
      <w:r>
        <w:t>)</w:t>
      </w:r>
      <w:r w:rsidRPr="008C2D54">
        <w:t xml:space="preserve"> dzieci poddanych zostało hospitalizacji, natomiast </w:t>
      </w:r>
      <w:r>
        <w:t>669 (</w:t>
      </w:r>
      <w:r w:rsidRPr="008C2D54">
        <w:t>46,1%</w:t>
      </w:r>
      <w:r>
        <w:t>)</w:t>
      </w:r>
      <w:r w:rsidRPr="008C2D54">
        <w:t xml:space="preserve"> to dzieci leczone ambulatoryjnie. </w:t>
      </w:r>
    </w:p>
    <w:p w:rsidR="00AF0FDB" w:rsidRPr="008C2D54" w:rsidRDefault="00AF0FDB" w:rsidP="009B7F53">
      <w:pPr>
        <w:spacing w:after="0"/>
        <w:jc w:val="both"/>
      </w:pPr>
      <w:r w:rsidRPr="008C2D54">
        <w:t>U większości dzieci do lat 2 z biegunką, które były poddane hospitalizacji stwierdzono etiologię wirusową tj. w 407 przypadkach, co stanowi 52,1%, natomiast etiologię bakteriologiczn</w:t>
      </w:r>
      <w:r>
        <w:t>ą</w:t>
      </w:r>
      <w:r w:rsidRPr="008C2D54">
        <w:t xml:space="preserve"> stwierdzono u 24 dzieci, co stanowi 3,1%.</w:t>
      </w:r>
      <w:r>
        <w:t xml:space="preserve"> </w:t>
      </w:r>
      <w:r w:rsidRPr="008C2D54">
        <w:t xml:space="preserve">Wśród dzieci hospitalizowanych 295 przypadków zachorowań było diagnozowanych równocześnie bakteriologicznie </w:t>
      </w:r>
      <w:r>
        <w:br/>
      </w:r>
      <w:r w:rsidRPr="008C2D54">
        <w:t xml:space="preserve">i wirusologicznie. </w:t>
      </w:r>
    </w:p>
    <w:p w:rsidR="00AF0FDB" w:rsidRPr="008C2D54" w:rsidRDefault="00AF0FDB" w:rsidP="009B7F53">
      <w:pPr>
        <w:spacing w:after="0"/>
        <w:jc w:val="both"/>
      </w:pPr>
      <w:r w:rsidRPr="008C2D54">
        <w:t>Wśród dzieci leczonych ambulatoryjnie 22,1% tj. 148 zostało poddanych diagnostyce laboratoryjnej, w tym 10 przypadków miało wykonane równocześnie badanie bakteriologiczne</w:t>
      </w:r>
      <w:r>
        <w:t xml:space="preserve"> </w:t>
      </w:r>
      <w:r w:rsidRPr="008C2D54">
        <w:t xml:space="preserve">i wirusologiczne. Etiologię wirusową stwierdzono w 128 przypadkach, a bakteryjną w 8 przypadkach. U 521 dzieci do lat 2 z biegunką leczonych ambulatoryjnie nie wykonano badań laboratoryjnych. </w:t>
      </w:r>
    </w:p>
    <w:p w:rsidR="00AF0FDB" w:rsidRDefault="00AF0FDB" w:rsidP="00642C07">
      <w:pPr>
        <w:spacing w:after="0"/>
        <w:ind w:firstLine="708"/>
        <w:jc w:val="both"/>
        <w:rPr>
          <w:color w:val="2E74B5"/>
        </w:rPr>
      </w:pPr>
    </w:p>
    <w:p w:rsidR="00AF0FDB" w:rsidRDefault="00AF0FDB" w:rsidP="00642C07">
      <w:pPr>
        <w:spacing w:after="0"/>
        <w:ind w:firstLine="708"/>
        <w:jc w:val="both"/>
        <w:rPr>
          <w:color w:val="2E74B5"/>
        </w:rPr>
      </w:pPr>
    </w:p>
    <w:p w:rsidR="00AF0FDB" w:rsidRDefault="00AF0FDB" w:rsidP="00642C07">
      <w:pPr>
        <w:spacing w:after="0"/>
        <w:ind w:firstLine="708"/>
        <w:jc w:val="both"/>
        <w:rPr>
          <w:color w:val="2E74B5"/>
        </w:rPr>
      </w:pPr>
    </w:p>
    <w:p w:rsidR="00AF0FDB" w:rsidRDefault="00AF0FDB" w:rsidP="00642C07">
      <w:pPr>
        <w:spacing w:after="0"/>
        <w:ind w:firstLine="708"/>
        <w:jc w:val="both"/>
        <w:rPr>
          <w:color w:val="2E74B5"/>
        </w:rPr>
      </w:pPr>
    </w:p>
    <w:p w:rsidR="00AF0FDB" w:rsidRDefault="00AF0FDB" w:rsidP="00642C07">
      <w:pPr>
        <w:spacing w:after="0"/>
        <w:ind w:firstLine="708"/>
        <w:jc w:val="both"/>
        <w:rPr>
          <w:color w:val="2E74B5"/>
        </w:rPr>
      </w:pPr>
    </w:p>
    <w:p w:rsidR="00AF0FDB" w:rsidRDefault="00AF0FDB" w:rsidP="00642C07">
      <w:pPr>
        <w:spacing w:after="0"/>
        <w:ind w:firstLine="708"/>
        <w:jc w:val="both"/>
        <w:rPr>
          <w:color w:val="2E74B5"/>
        </w:rPr>
      </w:pPr>
    </w:p>
    <w:p w:rsidR="00AF0FDB" w:rsidRPr="00F04D88" w:rsidRDefault="00AF0FDB" w:rsidP="00F04D88">
      <w:pPr>
        <w:pStyle w:val="Heading1"/>
        <w:rPr>
          <w:rFonts w:ascii="Times New Roman" w:hAnsi="Times New Roman" w:cs="Times New Roman"/>
          <w:sz w:val="24"/>
          <w:szCs w:val="24"/>
        </w:rPr>
      </w:pPr>
      <w:bookmarkStart w:id="318" w:name="_Toc938866"/>
      <w:r w:rsidRPr="001C2774">
        <w:rPr>
          <w:rFonts w:ascii="Times New Roman" w:hAnsi="Times New Roman" w:cs="Times New Roman"/>
          <w:sz w:val="24"/>
          <w:szCs w:val="24"/>
        </w:rPr>
        <w:t>Choroby, przeciw którym stosuje się szczepienia ochronne</w:t>
      </w:r>
      <w:bookmarkEnd w:id="318"/>
    </w:p>
    <w:p w:rsidR="00AF0FDB" w:rsidRPr="005C14E7" w:rsidRDefault="00AF0FDB" w:rsidP="00642C07">
      <w:pPr>
        <w:pStyle w:val="ListParagraph"/>
        <w:ind w:left="0"/>
        <w:rPr>
          <w:rFonts w:ascii="Times New Roman" w:hAnsi="Times New Roman" w:cs="Times New Roman"/>
          <w:sz w:val="20"/>
          <w:szCs w:val="20"/>
          <w:lang w:eastAsia="zh-CN"/>
        </w:rPr>
      </w:pPr>
      <w:r>
        <w:rPr>
          <w:rFonts w:ascii="Times New Roman" w:hAnsi="Times New Roman" w:cs="Times New Roman"/>
          <w:b/>
          <w:bCs/>
          <w:sz w:val="20"/>
          <w:szCs w:val="20"/>
        </w:rPr>
        <w:t>Tab. 2</w:t>
      </w:r>
      <w:r w:rsidRPr="00F04D88">
        <w:rPr>
          <w:rFonts w:ascii="Times New Roman" w:hAnsi="Times New Roman" w:cs="Times New Roman"/>
          <w:b/>
          <w:bCs/>
          <w:sz w:val="20"/>
          <w:szCs w:val="20"/>
        </w:rPr>
        <w:t>.</w:t>
      </w:r>
      <w:r w:rsidRPr="005C14E7">
        <w:rPr>
          <w:rFonts w:ascii="Times New Roman" w:hAnsi="Times New Roman" w:cs="Times New Roman"/>
          <w:sz w:val="20"/>
          <w:szCs w:val="20"/>
        </w:rPr>
        <w:t xml:space="preserve"> Zachorowania  na wybrane choroby zakaźne, przeciw którym stosuje się szczepienia ochronne </w:t>
      </w:r>
    </w:p>
    <w:p w:rsidR="00AF0FDB" w:rsidRPr="005C14E7" w:rsidRDefault="00AF0FDB" w:rsidP="00642C07">
      <w:pPr>
        <w:pStyle w:val="ListParagraph"/>
        <w:ind w:hanging="720"/>
        <w:rPr>
          <w:rFonts w:ascii="Times New Roman" w:hAnsi="Times New Roman" w:cs="Times New Roman"/>
          <w:sz w:val="20"/>
          <w:szCs w:val="20"/>
        </w:rPr>
      </w:pPr>
      <w:r w:rsidRPr="005C14E7">
        <w:rPr>
          <w:rFonts w:ascii="Times New Roman" w:hAnsi="Times New Roman" w:cs="Times New Roman"/>
          <w:sz w:val="20"/>
          <w:szCs w:val="20"/>
        </w:rPr>
        <w:t>w powiecie poznańskim w latach 201</w:t>
      </w:r>
      <w:r>
        <w:rPr>
          <w:rFonts w:ascii="Times New Roman" w:hAnsi="Times New Roman" w:cs="Times New Roman"/>
          <w:sz w:val="20"/>
          <w:szCs w:val="20"/>
        </w:rPr>
        <w:t>7</w:t>
      </w:r>
      <w:r w:rsidRPr="005C14E7">
        <w:rPr>
          <w:rFonts w:ascii="Times New Roman" w:hAnsi="Times New Roman" w:cs="Times New Roman"/>
          <w:sz w:val="20"/>
          <w:szCs w:val="20"/>
        </w:rPr>
        <w:t>-201</w:t>
      </w:r>
      <w:r>
        <w:rPr>
          <w:rFonts w:ascii="Times New Roman" w:hAnsi="Times New Roman" w:cs="Times New Roman"/>
          <w:sz w:val="20"/>
          <w:szCs w:val="20"/>
        </w:rPr>
        <w:t>8</w:t>
      </w:r>
      <w:r w:rsidRPr="005C14E7">
        <w:rPr>
          <w:rFonts w:ascii="Times New Roman" w:hAnsi="Times New Roman" w:cs="Times New Roman"/>
          <w:sz w:val="20"/>
          <w:szCs w:val="20"/>
        </w:rPr>
        <w:t>.</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0A0"/>
      </w:tblPr>
      <w:tblGrid>
        <w:gridCol w:w="1783"/>
        <w:gridCol w:w="1796"/>
        <w:gridCol w:w="1853"/>
        <w:gridCol w:w="1797"/>
        <w:gridCol w:w="1854"/>
      </w:tblGrid>
      <w:tr w:rsidR="00AF0FDB">
        <w:tc>
          <w:tcPr>
            <w:tcW w:w="1783" w:type="dxa"/>
            <w:vMerge w:val="restart"/>
            <w:tcBorders>
              <w:bottom w:val="single" w:sz="18" w:space="0" w:color="A5A5A5"/>
            </w:tcBorders>
          </w:tcPr>
          <w:p w:rsidR="00AF0FDB" w:rsidRPr="002C4F7C" w:rsidRDefault="00AF0FDB" w:rsidP="002C4F7C">
            <w:pPr>
              <w:spacing w:after="0" w:line="240" w:lineRule="auto"/>
              <w:jc w:val="center"/>
              <w:rPr>
                <w:b/>
                <w:bCs/>
                <w:sz w:val="20"/>
                <w:szCs w:val="20"/>
              </w:rPr>
            </w:pPr>
          </w:p>
          <w:p w:rsidR="00AF0FDB" w:rsidRPr="002C4F7C" w:rsidRDefault="00AF0FDB" w:rsidP="002C4F7C">
            <w:pPr>
              <w:spacing w:after="0" w:line="240" w:lineRule="auto"/>
              <w:jc w:val="center"/>
              <w:rPr>
                <w:b/>
                <w:bCs/>
                <w:sz w:val="20"/>
                <w:szCs w:val="20"/>
              </w:rPr>
            </w:pPr>
            <w:r w:rsidRPr="002C4F7C">
              <w:rPr>
                <w:b/>
                <w:bCs/>
                <w:sz w:val="20"/>
                <w:szCs w:val="20"/>
              </w:rPr>
              <w:t>Jednostka chorobowa</w:t>
            </w:r>
          </w:p>
        </w:tc>
        <w:tc>
          <w:tcPr>
            <w:tcW w:w="3649" w:type="dxa"/>
            <w:gridSpan w:val="2"/>
            <w:tcBorders>
              <w:bottom w:val="single" w:sz="18" w:space="0" w:color="A5A5A5"/>
            </w:tcBorders>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2017</w:t>
            </w:r>
          </w:p>
        </w:tc>
        <w:tc>
          <w:tcPr>
            <w:tcW w:w="3651" w:type="dxa"/>
            <w:gridSpan w:val="2"/>
            <w:tcBorders>
              <w:bottom w:val="single" w:sz="18" w:space="0" w:color="A5A5A5"/>
            </w:tcBorders>
          </w:tcPr>
          <w:p w:rsidR="00AF0FDB" w:rsidRPr="002C4F7C" w:rsidRDefault="00AF0FDB" w:rsidP="002C4F7C">
            <w:pPr>
              <w:spacing w:after="0" w:line="240" w:lineRule="auto"/>
              <w:jc w:val="center"/>
              <w:rPr>
                <w:b/>
                <w:bCs/>
                <w:sz w:val="20"/>
                <w:szCs w:val="20"/>
              </w:rPr>
            </w:pPr>
            <w:r w:rsidRPr="002C4F7C">
              <w:rPr>
                <w:b/>
                <w:bCs/>
                <w:sz w:val="20"/>
                <w:szCs w:val="20"/>
              </w:rPr>
              <w:t>2018</w:t>
            </w:r>
          </w:p>
        </w:tc>
      </w:tr>
      <w:tr w:rsidR="00AF0FDB">
        <w:tc>
          <w:tcPr>
            <w:tcW w:w="0" w:type="auto"/>
            <w:vMerge/>
            <w:shd w:val="clear" w:color="auto" w:fill="E8E8E8"/>
          </w:tcPr>
          <w:p w:rsidR="00AF0FDB" w:rsidRPr="002C4F7C" w:rsidRDefault="00AF0FDB" w:rsidP="002C4F7C">
            <w:pPr>
              <w:spacing w:after="0" w:line="240" w:lineRule="auto"/>
              <w:rPr>
                <w:b/>
                <w:bCs/>
                <w:sz w:val="20"/>
                <w:szCs w:val="20"/>
                <w:lang w:eastAsia="en-US"/>
              </w:rPr>
            </w:pPr>
          </w:p>
        </w:tc>
        <w:tc>
          <w:tcPr>
            <w:tcW w:w="1796" w:type="dxa"/>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liczba zachorowań</w:t>
            </w:r>
          </w:p>
        </w:tc>
        <w:tc>
          <w:tcPr>
            <w:tcW w:w="1813" w:type="dxa"/>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współczynnik zapadalności</w:t>
            </w:r>
          </w:p>
        </w:tc>
        <w:tc>
          <w:tcPr>
            <w:tcW w:w="1797" w:type="dxa"/>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liczba zachorowań</w:t>
            </w:r>
          </w:p>
        </w:tc>
        <w:tc>
          <w:tcPr>
            <w:tcW w:w="1814" w:type="dxa"/>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współczynnik zapadalności</w:t>
            </w:r>
          </w:p>
        </w:tc>
      </w:tr>
      <w:tr w:rsidR="00AF0FDB">
        <w:tc>
          <w:tcPr>
            <w:tcW w:w="1783" w:type="dxa"/>
          </w:tcPr>
          <w:p w:rsidR="00AF0FDB" w:rsidRPr="002C4F7C" w:rsidRDefault="00AF0FDB" w:rsidP="002C4F7C">
            <w:pPr>
              <w:spacing w:after="0"/>
              <w:rPr>
                <w:b/>
                <w:bCs/>
                <w:sz w:val="20"/>
                <w:szCs w:val="20"/>
              </w:rPr>
            </w:pPr>
            <w:r w:rsidRPr="002C4F7C">
              <w:rPr>
                <w:b/>
                <w:bCs/>
                <w:sz w:val="20"/>
                <w:szCs w:val="20"/>
              </w:rPr>
              <w:t>odra</w:t>
            </w:r>
          </w:p>
        </w:tc>
        <w:tc>
          <w:tcPr>
            <w:tcW w:w="1796" w:type="dxa"/>
            <w:shd w:val="clear" w:color="auto" w:fill="E8E8E8"/>
          </w:tcPr>
          <w:p w:rsidR="00AF0FDB" w:rsidRPr="002C4F7C" w:rsidRDefault="00AF0FDB" w:rsidP="002C4F7C">
            <w:pPr>
              <w:spacing w:after="0"/>
              <w:jc w:val="center"/>
              <w:rPr>
                <w:sz w:val="20"/>
                <w:szCs w:val="20"/>
              </w:rPr>
            </w:pPr>
            <w:r w:rsidRPr="002C4F7C">
              <w:rPr>
                <w:sz w:val="20"/>
                <w:szCs w:val="20"/>
              </w:rPr>
              <w:t>25</w:t>
            </w:r>
          </w:p>
        </w:tc>
        <w:tc>
          <w:tcPr>
            <w:tcW w:w="1813" w:type="dxa"/>
          </w:tcPr>
          <w:p w:rsidR="00AF0FDB" w:rsidRPr="002C4F7C" w:rsidRDefault="00AF0FDB" w:rsidP="002C4F7C">
            <w:pPr>
              <w:spacing w:after="0"/>
              <w:jc w:val="center"/>
              <w:rPr>
                <w:sz w:val="20"/>
                <w:szCs w:val="20"/>
              </w:rPr>
            </w:pPr>
            <w:r w:rsidRPr="002C4F7C">
              <w:rPr>
                <w:sz w:val="20"/>
                <w:szCs w:val="20"/>
              </w:rPr>
              <w:t>2,7</w:t>
            </w:r>
          </w:p>
        </w:tc>
        <w:tc>
          <w:tcPr>
            <w:tcW w:w="1797" w:type="dxa"/>
            <w:shd w:val="clear" w:color="auto" w:fill="E8E8E8"/>
          </w:tcPr>
          <w:p w:rsidR="00AF0FDB" w:rsidRPr="002C4F7C" w:rsidRDefault="00AF0FDB" w:rsidP="002C4F7C">
            <w:pPr>
              <w:spacing w:after="0"/>
              <w:jc w:val="center"/>
              <w:rPr>
                <w:sz w:val="20"/>
                <w:szCs w:val="20"/>
              </w:rPr>
            </w:pPr>
            <w:r w:rsidRPr="002C4F7C">
              <w:rPr>
                <w:sz w:val="20"/>
                <w:szCs w:val="20"/>
              </w:rPr>
              <w:t>15</w:t>
            </w:r>
          </w:p>
        </w:tc>
        <w:tc>
          <w:tcPr>
            <w:tcW w:w="1814" w:type="dxa"/>
          </w:tcPr>
          <w:p w:rsidR="00AF0FDB" w:rsidRPr="002C4F7C" w:rsidRDefault="00AF0FDB" w:rsidP="002C4F7C">
            <w:pPr>
              <w:spacing w:after="0"/>
              <w:jc w:val="center"/>
              <w:rPr>
                <w:sz w:val="20"/>
                <w:szCs w:val="20"/>
              </w:rPr>
            </w:pPr>
            <w:r w:rsidRPr="002C4F7C">
              <w:rPr>
                <w:sz w:val="20"/>
                <w:szCs w:val="20"/>
              </w:rPr>
              <w:t>1,6</w:t>
            </w:r>
          </w:p>
        </w:tc>
      </w:tr>
      <w:tr w:rsidR="00AF0FDB">
        <w:tc>
          <w:tcPr>
            <w:tcW w:w="1783" w:type="dxa"/>
            <w:shd w:val="clear" w:color="auto" w:fill="E8E8E8"/>
          </w:tcPr>
          <w:p w:rsidR="00AF0FDB" w:rsidRPr="002C4F7C" w:rsidRDefault="00AF0FDB" w:rsidP="002C4F7C">
            <w:pPr>
              <w:spacing w:after="0"/>
              <w:rPr>
                <w:b/>
                <w:bCs/>
                <w:sz w:val="20"/>
                <w:szCs w:val="20"/>
              </w:rPr>
            </w:pPr>
            <w:r w:rsidRPr="002C4F7C">
              <w:rPr>
                <w:b/>
                <w:bCs/>
                <w:sz w:val="20"/>
                <w:szCs w:val="20"/>
              </w:rPr>
              <w:t>krztusiec</w:t>
            </w:r>
          </w:p>
        </w:tc>
        <w:tc>
          <w:tcPr>
            <w:tcW w:w="1796" w:type="dxa"/>
            <w:shd w:val="clear" w:color="auto" w:fill="E8E8E8"/>
          </w:tcPr>
          <w:p w:rsidR="00AF0FDB" w:rsidRPr="002C4F7C" w:rsidRDefault="00AF0FDB" w:rsidP="002C4F7C">
            <w:pPr>
              <w:spacing w:after="0"/>
              <w:jc w:val="center"/>
              <w:rPr>
                <w:sz w:val="20"/>
                <w:szCs w:val="20"/>
              </w:rPr>
            </w:pPr>
            <w:r w:rsidRPr="002C4F7C">
              <w:rPr>
                <w:sz w:val="20"/>
                <w:szCs w:val="20"/>
              </w:rPr>
              <w:t>103</w:t>
            </w:r>
          </w:p>
        </w:tc>
        <w:tc>
          <w:tcPr>
            <w:tcW w:w="1813" w:type="dxa"/>
            <w:shd w:val="clear" w:color="auto" w:fill="E8E8E8"/>
          </w:tcPr>
          <w:p w:rsidR="00AF0FDB" w:rsidRPr="002C4F7C" w:rsidRDefault="00AF0FDB" w:rsidP="002C4F7C">
            <w:pPr>
              <w:spacing w:after="0"/>
              <w:jc w:val="center"/>
              <w:rPr>
                <w:sz w:val="20"/>
                <w:szCs w:val="20"/>
              </w:rPr>
            </w:pPr>
            <w:r w:rsidRPr="002C4F7C">
              <w:rPr>
                <w:sz w:val="20"/>
                <w:szCs w:val="20"/>
              </w:rPr>
              <w:t>11,2</w:t>
            </w:r>
          </w:p>
        </w:tc>
        <w:tc>
          <w:tcPr>
            <w:tcW w:w="1797" w:type="dxa"/>
            <w:shd w:val="clear" w:color="auto" w:fill="E8E8E8"/>
          </w:tcPr>
          <w:p w:rsidR="00AF0FDB" w:rsidRPr="002C4F7C" w:rsidRDefault="00AF0FDB" w:rsidP="002C4F7C">
            <w:pPr>
              <w:spacing w:after="0"/>
              <w:jc w:val="center"/>
              <w:rPr>
                <w:sz w:val="20"/>
                <w:szCs w:val="20"/>
              </w:rPr>
            </w:pPr>
            <w:r w:rsidRPr="002C4F7C">
              <w:rPr>
                <w:sz w:val="20"/>
                <w:szCs w:val="20"/>
              </w:rPr>
              <w:t>74</w:t>
            </w:r>
          </w:p>
        </w:tc>
        <w:tc>
          <w:tcPr>
            <w:tcW w:w="1814" w:type="dxa"/>
            <w:shd w:val="clear" w:color="auto" w:fill="E8E8E8"/>
          </w:tcPr>
          <w:p w:rsidR="00AF0FDB" w:rsidRPr="002C4F7C" w:rsidRDefault="00AF0FDB" w:rsidP="002C4F7C">
            <w:pPr>
              <w:spacing w:after="0"/>
              <w:jc w:val="center"/>
              <w:rPr>
                <w:sz w:val="20"/>
                <w:szCs w:val="20"/>
              </w:rPr>
            </w:pPr>
            <w:r w:rsidRPr="002C4F7C">
              <w:rPr>
                <w:sz w:val="20"/>
                <w:szCs w:val="20"/>
              </w:rPr>
              <w:t>8,0</w:t>
            </w:r>
          </w:p>
        </w:tc>
      </w:tr>
      <w:tr w:rsidR="00AF0FDB">
        <w:tc>
          <w:tcPr>
            <w:tcW w:w="1783" w:type="dxa"/>
          </w:tcPr>
          <w:p w:rsidR="00AF0FDB" w:rsidRPr="002C4F7C" w:rsidRDefault="00AF0FDB" w:rsidP="002C4F7C">
            <w:pPr>
              <w:spacing w:after="0"/>
              <w:rPr>
                <w:b/>
                <w:bCs/>
                <w:sz w:val="20"/>
                <w:szCs w:val="20"/>
              </w:rPr>
            </w:pPr>
            <w:bookmarkStart w:id="319" w:name="_Hlk506233557"/>
            <w:r w:rsidRPr="002C4F7C">
              <w:rPr>
                <w:b/>
                <w:bCs/>
                <w:sz w:val="20"/>
                <w:szCs w:val="20"/>
              </w:rPr>
              <w:t>różyczka</w:t>
            </w:r>
          </w:p>
        </w:tc>
        <w:tc>
          <w:tcPr>
            <w:tcW w:w="1796" w:type="dxa"/>
            <w:shd w:val="clear" w:color="auto" w:fill="E8E8E8"/>
          </w:tcPr>
          <w:p w:rsidR="00AF0FDB" w:rsidRPr="002C4F7C" w:rsidRDefault="00AF0FDB" w:rsidP="002C4F7C">
            <w:pPr>
              <w:spacing w:after="0"/>
              <w:jc w:val="center"/>
              <w:rPr>
                <w:sz w:val="20"/>
                <w:szCs w:val="20"/>
              </w:rPr>
            </w:pPr>
            <w:r w:rsidRPr="002C4F7C">
              <w:rPr>
                <w:sz w:val="20"/>
                <w:szCs w:val="20"/>
              </w:rPr>
              <w:t>14</w:t>
            </w:r>
          </w:p>
        </w:tc>
        <w:tc>
          <w:tcPr>
            <w:tcW w:w="1813" w:type="dxa"/>
          </w:tcPr>
          <w:p w:rsidR="00AF0FDB" w:rsidRPr="002C4F7C" w:rsidRDefault="00AF0FDB" w:rsidP="002C4F7C">
            <w:pPr>
              <w:spacing w:after="0"/>
              <w:jc w:val="center"/>
              <w:rPr>
                <w:sz w:val="20"/>
                <w:szCs w:val="20"/>
              </w:rPr>
            </w:pPr>
            <w:r w:rsidRPr="002C4F7C">
              <w:rPr>
                <w:sz w:val="20"/>
                <w:szCs w:val="20"/>
              </w:rPr>
              <w:t>1,5</w:t>
            </w:r>
          </w:p>
        </w:tc>
        <w:tc>
          <w:tcPr>
            <w:tcW w:w="1797" w:type="dxa"/>
            <w:shd w:val="clear" w:color="auto" w:fill="E8E8E8"/>
          </w:tcPr>
          <w:p w:rsidR="00AF0FDB" w:rsidRPr="002C4F7C" w:rsidRDefault="00AF0FDB" w:rsidP="002C4F7C">
            <w:pPr>
              <w:spacing w:after="0"/>
              <w:jc w:val="center"/>
              <w:rPr>
                <w:sz w:val="20"/>
                <w:szCs w:val="20"/>
              </w:rPr>
            </w:pPr>
            <w:r w:rsidRPr="002C4F7C">
              <w:rPr>
                <w:sz w:val="20"/>
                <w:szCs w:val="20"/>
              </w:rPr>
              <w:t>27</w:t>
            </w:r>
          </w:p>
        </w:tc>
        <w:tc>
          <w:tcPr>
            <w:tcW w:w="1814" w:type="dxa"/>
          </w:tcPr>
          <w:p w:rsidR="00AF0FDB" w:rsidRPr="002C4F7C" w:rsidRDefault="00AF0FDB" w:rsidP="002C4F7C">
            <w:pPr>
              <w:spacing w:after="0"/>
              <w:jc w:val="center"/>
              <w:rPr>
                <w:sz w:val="20"/>
                <w:szCs w:val="20"/>
              </w:rPr>
            </w:pPr>
            <w:r w:rsidRPr="002C4F7C">
              <w:rPr>
                <w:sz w:val="20"/>
                <w:szCs w:val="20"/>
              </w:rPr>
              <w:t>2,9</w:t>
            </w:r>
          </w:p>
        </w:tc>
        <w:bookmarkEnd w:id="319"/>
      </w:tr>
      <w:tr w:rsidR="00AF0FDB">
        <w:trPr>
          <w:trHeight w:val="783"/>
        </w:trPr>
        <w:tc>
          <w:tcPr>
            <w:tcW w:w="1783" w:type="dxa"/>
            <w:shd w:val="clear" w:color="auto" w:fill="E8E8E8"/>
          </w:tcPr>
          <w:p w:rsidR="00AF0FDB" w:rsidRPr="002C4F7C" w:rsidRDefault="00AF0FDB" w:rsidP="002C4F7C">
            <w:pPr>
              <w:spacing w:after="0" w:line="240" w:lineRule="auto"/>
              <w:rPr>
                <w:b/>
                <w:bCs/>
                <w:sz w:val="20"/>
                <w:szCs w:val="20"/>
              </w:rPr>
            </w:pPr>
            <w:r w:rsidRPr="002C4F7C">
              <w:rPr>
                <w:b/>
                <w:bCs/>
                <w:sz w:val="20"/>
                <w:szCs w:val="20"/>
              </w:rPr>
              <w:t>nagminne zapalenie przyusznic</w:t>
            </w:r>
          </w:p>
        </w:tc>
        <w:tc>
          <w:tcPr>
            <w:tcW w:w="1796" w:type="dxa"/>
            <w:shd w:val="clear" w:color="auto" w:fill="E8E8E8"/>
          </w:tcPr>
          <w:p w:rsidR="00AF0FDB" w:rsidRPr="002C4F7C" w:rsidRDefault="00AF0FDB" w:rsidP="002C4F7C">
            <w:pPr>
              <w:spacing w:after="0"/>
              <w:jc w:val="center"/>
              <w:rPr>
                <w:sz w:val="20"/>
                <w:szCs w:val="20"/>
              </w:rPr>
            </w:pPr>
            <w:r w:rsidRPr="002C4F7C">
              <w:rPr>
                <w:sz w:val="20"/>
                <w:szCs w:val="20"/>
              </w:rPr>
              <w:t>46</w:t>
            </w:r>
          </w:p>
        </w:tc>
        <w:tc>
          <w:tcPr>
            <w:tcW w:w="1813" w:type="dxa"/>
            <w:shd w:val="clear" w:color="auto" w:fill="E8E8E8"/>
          </w:tcPr>
          <w:p w:rsidR="00AF0FDB" w:rsidRPr="002C4F7C" w:rsidRDefault="00AF0FDB" w:rsidP="002C4F7C">
            <w:pPr>
              <w:spacing w:after="0"/>
              <w:jc w:val="center"/>
              <w:rPr>
                <w:sz w:val="20"/>
                <w:szCs w:val="20"/>
              </w:rPr>
            </w:pPr>
            <w:r w:rsidRPr="002C4F7C">
              <w:rPr>
                <w:sz w:val="20"/>
                <w:szCs w:val="20"/>
              </w:rPr>
              <w:t>5,0</w:t>
            </w:r>
          </w:p>
        </w:tc>
        <w:tc>
          <w:tcPr>
            <w:tcW w:w="1797" w:type="dxa"/>
            <w:shd w:val="clear" w:color="auto" w:fill="E8E8E8"/>
          </w:tcPr>
          <w:p w:rsidR="00AF0FDB" w:rsidRPr="002C4F7C" w:rsidRDefault="00AF0FDB" w:rsidP="002C4F7C">
            <w:pPr>
              <w:spacing w:after="0"/>
              <w:jc w:val="center"/>
              <w:rPr>
                <w:sz w:val="20"/>
                <w:szCs w:val="20"/>
              </w:rPr>
            </w:pPr>
            <w:r w:rsidRPr="002C4F7C">
              <w:rPr>
                <w:sz w:val="20"/>
                <w:szCs w:val="20"/>
              </w:rPr>
              <w:t>45</w:t>
            </w:r>
          </w:p>
        </w:tc>
        <w:tc>
          <w:tcPr>
            <w:tcW w:w="1814" w:type="dxa"/>
            <w:shd w:val="clear" w:color="auto" w:fill="E8E8E8"/>
          </w:tcPr>
          <w:p w:rsidR="00AF0FDB" w:rsidRPr="002C4F7C" w:rsidRDefault="00AF0FDB" w:rsidP="002C4F7C">
            <w:pPr>
              <w:spacing w:after="0"/>
              <w:jc w:val="center"/>
              <w:rPr>
                <w:sz w:val="20"/>
                <w:szCs w:val="20"/>
              </w:rPr>
            </w:pPr>
            <w:r w:rsidRPr="002C4F7C">
              <w:rPr>
                <w:sz w:val="20"/>
                <w:szCs w:val="20"/>
              </w:rPr>
              <w:t>4,9</w:t>
            </w:r>
          </w:p>
        </w:tc>
      </w:tr>
      <w:tr w:rsidR="00AF0FDB">
        <w:tc>
          <w:tcPr>
            <w:tcW w:w="1783" w:type="dxa"/>
          </w:tcPr>
          <w:p w:rsidR="00AF0FDB" w:rsidRPr="002C4F7C" w:rsidRDefault="00AF0FDB" w:rsidP="002C4F7C">
            <w:pPr>
              <w:spacing w:after="0"/>
              <w:rPr>
                <w:b/>
                <w:bCs/>
                <w:sz w:val="20"/>
                <w:szCs w:val="20"/>
              </w:rPr>
            </w:pPr>
            <w:r w:rsidRPr="002C4F7C">
              <w:rPr>
                <w:b/>
                <w:bCs/>
                <w:sz w:val="20"/>
                <w:szCs w:val="20"/>
              </w:rPr>
              <w:t>wzw typu B</w:t>
            </w:r>
          </w:p>
        </w:tc>
        <w:tc>
          <w:tcPr>
            <w:tcW w:w="1796" w:type="dxa"/>
            <w:shd w:val="clear" w:color="auto" w:fill="E8E8E8"/>
          </w:tcPr>
          <w:p w:rsidR="00AF0FDB" w:rsidRPr="002C4F7C" w:rsidRDefault="00AF0FDB" w:rsidP="002C4F7C">
            <w:pPr>
              <w:spacing w:after="0"/>
              <w:jc w:val="center"/>
              <w:rPr>
                <w:sz w:val="20"/>
                <w:szCs w:val="20"/>
              </w:rPr>
            </w:pPr>
            <w:r w:rsidRPr="002C4F7C">
              <w:rPr>
                <w:sz w:val="20"/>
                <w:szCs w:val="20"/>
              </w:rPr>
              <w:t>173</w:t>
            </w:r>
          </w:p>
        </w:tc>
        <w:tc>
          <w:tcPr>
            <w:tcW w:w="1813" w:type="dxa"/>
          </w:tcPr>
          <w:p w:rsidR="00AF0FDB" w:rsidRPr="002C4F7C" w:rsidRDefault="00AF0FDB" w:rsidP="002C4F7C">
            <w:pPr>
              <w:spacing w:after="0"/>
              <w:jc w:val="center"/>
              <w:rPr>
                <w:sz w:val="20"/>
                <w:szCs w:val="20"/>
              </w:rPr>
            </w:pPr>
            <w:r w:rsidRPr="002C4F7C">
              <w:rPr>
                <w:sz w:val="20"/>
                <w:szCs w:val="20"/>
              </w:rPr>
              <w:t>18,9</w:t>
            </w:r>
          </w:p>
        </w:tc>
        <w:tc>
          <w:tcPr>
            <w:tcW w:w="1797" w:type="dxa"/>
            <w:shd w:val="clear" w:color="auto" w:fill="E8E8E8"/>
          </w:tcPr>
          <w:p w:rsidR="00AF0FDB" w:rsidRPr="002C4F7C" w:rsidRDefault="00AF0FDB" w:rsidP="002C4F7C">
            <w:pPr>
              <w:spacing w:after="0"/>
              <w:jc w:val="center"/>
              <w:rPr>
                <w:sz w:val="20"/>
                <w:szCs w:val="20"/>
              </w:rPr>
            </w:pPr>
            <w:r w:rsidRPr="002C4F7C">
              <w:rPr>
                <w:sz w:val="20"/>
                <w:szCs w:val="20"/>
              </w:rPr>
              <w:t>144</w:t>
            </w:r>
          </w:p>
        </w:tc>
        <w:tc>
          <w:tcPr>
            <w:tcW w:w="1814" w:type="dxa"/>
          </w:tcPr>
          <w:p w:rsidR="00AF0FDB" w:rsidRPr="002C4F7C" w:rsidRDefault="00AF0FDB" w:rsidP="002C4F7C">
            <w:pPr>
              <w:spacing w:after="0"/>
              <w:jc w:val="center"/>
              <w:rPr>
                <w:sz w:val="20"/>
                <w:szCs w:val="20"/>
              </w:rPr>
            </w:pPr>
            <w:r w:rsidRPr="002C4F7C">
              <w:rPr>
                <w:sz w:val="20"/>
                <w:szCs w:val="20"/>
              </w:rPr>
              <w:t>15,6</w:t>
            </w:r>
          </w:p>
        </w:tc>
      </w:tr>
      <w:tr w:rsidR="00AF0FDB">
        <w:tc>
          <w:tcPr>
            <w:tcW w:w="1783" w:type="dxa"/>
            <w:shd w:val="clear" w:color="auto" w:fill="E8E8E8"/>
          </w:tcPr>
          <w:p w:rsidR="00AF0FDB" w:rsidRPr="002C4F7C" w:rsidRDefault="00AF0FDB" w:rsidP="002C4F7C">
            <w:pPr>
              <w:spacing w:after="0" w:line="240" w:lineRule="auto"/>
              <w:rPr>
                <w:b/>
                <w:bCs/>
                <w:sz w:val="20"/>
                <w:szCs w:val="20"/>
              </w:rPr>
            </w:pPr>
            <w:r w:rsidRPr="002C4F7C">
              <w:rPr>
                <w:b/>
                <w:bCs/>
                <w:sz w:val="20"/>
                <w:szCs w:val="20"/>
              </w:rPr>
              <w:t>zachorowania</w:t>
            </w:r>
            <w:r w:rsidRPr="002C4F7C">
              <w:rPr>
                <w:b/>
                <w:bCs/>
                <w:sz w:val="20"/>
                <w:szCs w:val="20"/>
              </w:rPr>
              <w:br/>
              <w:t xml:space="preserve">i podejrzenia zachorowań </w:t>
            </w:r>
            <w:r w:rsidRPr="002C4F7C">
              <w:rPr>
                <w:b/>
                <w:bCs/>
                <w:sz w:val="20"/>
                <w:szCs w:val="20"/>
              </w:rPr>
              <w:br/>
              <w:t>na grypę</w:t>
            </w:r>
          </w:p>
        </w:tc>
        <w:tc>
          <w:tcPr>
            <w:tcW w:w="1796" w:type="dxa"/>
            <w:shd w:val="clear" w:color="auto" w:fill="E8E8E8"/>
          </w:tcPr>
          <w:p w:rsidR="00AF0FDB" w:rsidRPr="002C4F7C" w:rsidRDefault="00AF0FDB" w:rsidP="002C4F7C">
            <w:pPr>
              <w:spacing w:after="0"/>
              <w:jc w:val="center"/>
              <w:rPr>
                <w:sz w:val="20"/>
                <w:szCs w:val="20"/>
              </w:rPr>
            </w:pPr>
            <w:r w:rsidRPr="002C4F7C">
              <w:rPr>
                <w:sz w:val="20"/>
                <w:szCs w:val="20"/>
              </w:rPr>
              <w:t>84034</w:t>
            </w:r>
          </w:p>
        </w:tc>
        <w:tc>
          <w:tcPr>
            <w:tcW w:w="1813" w:type="dxa"/>
            <w:shd w:val="clear" w:color="auto" w:fill="E8E8E8"/>
          </w:tcPr>
          <w:p w:rsidR="00AF0FDB" w:rsidRPr="002C4F7C" w:rsidRDefault="00AF0FDB" w:rsidP="002C4F7C">
            <w:pPr>
              <w:spacing w:after="0"/>
              <w:jc w:val="center"/>
              <w:rPr>
                <w:sz w:val="20"/>
                <w:szCs w:val="20"/>
              </w:rPr>
            </w:pPr>
            <w:r w:rsidRPr="002C4F7C">
              <w:rPr>
                <w:sz w:val="20"/>
                <w:szCs w:val="20"/>
              </w:rPr>
              <w:t>9162,9</w:t>
            </w:r>
          </w:p>
        </w:tc>
        <w:tc>
          <w:tcPr>
            <w:tcW w:w="1797" w:type="dxa"/>
            <w:shd w:val="clear" w:color="auto" w:fill="E8E8E8"/>
          </w:tcPr>
          <w:p w:rsidR="00AF0FDB" w:rsidRPr="002C4F7C" w:rsidRDefault="00AF0FDB" w:rsidP="002C4F7C">
            <w:pPr>
              <w:spacing w:after="0"/>
              <w:jc w:val="center"/>
              <w:rPr>
                <w:sz w:val="20"/>
                <w:szCs w:val="20"/>
              </w:rPr>
            </w:pPr>
            <w:r w:rsidRPr="002C4F7C">
              <w:rPr>
                <w:sz w:val="20"/>
                <w:szCs w:val="20"/>
              </w:rPr>
              <w:t>97398</w:t>
            </w:r>
          </w:p>
        </w:tc>
        <w:tc>
          <w:tcPr>
            <w:tcW w:w="1814" w:type="dxa"/>
            <w:shd w:val="clear" w:color="auto" w:fill="E8E8E8"/>
          </w:tcPr>
          <w:p w:rsidR="00AF0FDB" w:rsidRPr="002C4F7C" w:rsidRDefault="00AF0FDB" w:rsidP="002C4F7C">
            <w:pPr>
              <w:spacing w:after="0"/>
              <w:jc w:val="center"/>
              <w:rPr>
                <w:sz w:val="20"/>
                <w:szCs w:val="20"/>
              </w:rPr>
            </w:pPr>
            <w:r w:rsidRPr="002C4F7C">
              <w:rPr>
                <w:sz w:val="20"/>
                <w:szCs w:val="20"/>
              </w:rPr>
              <w:t>10549,2</w:t>
            </w:r>
          </w:p>
        </w:tc>
      </w:tr>
    </w:tbl>
    <w:p w:rsidR="00AF0FDB" w:rsidRDefault="00AF0FDB" w:rsidP="00642C07">
      <w:pPr>
        <w:spacing w:after="0"/>
        <w:jc w:val="both"/>
        <w:rPr>
          <w:b/>
          <w:bCs/>
        </w:rPr>
      </w:pPr>
    </w:p>
    <w:p w:rsidR="00AF0FDB" w:rsidRPr="000B4D34" w:rsidRDefault="00AF0FDB" w:rsidP="00642C07">
      <w:pPr>
        <w:spacing w:after="0"/>
        <w:jc w:val="both"/>
        <w:rPr>
          <w:b/>
          <w:bCs/>
        </w:rPr>
      </w:pPr>
      <w:r w:rsidRPr="000B4D34">
        <w:rPr>
          <w:b/>
          <w:bCs/>
        </w:rPr>
        <w:t>Różyczka</w:t>
      </w:r>
    </w:p>
    <w:p w:rsidR="00AF0FDB" w:rsidRPr="007B0FB2" w:rsidRDefault="00AF0FDB" w:rsidP="007B0FB2">
      <w:pPr>
        <w:spacing w:after="0"/>
        <w:jc w:val="both"/>
      </w:pPr>
      <w:r>
        <w:t xml:space="preserve">W roku 2018 </w:t>
      </w:r>
      <w:r w:rsidRPr="007B0FB2">
        <w:t xml:space="preserve"> zarejestrowano 27 przypadków zachorowań na różyczkę (wsp. zap. 2,9/100000). Wszystkie zachorowania wykazano jako przypadki możliwe, na podstawie objawów klinicznych. W żadnym z zarejestrowanych przypadków nie wykonano badań </w:t>
      </w:r>
      <w:r w:rsidRPr="007B0FB2">
        <w:br/>
        <w:t>w ramach Programu Eliminacji Różyczki, koordynowanym przez WHO w kierunku potwierdzenia podejrzeń zachorowania na różyczkę. Porównując z rokiem 2017, kiedy zarejestrowano 14 przypadków podejrzeń zachorowania na różyczkę (wsp. zap. 1,5/100000), odnotowano prawie dwukrotny wzrost zachorowań (wzrost o 92,9%).</w:t>
      </w:r>
    </w:p>
    <w:p w:rsidR="00AF0FDB" w:rsidRPr="007B0FB2" w:rsidRDefault="00AF0FDB" w:rsidP="007B0FB2">
      <w:pPr>
        <w:spacing w:after="0"/>
        <w:jc w:val="both"/>
      </w:pPr>
      <w:r w:rsidRPr="007B0FB2">
        <w:t xml:space="preserve">Największą liczbę zachorowań zarejestrowano w grupie wiekowej dzieci od 0 do 4 lat </w:t>
      </w:r>
      <w:r w:rsidRPr="007B0FB2">
        <w:br/>
        <w:t xml:space="preserve">(19 zachorowań), co stanowi 70,4% przypadków. Zachorowania zarejestrowano u 15 kobiet </w:t>
      </w:r>
      <w:r w:rsidRPr="007B0FB2">
        <w:br/>
        <w:t>i 12 mężczyzn.</w:t>
      </w:r>
    </w:p>
    <w:p w:rsidR="00AF0FDB" w:rsidRPr="007B0FB2" w:rsidRDefault="00AF0FDB" w:rsidP="007B0FB2">
      <w:pPr>
        <w:spacing w:after="0"/>
        <w:jc w:val="both"/>
      </w:pPr>
      <w:r w:rsidRPr="007B0FB2">
        <w:t>Spośród wszystkich 27 osób, które zachorowały na różyczkę w 2018 roku, 10 osób nie było zaszczepionych ani jedną dawką szczepionki przeciw różyczce, 2 osoby były zaszczepione 2 dawkami szczepionki (brak  dokumentacji szczepień), 12 osób było zaszczepionych 1 dawką szczepionki (brak dokumentacji szczepień),  2 osoby były  zaszczepione szczepionką Priorix – brak informacji o ilości dawek, w 1 przypadku brak informacji o stanie zaszczepienia. Wszystkie przypadki zachorowań na różyczkę były leczone ambulatoryjnie.</w:t>
      </w:r>
    </w:p>
    <w:p w:rsidR="00AF0FDB" w:rsidRPr="005C14E7" w:rsidRDefault="00AF0FDB" w:rsidP="00642C07">
      <w:pPr>
        <w:spacing w:after="0"/>
        <w:jc w:val="both"/>
        <w:rPr>
          <w:b/>
          <w:bCs/>
          <w:color w:val="2E74B5"/>
        </w:rPr>
      </w:pPr>
      <w:r w:rsidRPr="005C14E7">
        <w:rPr>
          <w:b/>
          <w:bCs/>
        </w:rPr>
        <w:t xml:space="preserve">Krztusiec          </w:t>
      </w:r>
      <w:r w:rsidRPr="005C14E7">
        <w:rPr>
          <w:b/>
          <w:bCs/>
          <w:color w:val="2E74B5"/>
        </w:rPr>
        <w:t xml:space="preserve">     </w:t>
      </w:r>
    </w:p>
    <w:p w:rsidR="00AF0FDB" w:rsidRDefault="00AF0FDB" w:rsidP="00642C07">
      <w:pPr>
        <w:tabs>
          <w:tab w:val="left" w:pos="993"/>
          <w:tab w:val="left" w:pos="1418"/>
          <w:tab w:val="left" w:pos="2410"/>
          <w:tab w:val="left" w:pos="2694"/>
        </w:tabs>
        <w:spacing w:after="0" w:line="240" w:lineRule="auto"/>
        <w:ind w:hanging="720"/>
        <w:jc w:val="both"/>
        <w:rPr>
          <w:sz w:val="20"/>
          <w:szCs w:val="20"/>
        </w:rPr>
      </w:pPr>
      <w:r>
        <w:rPr>
          <w:b/>
          <w:bCs/>
          <w:color w:val="2E74B5"/>
        </w:rPr>
        <w:tab/>
      </w:r>
      <w:r>
        <w:rPr>
          <w:b/>
          <w:bCs/>
          <w:sz w:val="20"/>
          <w:szCs w:val="20"/>
        </w:rPr>
        <w:t>Tab. 3.</w:t>
      </w:r>
      <w:r>
        <w:rPr>
          <w:sz w:val="20"/>
          <w:szCs w:val="20"/>
        </w:rPr>
        <w:t xml:space="preserve"> Liczba zachorowań na krztusiec (A37) w powiecie poznańskim w 2018 roku, wg płci, wieku, terenu, szczepień, rodzaju leczenia. </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0A0"/>
      </w:tblPr>
      <w:tblGrid>
        <w:gridCol w:w="747"/>
        <w:gridCol w:w="453"/>
        <w:gridCol w:w="452"/>
        <w:gridCol w:w="456"/>
        <w:gridCol w:w="457"/>
        <w:gridCol w:w="1250"/>
        <w:gridCol w:w="383"/>
        <w:gridCol w:w="421"/>
        <w:gridCol w:w="472"/>
        <w:gridCol w:w="465"/>
        <w:gridCol w:w="450"/>
        <w:gridCol w:w="465"/>
        <w:gridCol w:w="839"/>
        <w:gridCol w:w="1016"/>
        <w:gridCol w:w="481"/>
        <w:gridCol w:w="481"/>
      </w:tblGrid>
      <w:tr w:rsidR="00AF0FDB" w:rsidRPr="007B0FB2">
        <w:tc>
          <w:tcPr>
            <w:tcW w:w="9288" w:type="dxa"/>
            <w:gridSpan w:val="16"/>
            <w:tcBorders>
              <w:bottom w:val="single" w:sz="18" w:space="0" w:color="A5A5A5"/>
            </w:tcBorders>
          </w:tcPr>
          <w:p w:rsidR="00AF0FDB" w:rsidRPr="002C4F7C" w:rsidRDefault="00AF0FDB" w:rsidP="002C4F7C">
            <w:pPr>
              <w:tabs>
                <w:tab w:val="left" w:pos="993"/>
                <w:tab w:val="left" w:pos="1418"/>
                <w:tab w:val="left" w:pos="2410"/>
                <w:tab w:val="left" w:pos="2694"/>
              </w:tabs>
              <w:spacing w:before="0" w:after="0" w:line="276" w:lineRule="auto"/>
              <w:jc w:val="center"/>
              <w:rPr>
                <w:b/>
                <w:bCs/>
                <w:sz w:val="20"/>
                <w:szCs w:val="20"/>
              </w:rPr>
            </w:pPr>
            <w:r w:rsidRPr="002C4F7C">
              <w:rPr>
                <w:b/>
                <w:bCs/>
                <w:sz w:val="20"/>
                <w:szCs w:val="20"/>
              </w:rPr>
              <w:t>Zachorowania na krztusiec w roku 2018</w:t>
            </w:r>
          </w:p>
        </w:tc>
      </w:tr>
      <w:tr w:rsidR="00AF0FDB" w:rsidRPr="007B0FB2">
        <w:tc>
          <w:tcPr>
            <w:tcW w:w="747" w:type="dxa"/>
            <w:vMerge w:val="restart"/>
            <w:shd w:val="clear" w:color="auto" w:fill="E8E8E8"/>
          </w:tcPr>
          <w:p w:rsidR="00AF0FDB" w:rsidRPr="002C4F7C" w:rsidRDefault="00AF0FDB" w:rsidP="002C4F7C">
            <w:pPr>
              <w:spacing w:before="0" w:after="0" w:line="240" w:lineRule="auto"/>
              <w:jc w:val="center"/>
              <w:rPr>
                <w:b/>
                <w:bCs/>
                <w:sz w:val="20"/>
                <w:szCs w:val="20"/>
              </w:rPr>
            </w:pPr>
            <w:bookmarkStart w:id="320" w:name="_Hlk431165"/>
            <w:r w:rsidRPr="002C4F7C">
              <w:rPr>
                <w:b/>
                <w:bCs/>
                <w:sz w:val="20"/>
                <w:szCs w:val="20"/>
              </w:rPr>
              <w:t>Wiek</w:t>
            </w:r>
          </w:p>
          <w:p w:rsidR="00AF0FDB" w:rsidRPr="002C4F7C" w:rsidRDefault="00AF0FDB" w:rsidP="002C4F7C">
            <w:pPr>
              <w:spacing w:before="0" w:after="0" w:line="240" w:lineRule="auto"/>
              <w:jc w:val="center"/>
              <w:rPr>
                <w:b/>
                <w:bCs/>
                <w:sz w:val="20"/>
                <w:szCs w:val="20"/>
              </w:rPr>
            </w:pPr>
          </w:p>
        </w:tc>
        <w:tc>
          <w:tcPr>
            <w:tcW w:w="905" w:type="dxa"/>
            <w:gridSpan w:val="2"/>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Płeć</w:t>
            </w:r>
          </w:p>
        </w:tc>
        <w:tc>
          <w:tcPr>
            <w:tcW w:w="913" w:type="dxa"/>
            <w:gridSpan w:val="2"/>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Teren</w:t>
            </w:r>
          </w:p>
        </w:tc>
        <w:tc>
          <w:tcPr>
            <w:tcW w:w="1250" w:type="dxa"/>
            <w:vMerge w:val="restart"/>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Liczba zachorowań ogółem</w:t>
            </w:r>
          </w:p>
        </w:tc>
        <w:tc>
          <w:tcPr>
            <w:tcW w:w="4511" w:type="dxa"/>
            <w:gridSpan w:val="8"/>
            <w:shd w:val="clear" w:color="auto" w:fill="E8E8E8"/>
          </w:tcPr>
          <w:p w:rsidR="00AF0FDB" w:rsidRPr="002C4F7C" w:rsidRDefault="00AF0FDB" w:rsidP="002C4F7C">
            <w:pPr>
              <w:tabs>
                <w:tab w:val="left" w:pos="993"/>
                <w:tab w:val="left" w:pos="1418"/>
                <w:tab w:val="left" w:pos="2410"/>
                <w:tab w:val="left" w:pos="2694"/>
              </w:tabs>
              <w:spacing w:before="0" w:after="0" w:line="276" w:lineRule="auto"/>
              <w:jc w:val="center"/>
              <w:rPr>
                <w:sz w:val="20"/>
                <w:szCs w:val="20"/>
              </w:rPr>
            </w:pPr>
            <w:r w:rsidRPr="002C4F7C">
              <w:rPr>
                <w:b/>
                <w:bCs/>
                <w:sz w:val="20"/>
                <w:szCs w:val="20"/>
              </w:rPr>
              <w:t>Szczepienia p/krztuścowi</w:t>
            </w:r>
          </w:p>
        </w:tc>
        <w:tc>
          <w:tcPr>
            <w:tcW w:w="962" w:type="dxa"/>
            <w:gridSpan w:val="2"/>
            <w:shd w:val="clear" w:color="auto" w:fill="E8E8E8"/>
          </w:tcPr>
          <w:p w:rsidR="00AF0FDB" w:rsidRPr="002C4F7C" w:rsidRDefault="00AF0FDB" w:rsidP="002C4F7C">
            <w:pPr>
              <w:tabs>
                <w:tab w:val="left" w:pos="993"/>
                <w:tab w:val="left" w:pos="1418"/>
                <w:tab w:val="left" w:pos="2410"/>
                <w:tab w:val="left" w:pos="2694"/>
              </w:tabs>
              <w:spacing w:before="0" w:after="0" w:line="276" w:lineRule="auto"/>
              <w:jc w:val="center"/>
              <w:rPr>
                <w:sz w:val="20"/>
                <w:szCs w:val="20"/>
              </w:rPr>
            </w:pPr>
            <w:r w:rsidRPr="002C4F7C">
              <w:rPr>
                <w:b/>
                <w:bCs/>
                <w:sz w:val="20"/>
                <w:szCs w:val="20"/>
              </w:rPr>
              <w:t>Leczenie</w:t>
            </w:r>
          </w:p>
        </w:tc>
      </w:tr>
      <w:tr w:rsidR="00AF0FDB" w:rsidRPr="007B0FB2">
        <w:tc>
          <w:tcPr>
            <w:tcW w:w="747" w:type="dxa"/>
            <w:vMerge/>
          </w:tcPr>
          <w:p w:rsidR="00AF0FDB" w:rsidRPr="002C4F7C" w:rsidRDefault="00AF0FDB" w:rsidP="002C4F7C">
            <w:pPr>
              <w:spacing w:before="0" w:after="0" w:line="240" w:lineRule="auto"/>
              <w:jc w:val="center"/>
              <w:rPr>
                <w:b/>
                <w:bCs/>
                <w:sz w:val="20"/>
                <w:szCs w:val="20"/>
              </w:rPr>
            </w:pPr>
          </w:p>
        </w:tc>
        <w:tc>
          <w:tcPr>
            <w:tcW w:w="453" w:type="dxa"/>
          </w:tcPr>
          <w:p w:rsidR="00AF0FDB" w:rsidRPr="002C4F7C" w:rsidRDefault="00AF0FDB" w:rsidP="002C4F7C">
            <w:pPr>
              <w:spacing w:before="0" w:after="0" w:line="240" w:lineRule="auto"/>
              <w:jc w:val="center"/>
              <w:rPr>
                <w:b/>
                <w:bCs/>
                <w:sz w:val="20"/>
                <w:szCs w:val="20"/>
              </w:rPr>
            </w:pPr>
            <w:r w:rsidRPr="002C4F7C">
              <w:rPr>
                <w:b/>
                <w:bCs/>
                <w:sz w:val="20"/>
                <w:szCs w:val="20"/>
              </w:rPr>
              <w:t>K</w:t>
            </w:r>
          </w:p>
        </w:tc>
        <w:tc>
          <w:tcPr>
            <w:tcW w:w="452" w:type="dxa"/>
          </w:tcPr>
          <w:p w:rsidR="00AF0FDB" w:rsidRPr="002C4F7C" w:rsidRDefault="00AF0FDB" w:rsidP="002C4F7C">
            <w:pPr>
              <w:spacing w:before="0" w:after="0" w:line="240" w:lineRule="auto"/>
              <w:jc w:val="center"/>
              <w:rPr>
                <w:b/>
                <w:bCs/>
                <w:sz w:val="20"/>
                <w:szCs w:val="20"/>
              </w:rPr>
            </w:pPr>
            <w:r w:rsidRPr="002C4F7C">
              <w:rPr>
                <w:b/>
                <w:bCs/>
                <w:sz w:val="20"/>
                <w:szCs w:val="20"/>
              </w:rPr>
              <w:t>M</w:t>
            </w:r>
          </w:p>
        </w:tc>
        <w:tc>
          <w:tcPr>
            <w:tcW w:w="456" w:type="dxa"/>
          </w:tcPr>
          <w:p w:rsidR="00AF0FDB" w:rsidRPr="002C4F7C" w:rsidRDefault="00AF0FDB" w:rsidP="002C4F7C">
            <w:pPr>
              <w:spacing w:before="0" w:after="0" w:line="240" w:lineRule="auto"/>
              <w:jc w:val="center"/>
              <w:rPr>
                <w:b/>
                <w:bCs/>
                <w:sz w:val="20"/>
                <w:szCs w:val="20"/>
              </w:rPr>
            </w:pPr>
            <w:r w:rsidRPr="002C4F7C">
              <w:rPr>
                <w:b/>
                <w:bCs/>
                <w:sz w:val="20"/>
                <w:szCs w:val="20"/>
              </w:rPr>
              <w:t>M</w:t>
            </w:r>
          </w:p>
        </w:tc>
        <w:tc>
          <w:tcPr>
            <w:tcW w:w="457" w:type="dxa"/>
          </w:tcPr>
          <w:p w:rsidR="00AF0FDB" w:rsidRPr="002C4F7C" w:rsidRDefault="00AF0FDB" w:rsidP="002C4F7C">
            <w:pPr>
              <w:spacing w:before="0" w:after="0" w:line="240" w:lineRule="auto"/>
              <w:jc w:val="center"/>
              <w:rPr>
                <w:b/>
                <w:bCs/>
                <w:sz w:val="20"/>
                <w:szCs w:val="20"/>
              </w:rPr>
            </w:pPr>
            <w:r w:rsidRPr="002C4F7C">
              <w:rPr>
                <w:b/>
                <w:bCs/>
                <w:sz w:val="20"/>
                <w:szCs w:val="20"/>
              </w:rPr>
              <w:t>W</w:t>
            </w:r>
          </w:p>
        </w:tc>
        <w:tc>
          <w:tcPr>
            <w:tcW w:w="1250" w:type="dxa"/>
            <w:vMerge/>
          </w:tcPr>
          <w:p w:rsidR="00AF0FDB" w:rsidRPr="002C4F7C" w:rsidRDefault="00AF0FDB" w:rsidP="002C4F7C">
            <w:pPr>
              <w:tabs>
                <w:tab w:val="left" w:pos="993"/>
                <w:tab w:val="left" w:pos="1418"/>
                <w:tab w:val="left" w:pos="2410"/>
                <w:tab w:val="left" w:pos="2694"/>
              </w:tabs>
              <w:spacing w:before="0" w:after="0" w:line="276" w:lineRule="auto"/>
              <w:jc w:val="center"/>
              <w:rPr>
                <w:sz w:val="20"/>
                <w:szCs w:val="20"/>
              </w:rPr>
            </w:pPr>
          </w:p>
        </w:tc>
        <w:tc>
          <w:tcPr>
            <w:tcW w:w="383" w:type="dxa"/>
          </w:tcPr>
          <w:p w:rsidR="00AF0FDB" w:rsidRPr="002C4F7C" w:rsidRDefault="00AF0FDB" w:rsidP="002C4F7C">
            <w:pPr>
              <w:spacing w:before="0" w:after="0" w:line="240" w:lineRule="auto"/>
              <w:jc w:val="center"/>
              <w:rPr>
                <w:b/>
                <w:bCs/>
                <w:sz w:val="20"/>
                <w:szCs w:val="20"/>
              </w:rPr>
            </w:pPr>
            <w:r w:rsidRPr="002C4F7C">
              <w:rPr>
                <w:b/>
                <w:bCs/>
                <w:sz w:val="20"/>
                <w:szCs w:val="20"/>
              </w:rPr>
              <w:t>I</w:t>
            </w:r>
          </w:p>
        </w:tc>
        <w:tc>
          <w:tcPr>
            <w:tcW w:w="421" w:type="dxa"/>
          </w:tcPr>
          <w:p w:rsidR="00AF0FDB" w:rsidRPr="002C4F7C" w:rsidRDefault="00AF0FDB" w:rsidP="002C4F7C">
            <w:pPr>
              <w:spacing w:before="0" w:after="0" w:line="240" w:lineRule="auto"/>
              <w:jc w:val="center"/>
              <w:rPr>
                <w:b/>
                <w:bCs/>
                <w:sz w:val="20"/>
                <w:szCs w:val="20"/>
              </w:rPr>
            </w:pPr>
            <w:r w:rsidRPr="002C4F7C">
              <w:rPr>
                <w:b/>
                <w:bCs/>
                <w:sz w:val="20"/>
                <w:szCs w:val="20"/>
              </w:rPr>
              <w:t>II</w:t>
            </w:r>
          </w:p>
        </w:tc>
        <w:tc>
          <w:tcPr>
            <w:tcW w:w="472" w:type="dxa"/>
          </w:tcPr>
          <w:p w:rsidR="00AF0FDB" w:rsidRPr="002C4F7C" w:rsidRDefault="00AF0FDB" w:rsidP="002C4F7C">
            <w:pPr>
              <w:spacing w:before="0" w:after="0" w:line="240" w:lineRule="auto"/>
              <w:jc w:val="center"/>
              <w:rPr>
                <w:b/>
                <w:bCs/>
                <w:sz w:val="20"/>
                <w:szCs w:val="20"/>
              </w:rPr>
            </w:pPr>
            <w:r w:rsidRPr="002C4F7C">
              <w:rPr>
                <w:b/>
                <w:bCs/>
                <w:sz w:val="20"/>
                <w:szCs w:val="20"/>
              </w:rPr>
              <w:t>III</w:t>
            </w:r>
          </w:p>
        </w:tc>
        <w:tc>
          <w:tcPr>
            <w:tcW w:w="465" w:type="dxa"/>
          </w:tcPr>
          <w:p w:rsidR="00AF0FDB" w:rsidRPr="002C4F7C" w:rsidRDefault="00AF0FDB" w:rsidP="002C4F7C">
            <w:pPr>
              <w:spacing w:before="0" w:after="0" w:line="240" w:lineRule="auto"/>
              <w:jc w:val="center"/>
              <w:rPr>
                <w:b/>
                <w:bCs/>
                <w:sz w:val="20"/>
                <w:szCs w:val="20"/>
              </w:rPr>
            </w:pPr>
            <w:r w:rsidRPr="002C4F7C">
              <w:rPr>
                <w:b/>
                <w:bCs/>
                <w:sz w:val="20"/>
                <w:szCs w:val="20"/>
              </w:rPr>
              <w:t>IV</w:t>
            </w:r>
          </w:p>
        </w:tc>
        <w:tc>
          <w:tcPr>
            <w:tcW w:w="450" w:type="dxa"/>
          </w:tcPr>
          <w:p w:rsidR="00AF0FDB" w:rsidRPr="002C4F7C" w:rsidRDefault="00AF0FDB" w:rsidP="002C4F7C">
            <w:pPr>
              <w:spacing w:before="0" w:after="0" w:line="240" w:lineRule="auto"/>
              <w:jc w:val="center"/>
              <w:rPr>
                <w:b/>
                <w:bCs/>
                <w:sz w:val="20"/>
                <w:szCs w:val="20"/>
              </w:rPr>
            </w:pPr>
            <w:r w:rsidRPr="002C4F7C">
              <w:rPr>
                <w:b/>
                <w:bCs/>
                <w:sz w:val="20"/>
                <w:szCs w:val="20"/>
              </w:rPr>
              <w:t>V</w:t>
            </w:r>
          </w:p>
        </w:tc>
        <w:tc>
          <w:tcPr>
            <w:tcW w:w="465" w:type="dxa"/>
          </w:tcPr>
          <w:p w:rsidR="00AF0FDB" w:rsidRPr="002C4F7C" w:rsidRDefault="00AF0FDB" w:rsidP="002C4F7C">
            <w:pPr>
              <w:spacing w:before="0" w:after="0" w:line="240" w:lineRule="auto"/>
              <w:jc w:val="center"/>
              <w:rPr>
                <w:b/>
                <w:bCs/>
                <w:sz w:val="20"/>
                <w:szCs w:val="20"/>
              </w:rPr>
            </w:pPr>
            <w:r w:rsidRPr="002C4F7C">
              <w:rPr>
                <w:b/>
                <w:bCs/>
                <w:sz w:val="20"/>
                <w:szCs w:val="20"/>
              </w:rPr>
              <w:t>VI</w:t>
            </w:r>
          </w:p>
        </w:tc>
        <w:tc>
          <w:tcPr>
            <w:tcW w:w="839" w:type="dxa"/>
          </w:tcPr>
          <w:p w:rsidR="00AF0FDB" w:rsidRPr="002C4F7C" w:rsidRDefault="00AF0FDB" w:rsidP="002C4F7C">
            <w:pPr>
              <w:spacing w:before="0" w:after="0" w:line="240" w:lineRule="auto"/>
              <w:jc w:val="center"/>
              <w:rPr>
                <w:b/>
                <w:bCs/>
                <w:sz w:val="20"/>
                <w:szCs w:val="20"/>
              </w:rPr>
            </w:pPr>
            <w:r w:rsidRPr="002C4F7C">
              <w:rPr>
                <w:b/>
                <w:bCs/>
                <w:sz w:val="20"/>
                <w:szCs w:val="20"/>
              </w:rPr>
              <w:t>brak danych</w:t>
            </w:r>
          </w:p>
        </w:tc>
        <w:tc>
          <w:tcPr>
            <w:tcW w:w="1016" w:type="dxa"/>
          </w:tcPr>
          <w:p w:rsidR="00AF0FDB" w:rsidRPr="002C4F7C" w:rsidRDefault="00AF0FDB" w:rsidP="002C4F7C">
            <w:pPr>
              <w:spacing w:before="0" w:after="0" w:line="240" w:lineRule="auto"/>
              <w:jc w:val="center"/>
              <w:rPr>
                <w:b/>
                <w:bCs/>
                <w:sz w:val="20"/>
                <w:szCs w:val="20"/>
              </w:rPr>
            </w:pPr>
            <w:r w:rsidRPr="002C4F7C">
              <w:rPr>
                <w:b/>
                <w:bCs/>
                <w:sz w:val="20"/>
                <w:szCs w:val="20"/>
              </w:rPr>
              <w:t>brak szczepień</w:t>
            </w:r>
          </w:p>
        </w:tc>
        <w:tc>
          <w:tcPr>
            <w:tcW w:w="481" w:type="dxa"/>
          </w:tcPr>
          <w:p w:rsidR="00AF0FDB" w:rsidRPr="002C4F7C" w:rsidRDefault="00AF0FDB" w:rsidP="002C4F7C">
            <w:pPr>
              <w:spacing w:before="0" w:after="0" w:line="240" w:lineRule="auto"/>
              <w:jc w:val="center"/>
              <w:rPr>
                <w:b/>
                <w:bCs/>
                <w:sz w:val="20"/>
                <w:szCs w:val="20"/>
              </w:rPr>
            </w:pPr>
            <w:r w:rsidRPr="002C4F7C">
              <w:rPr>
                <w:b/>
                <w:bCs/>
                <w:sz w:val="20"/>
                <w:szCs w:val="20"/>
              </w:rPr>
              <w:t>H</w:t>
            </w:r>
            <w:r w:rsidRPr="002C4F7C">
              <w:rPr>
                <w:sz w:val="16"/>
                <w:szCs w:val="16"/>
              </w:rPr>
              <w:t>*</w:t>
            </w:r>
          </w:p>
        </w:tc>
        <w:tc>
          <w:tcPr>
            <w:tcW w:w="481" w:type="dxa"/>
          </w:tcPr>
          <w:p w:rsidR="00AF0FDB" w:rsidRPr="002C4F7C" w:rsidRDefault="00AF0FDB" w:rsidP="002C4F7C">
            <w:pPr>
              <w:spacing w:before="0" w:after="0" w:line="240" w:lineRule="auto"/>
              <w:jc w:val="center"/>
              <w:rPr>
                <w:sz w:val="22"/>
                <w:szCs w:val="22"/>
              </w:rPr>
            </w:pPr>
            <w:r w:rsidRPr="002C4F7C">
              <w:rPr>
                <w:b/>
                <w:bCs/>
                <w:sz w:val="20"/>
                <w:szCs w:val="20"/>
              </w:rPr>
              <w:t>A</w:t>
            </w:r>
            <w:r w:rsidRPr="002C4F7C">
              <w:rPr>
                <w:sz w:val="16"/>
                <w:szCs w:val="16"/>
              </w:rPr>
              <w:t>*</w:t>
            </w:r>
          </w:p>
        </w:tc>
      </w:tr>
      <w:tr w:rsidR="00AF0FDB" w:rsidRPr="007B0FB2">
        <w:tc>
          <w:tcPr>
            <w:tcW w:w="747"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0-4</w:t>
            </w:r>
          </w:p>
        </w:tc>
        <w:tc>
          <w:tcPr>
            <w:tcW w:w="45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10</w:t>
            </w:r>
          </w:p>
        </w:tc>
        <w:tc>
          <w:tcPr>
            <w:tcW w:w="45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10</w:t>
            </w:r>
          </w:p>
        </w:tc>
        <w:tc>
          <w:tcPr>
            <w:tcW w:w="456"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14</w:t>
            </w:r>
          </w:p>
        </w:tc>
        <w:tc>
          <w:tcPr>
            <w:tcW w:w="457"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6</w:t>
            </w:r>
          </w:p>
        </w:tc>
        <w:tc>
          <w:tcPr>
            <w:tcW w:w="12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20</w:t>
            </w:r>
          </w:p>
        </w:tc>
        <w:tc>
          <w:tcPr>
            <w:tcW w:w="38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2</w:t>
            </w:r>
          </w:p>
        </w:tc>
        <w:tc>
          <w:tcPr>
            <w:tcW w:w="42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2</w:t>
            </w:r>
          </w:p>
        </w:tc>
        <w:tc>
          <w:tcPr>
            <w:tcW w:w="47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4</w:t>
            </w:r>
          </w:p>
        </w:tc>
        <w:tc>
          <w:tcPr>
            <w:tcW w:w="465"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8</w:t>
            </w:r>
          </w:p>
        </w:tc>
        <w:tc>
          <w:tcPr>
            <w:tcW w:w="4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w:t>
            </w:r>
          </w:p>
        </w:tc>
        <w:tc>
          <w:tcPr>
            <w:tcW w:w="46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83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1016"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3</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9</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11</w:t>
            </w:r>
          </w:p>
        </w:tc>
      </w:tr>
      <w:bookmarkEnd w:id="320"/>
      <w:tr w:rsidR="00AF0FDB" w:rsidRPr="007B0FB2">
        <w:tc>
          <w:tcPr>
            <w:tcW w:w="747" w:type="dxa"/>
          </w:tcPr>
          <w:p w:rsidR="00AF0FDB" w:rsidRPr="002C4F7C" w:rsidRDefault="00AF0FDB" w:rsidP="002C4F7C">
            <w:pPr>
              <w:spacing w:before="0" w:after="0" w:line="240" w:lineRule="auto"/>
              <w:jc w:val="center"/>
              <w:rPr>
                <w:b/>
                <w:bCs/>
                <w:sz w:val="20"/>
                <w:szCs w:val="20"/>
              </w:rPr>
            </w:pPr>
            <w:r w:rsidRPr="002C4F7C">
              <w:rPr>
                <w:b/>
                <w:bCs/>
                <w:sz w:val="20"/>
                <w:szCs w:val="20"/>
              </w:rPr>
              <w:t>5-9</w:t>
            </w:r>
          </w:p>
        </w:tc>
        <w:tc>
          <w:tcPr>
            <w:tcW w:w="453"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452" w:type="dxa"/>
          </w:tcPr>
          <w:p w:rsidR="00AF0FDB" w:rsidRPr="002C4F7C" w:rsidRDefault="00AF0FDB" w:rsidP="002C4F7C">
            <w:pPr>
              <w:spacing w:before="0" w:after="0" w:line="240" w:lineRule="auto"/>
              <w:jc w:val="center"/>
              <w:rPr>
                <w:sz w:val="20"/>
                <w:szCs w:val="20"/>
              </w:rPr>
            </w:pPr>
            <w:r w:rsidRPr="002C4F7C">
              <w:rPr>
                <w:sz w:val="20"/>
                <w:szCs w:val="20"/>
              </w:rPr>
              <w:t>4</w:t>
            </w:r>
          </w:p>
        </w:tc>
        <w:tc>
          <w:tcPr>
            <w:tcW w:w="456" w:type="dxa"/>
          </w:tcPr>
          <w:p w:rsidR="00AF0FDB" w:rsidRPr="002C4F7C" w:rsidRDefault="00AF0FDB" w:rsidP="002C4F7C">
            <w:pPr>
              <w:spacing w:before="0" w:after="0" w:line="240" w:lineRule="auto"/>
              <w:jc w:val="center"/>
              <w:rPr>
                <w:sz w:val="20"/>
                <w:szCs w:val="20"/>
              </w:rPr>
            </w:pPr>
            <w:r w:rsidRPr="002C4F7C">
              <w:rPr>
                <w:sz w:val="20"/>
                <w:szCs w:val="20"/>
              </w:rPr>
              <w:t>4</w:t>
            </w:r>
          </w:p>
        </w:tc>
        <w:tc>
          <w:tcPr>
            <w:tcW w:w="457"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1250" w:type="dxa"/>
          </w:tcPr>
          <w:p w:rsidR="00AF0FDB" w:rsidRPr="002C4F7C" w:rsidRDefault="00AF0FDB" w:rsidP="002C4F7C">
            <w:pPr>
              <w:spacing w:before="0" w:after="0" w:line="240" w:lineRule="auto"/>
              <w:jc w:val="center"/>
              <w:rPr>
                <w:sz w:val="20"/>
                <w:szCs w:val="20"/>
              </w:rPr>
            </w:pPr>
            <w:r w:rsidRPr="002C4F7C">
              <w:rPr>
                <w:sz w:val="20"/>
                <w:szCs w:val="20"/>
              </w:rPr>
              <w:t>7</w:t>
            </w:r>
          </w:p>
        </w:tc>
        <w:tc>
          <w:tcPr>
            <w:tcW w:w="383"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tcPr>
          <w:p w:rsidR="00AF0FDB" w:rsidRPr="002C4F7C" w:rsidRDefault="00AF0FDB" w:rsidP="002C4F7C">
            <w:pPr>
              <w:spacing w:before="0" w:after="0" w:line="240" w:lineRule="auto"/>
              <w:jc w:val="center"/>
              <w:rPr>
                <w:sz w:val="20"/>
                <w:szCs w:val="20"/>
              </w:rPr>
            </w:pPr>
            <w:r w:rsidRPr="002C4F7C">
              <w:rPr>
                <w:sz w:val="20"/>
                <w:szCs w:val="20"/>
              </w:rPr>
              <w:t>1</w:t>
            </w:r>
          </w:p>
        </w:tc>
        <w:tc>
          <w:tcPr>
            <w:tcW w:w="465" w:type="dxa"/>
          </w:tcPr>
          <w:p w:rsidR="00AF0FDB" w:rsidRPr="002C4F7C" w:rsidRDefault="00AF0FDB" w:rsidP="002C4F7C">
            <w:pPr>
              <w:spacing w:before="0" w:after="0" w:line="240" w:lineRule="auto"/>
              <w:jc w:val="center"/>
              <w:rPr>
                <w:sz w:val="20"/>
                <w:szCs w:val="20"/>
              </w:rPr>
            </w:pPr>
            <w:r w:rsidRPr="002C4F7C">
              <w:rPr>
                <w:sz w:val="20"/>
                <w:szCs w:val="20"/>
              </w:rPr>
              <w:t>1</w:t>
            </w:r>
          </w:p>
        </w:tc>
        <w:tc>
          <w:tcPr>
            <w:tcW w:w="450" w:type="dxa"/>
          </w:tcPr>
          <w:p w:rsidR="00AF0FDB" w:rsidRPr="002C4F7C" w:rsidRDefault="00AF0FDB" w:rsidP="002C4F7C">
            <w:pPr>
              <w:spacing w:before="0" w:after="0" w:line="240" w:lineRule="auto"/>
              <w:jc w:val="center"/>
              <w:rPr>
                <w:sz w:val="20"/>
                <w:szCs w:val="20"/>
              </w:rPr>
            </w:pPr>
            <w:r w:rsidRPr="002C4F7C">
              <w:rPr>
                <w:sz w:val="20"/>
                <w:szCs w:val="20"/>
              </w:rPr>
              <w:t>4</w:t>
            </w:r>
          </w:p>
        </w:tc>
        <w:tc>
          <w:tcPr>
            <w:tcW w:w="465"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839" w:type="dxa"/>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1016"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7</w:t>
            </w:r>
          </w:p>
        </w:tc>
      </w:tr>
      <w:tr w:rsidR="00AF0FDB" w:rsidRPr="007B0FB2">
        <w:tc>
          <w:tcPr>
            <w:tcW w:w="747"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10-14</w:t>
            </w:r>
          </w:p>
        </w:tc>
        <w:tc>
          <w:tcPr>
            <w:tcW w:w="45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456"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7"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12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38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46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83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1016"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r>
      <w:tr w:rsidR="00AF0FDB" w:rsidRPr="007B0FB2">
        <w:tc>
          <w:tcPr>
            <w:tcW w:w="747" w:type="dxa"/>
          </w:tcPr>
          <w:p w:rsidR="00AF0FDB" w:rsidRPr="002C4F7C" w:rsidRDefault="00AF0FDB" w:rsidP="002C4F7C">
            <w:pPr>
              <w:spacing w:before="0" w:after="0" w:line="240" w:lineRule="auto"/>
              <w:jc w:val="center"/>
              <w:rPr>
                <w:b/>
                <w:bCs/>
                <w:sz w:val="20"/>
                <w:szCs w:val="20"/>
              </w:rPr>
            </w:pPr>
            <w:r w:rsidRPr="002C4F7C">
              <w:rPr>
                <w:b/>
                <w:bCs/>
                <w:sz w:val="20"/>
                <w:szCs w:val="20"/>
              </w:rPr>
              <w:t>15-19</w:t>
            </w:r>
          </w:p>
        </w:tc>
        <w:tc>
          <w:tcPr>
            <w:tcW w:w="453"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452" w:type="dxa"/>
          </w:tcPr>
          <w:p w:rsidR="00AF0FDB" w:rsidRPr="002C4F7C" w:rsidRDefault="00AF0FDB" w:rsidP="002C4F7C">
            <w:pPr>
              <w:spacing w:before="0" w:after="0" w:line="240" w:lineRule="auto"/>
              <w:jc w:val="center"/>
              <w:rPr>
                <w:sz w:val="20"/>
                <w:szCs w:val="20"/>
              </w:rPr>
            </w:pPr>
            <w:r w:rsidRPr="002C4F7C">
              <w:rPr>
                <w:sz w:val="20"/>
                <w:szCs w:val="20"/>
              </w:rPr>
              <w:t>1</w:t>
            </w:r>
          </w:p>
        </w:tc>
        <w:tc>
          <w:tcPr>
            <w:tcW w:w="456" w:type="dxa"/>
          </w:tcPr>
          <w:p w:rsidR="00AF0FDB" w:rsidRPr="002C4F7C" w:rsidRDefault="00AF0FDB" w:rsidP="002C4F7C">
            <w:pPr>
              <w:spacing w:before="0" w:after="0" w:line="240" w:lineRule="auto"/>
              <w:jc w:val="center"/>
              <w:rPr>
                <w:sz w:val="20"/>
                <w:szCs w:val="20"/>
              </w:rPr>
            </w:pPr>
            <w:r w:rsidRPr="002C4F7C">
              <w:rPr>
                <w:sz w:val="20"/>
                <w:szCs w:val="20"/>
              </w:rPr>
              <w:t>4</w:t>
            </w:r>
          </w:p>
        </w:tc>
        <w:tc>
          <w:tcPr>
            <w:tcW w:w="457"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1250" w:type="dxa"/>
          </w:tcPr>
          <w:p w:rsidR="00AF0FDB" w:rsidRPr="002C4F7C" w:rsidRDefault="00AF0FDB" w:rsidP="002C4F7C">
            <w:pPr>
              <w:spacing w:before="0" w:after="0" w:line="240" w:lineRule="auto"/>
              <w:jc w:val="center"/>
              <w:rPr>
                <w:sz w:val="20"/>
                <w:szCs w:val="20"/>
              </w:rPr>
            </w:pPr>
            <w:r w:rsidRPr="002C4F7C">
              <w:rPr>
                <w:sz w:val="20"/>
                <w:szCs w:val="20"/>
              </w:rPr>
              <w:t>4</w:t>
            </w:r>
          </w:p>
        </w:tc>
        <w:tc>
          <w:tcPr>
            <w:tcW w:w="383"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tcPr>
          <w:p w:rsidR="00AF0FDB" w:rsidRPr="002C4F7C" w:rsidRDefault="00AF0FDB" w:rsidP="002C4F7C">
            <w:pPr>
              <w:spacing w:before="0" w:after="0" w:line="240" w:lineRule="auto"/>
              <w:jc w:val="center"/>
              <w:rPr>
                <w:sz w:val="20"/>
                <w:szCs w:val="20"/>
              </w:rPr>
            </w:pPr>
            <w:r w:rsidRPr="002C4F7C">
              <w:rPr>
                <w:sz w:val="20"/>
                <w:szCs w:val="20"/>
              </w:rPr>
              <w:t>4</w:t>
            </w:r>
          </w:p>
        </w:tc>
        <w:tc>
          <w:tcPr>
            <w:tcW w:w="465"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839"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1016"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4</w:t>
            </w:r>
          </w:p>
        </w:tc>
      </w:tr>
      <w:tr w:rsidR="00AF0FDB" w:rsidRPr="007B0FB2">
        <w:tc>
          <w:tcPr>
            <w:tcW w:w="747"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20-29</w:t>
            </w:r>
          </w:p>
        </w:tc>
        <w:tc>
          <w:tcPr>
            <w:tcW w:w="45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2</w:t>
            </w:r>
          </w:p>
        </w:tc>
        <w:tc>
          <w:tcPr>
            <w:tcW w:w="45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7</w:t>
            </w:r>
          </w:p>
        </w:tc>
        <w:tc>
          <w:tcPr>
            <w:tcW w:w="456"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7</w:t>
            </w:r>
          </w:p>
        </w:tc>
        <w:tc>
          <w:tcPr>
            <w:tcW w:w="457"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2</w:t>
            </w:r>
          </w:p>
        </w:tc>
        <w:tc>
          <w:tcPr>
            <w:tcW w:w="12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9</w:t>
            </w:r>
          </w:p>
        </w:tc>
        <w:tc>
          <w:tcPr>
            <w:tcW w:w="38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83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9</w:t>
            </w:r>
          </w:p>
        </w:tc>
        <w:tc>
          <w:tcPr>
            <w:tcW w:w="1016"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9</w:t>
            </w:r>
          </w:p>
        </w:tc>
      </w:tr>
      <w:tr w:rsidR="00AF0FDB" w:rsidRPr="007B0FB2">
        <w:tc>
          <w:tcPr>
            <w:tcW w:w="747" w:type="dxa"/>
          </w:tcPr>
          <w:p w:rsidR="00AF0FDB" w:rsidRPr="002C4F7C" w:rsidRDefault="00AF0FDB" w:rsidP="002C4F7C">
            <w:pPr>
              <w:spacing w:before="0" w:after="0" w:line="240" w:lineRule="auto"/>
              <w:jc w:val="center"/>
              <w:rPr>
                <w:b/>
                <w:bCs/>
                <w:sz w:val="20"/>
                <w:szCs w:val="20"/>
              </w:rPr>
            </w:pPr>
            <w:r w:rsidRPr="002C4F7C">
              <w:rPr>
                <w:b/>
                <w:bCs/>
                <w:sz w:val="20"/>
                <w:szCs w:val="20"/>
              </w:rPr>
              <w:t>30-39</w:t>
            </w:r>
          </w:p>
        </w:tc>
        <w:tc>
          <w:tcPr>
            <w:tcW w:w="453" w:type="dxa"/>
          </w:tcPr>
          <w:p w:rsidR="00AF0FDB" w:rsidRPr="002C4F7C" w:rsidRDefault="00AF0FDB" w:rsidP="002C4F7C">
            <w:pPr>
              <w:spacing w:before="0" w:after="0" w:line="240" w:lineRule="auto"/>
              <w:jc w:val="center"/>
              <w:rPr>
                <w:sz w:val="20"/>
                <w:szCs w:val="20"/>
              </w:rPr>
            </w:pPr>
            <w:r w:rsidRPr="002C4F7C">
              <w:rPr>
                <w:sz w:val="20"/>
                <w:szCs w:val="20"/>
              </w:rPr>
              <w:t>5</w:t>
            </w:r>
          </w:p>
        </w:tc>
        <w:tc>
          <w:tcPr>
            <w:tcW w:w="452"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456" w:type="dxa"/>
          </w:tcPr>
          <w:p w:rsidR="00AF0FDB" w:rsidRPr="002C4F7C" w:rsidRDefault="00AF0FDB" w:rsidP="002C4F7C">
            <w:pPr>
              <w:spacing w:before="0" w:after="0" w:line="240" w:lineRule="auto"/>
              <w:jc w:val="center"/>
              <w:rPr>
                <w:sz w:val="20"/>
                <w:szCs w:val="20"/>
              </w:rPr>
            </w:pPr>
            <w:r w:rsidRPr="002C4F7C">
              <w:rPr>
                <w:sz w:val="20"/>
                <w:szCs w:val="20"/>
              </w:rPr>
              <w:t>5</w:t>
            </w:r>
          </w:p>
        </w:tc>
        <w:tc>
          <w:tcPr>
            <w:tcW w:w="457"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1250" w:type="dxa"/>
          </w:tcPr>
          <w:p w:rsidR="00AF0FDB" w:rsidRPr="002C4F7C" w:rsidRDefault="00AF0FDB" w:rsidP="002C4F7C">
            <w:pPr>
              <w:spacing w:before="0" w:after="0" w:line="240" w:lineRule="auto"/>
              <w:jc w:val="center"/>
              <w:rPr>
                <w:sz w:val="20"/>
                <w:szCs w:val="20"/>
              </w:rPr>
            </w:pPr>
            <w:r w:rsidRPr="002C4F7C">
              <w:rPr>
                <w:sz w:val="20"/>
                <w:szCs w:val="20"/>
              </w:rPr>
              <w:t>8</w:t>
            </w:r>
          </w:p>
        </w:tc>
        <w:tc>
          <w:tcPr>
            <w:tcW w:w="383"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839" w:type="dxa"/>
          </w:tcPr>
          <w:p w:rsidR="00AF0FDB" w:rsidRPr="002C4F7C" w:rsidRDefault="00AF0FDB" w:rsidP="002C4F7C">
            <w:pPr>
              <w:snapToGrid w:val="0"/>
              <w:spacing w:before="0" w:after="0" w:line="240" w:lineRule="auto"/>
              <w:jc w:val="center"/>
              <w:rPr>
                <w:sz w:val="20"/>
                <w:szCs w:val="20"/>
              </w:rPr>
            </w:pPr>
            <w:r w:rsidRPr="002C4F7C">
              <w:rPr>
                <w:sz w:val="20"/>
                <w:szCs w:val="20"/>
              </w:rPr>
              <w:t>8</w:t>
            </w:r>
          </w:p>
        </w:tc>
        <w:tc>
          <w:tcPr>
            <w:tcW w:w="1016"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1</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7</w:t>
            </w:r>
          </w:p>
        </w:tc>
      </w:tr>
      <w:tr w:rsidR="00AF0FDB" w:rsidRPr="007B0FB2">
        <w:tc>
          <w:tcPr>
            <w:tcW w:w="747"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40-49</w:t>
            </w:r>
          </w:p>
        </w:tc>
        <w:tc>
          <w:tcPr>
            <w:tcW w:w="45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13</w:t>
            </w:r>
          </w:p>
        </w:tc>
        <w:tc>
          <w:tcPr>
            <w:tcW w:w="45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4</w:t>
            </w:r>
          </w:p>
        </w:tc>
        <w:tc>
          <w:tcPr>
            <w:tcW w:w="456"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12</w:t>
            </w:r>
          </w:p>
        </w:tc>
        <w:tc>
          <w:tcPr>
            <w:tcW w:w="457"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5</w:t>
            </w:r>
          </w:p>
        </w:tc>
        <w:tc>
          <w:tcPr>
            <w:tcW w:w="12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17</w:t>
            </w:r>
          </w:p>
        </w:tc>
        <w:tc>
          <w:tcPr>
            <w:tcW w:w="38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83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16</w:t>
            </w:r>
          </w:p>
        </w:tc>
        <w:tc>
          <w:tcPr>
            <w:tcW w:w="1016"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17</w:t>
            </w:r>
          </w:p>
        </w:tc>
      </w:tr>
      <w:tr w:rsidR="00AF0FDB" w:rsidRPr="007B0FB2">
        <w:tc>
          <w:tcPr>
            <w:tcW w:w="747" w:type="dxa"/>
          </w:tcPr>
          <w:p w:rsidR="00AF0FDB" w:rsidRPr="002C4F7C" w:rsidRDefault="00AF0FDB" w:rsidP="002C4F7C">
            <w:pPr>
              <w:spacing w:before="0" w:after="0" w:line="240" w:lineRule="auto"/>
              <w:jc w:val="center"/>
              <w:rPr>
                <w:b/>
                <w:bCs/>
                <w:sz w:val="20"/>
                <w:szCs w:val="20"/>
              </w:rPr>
            </w:pPr>
            <w:r w:rsidRPr="002C4F7C">
              <w:rPr>
                <w:b/>
                <w:bCs/>
                <w:sz w:val="20"/>
                <w:szCs w:val="20"/>
              </w:rPr>
              <w:t>50-59</w:t>
            </w:r>
          </w:p>
        </w:tc>
        <w:tc>
          <w:tcPr>
            <w:tcW w:w="453" w:type="dxa"/>
          </w:tcPr>
          <w:p w:rsidR="00AF0FDB" w:rsidRPr="002C4F7C" w:rsidRDefault="00AF0FDB" w:rsidP="002C4F7C">
            <w:pPr>
              <w:spacing w:before="0" w:after="0" w:line="240" w:lineRule="auto"/>
              <w:jc w:val="center"/>
              <w:rPr>
                <w:sz w:val="20"/>
                <w:szCs w:val="20"/>
              </w:rPr>
            </w:pPr>
            <w:r w:rsidRPr="002C4F7C">
              <w:rPr>
                <w:sz w:val="20"/>
                <w:szCs w:val="20"/>
              </w:rPr>
              <w:t>2</w:t>
            </w:r>
          </w:p>
        </w:tc>
        <w:tc>
          <w:tcPr>
            <w:tcW w:w="452" w:type="dxa"/>
          </w:tcPr>
          <w:p w:rsidR="00AF0FDB" w:rsidRPr="002C4F7C" w:rsidRDefault="00AF0FDB" w:rsidP="002C4F7C">
            <w:pPr>
              <w:spacing w:before="0" w:after="0" w:line="240" w:lineRule="auto"/>
              <w:jc w:val="center"/>
              <w:rPr>
                <w:sz w:val="20"/>
                <w:szCs w:val="20"/>
              </w:rPr>
            </w:pPr>
            <w:r w:rsidRPr="002C4F7C">
              <w:rPr>
                <w:sz w:val="20"/>
                <w:szCs w:val="20"/>
              </w:rPr>
              <w:t>1</w:t>
            </w:r>
          </w:p>
        </w:tc>
        <w:tc>
          <w:tcPr>
            <w:tcW w:w="456"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457"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1250" w:type="dxa"/>
          </w:tcPr>
          <w:p w:rsidR="00AF0FDB" w:rsidRPr="002C4F7C" w:rsidRDefault="00AF0FDB" w:rsidP="002C4F7C">
            <w:pPr>
              <w:spacing w:before="0" w:after="0" w:line="240" w:lineRule="auto"/>
              <w:jc w:val="center"/>
              <w:rPr>
                <w:sz w:val="20"/>
                <w:szCs w:val="20"/>
              </w:rPr>
            </w:pPr>
            <w:r w:rsidRPr="002C4F7C">
              <w:rPr>
                <w:sz w:val="20"/>
                <w:szCs w:val="20"/>
              </w:rPr>
              <w:t>3</w:t>
            </w:r>
          </w:p>
        </w:tc>
        <w:tc>
          <w:tcPr>
            <w:tcW w:w="383"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839" w:type="dxa"/>
          </w:tcPr>
          <w:p w:rsidR="00AF0FDB" w:rsidRPr="002C4F7C" w:rsidRDefault="00AF0FDB" w:rsidP="002C4F7C">
            <w:pPr>
              <w:snapToGrid w:val="0"/>
              <w:spacing w:before="0" w:after="0" w:line="240" w:lineRule="auto"/>
              <w:jc w:val="center"/>
              <w:rPr>
                <w:sz w:val="20"/>
                <w:szCs w:val="20"/>
              </w:rPr>
            </w:pPr>
            <w:r w:rsidRPr="002C4F7C">
              <w:rPr>
                <w:sz w:val="20"/>
                <w:szCs w:val="20"/>
              </w:rPr>
              <w:t>3</w:t>
            </w:r>
          </w:p>
        </w:tc>
        <w:tc>
          <w:tcPr>
            <w:tcW w:w="1016" w:type="dxa"/>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tcPr>
          <w:p w:rsidR="00AF0FDB" w:rsidRPr="002C4F7C" w:rsidRDefault="00AF0FDB" w:rsidP="002C4F7C">
            <w:pPr>
              <w:spacing w:before="0" w:after="0" w:line="240" w:lineRule="auto"/>
              <w:jc w:val="center"/>
              <w:rPr>
                <w:sz w:val="20"/>
                <w:szCs w:val="20"/>
              </w:rPr>
            </w:pPr>
            <w:r w:rsidRPr="002C4F7C">
              <w:rPr>
                <w:sz w:val="20"/>
                <w:szCs w:val="20"/>
              </w:rPr>
              <w:t>3</w:t>
            </w:r>
          </w:p>
        </w:tc>
      </w:tr>
      <w:tr w:rsidR="00AF0FDB" w:rsidRPr="007B0FB2">
        <w:tc>
          <w:tcPr>
            <w:tcW w:w="747" w:type="dxa"/>
            <w:shd w:val="clear" w:color="auto" w:fill="E8E8E8"/>
          </w:tcPr>
          <w:p w:rsidR="00AF0FDB" w:rsidRPr="002C4F7C" w:rsidRDefault="00AF0FDB" w:rsidP="002C4F7C">
            <w:pPr>
              <w:spacing w:before="0" w:after="0" w:line="240" w:lineRule="auto"/>
              <w:jc w:val="center"/>
              <w:rPr>
                <w:b/>
                <w:bCs/>
                <w:sz w:val="18"/>
                <w:szCs w:val="18"/>
              </w:rPr>
            </w:pPr>
            <w:r w:rsidRPr="002C4F7C">
              <w:rPr>
                <w:b/>
                <w:bCs/>
                <w:sz w:val="20"/>
                <w:szCs w:val="20"/>
              </w:rPr>
              <w:t>&gt;60</w:t>
            </w:r>
          </w:p>
        </w:tc>
        <w:tc>
          <w:tcPr>
            <w:tcW w:w="45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45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6"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457"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12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c>
          <w:tcPr>
            <w:tcW w:w="383"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2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72"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50"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6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83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3</w:t>
            </w:r>
          </w:p>
        </w:tc>
        <w:tc>
          <w:tcPr>
            <w:tcW w:w="1016"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0</w:t>
            </w:r>
          </w:p>
        </w:tc>
        <w:tc>
          <w:tcPr>
            <w:tcW w:w="481" w:type="dxa"/>
            <w:shd w:val="clear" w:color="auto" w:fill="E8E8E8"/>
          </w:tcPr>
          <w:p w:rsidR="00AF0FDB" w:rsidRPr="002C4F7C" w:rsidRDefault="00AF0FDB" w:rsidP="002C4F7C">
            <w:pPr>
              <w:spacing w:before="0" w:after="0" w:line="240" w:lineRule="auto"/>
              <w:jc w:val="center"/>
              <w:rPr>
                <w:sz w:val="20"/>
                <w:szCs w:val="20"/>
              </w:rPr>
            </w:pPr>
            <w:r w:rsidRPr="002C4F7C">
              <w:rPr>
                <w:sz w:val="20"/>
                <w:szCs w:val="20"/>
              </w:rPr>
              <w:t>3</w:t>
            </w:r>
          </w:p>
        </w:tc>
      </w:tr>
      <w:tr w:rsidR="00AF0FDB" w:rsidRPr="007B0FB2">
        <w:tc>
          <w:tcPr>
            <w:tcW w:w="747" w:type="dxa"/>
          </w:tcPr>
          <w:p w:rsidR="00AF0FDB" w:rsidRPr="002C4F7C" w:rsidRDefault="00AF0FDB" w:rsidP="002C4F7C">
            <w:pPr>
              <w:spacing w:before="0" w:after="0" w:line="240" w:lineRule="auto"/>
              <w:jc w:val="center"/>
              <w:rPr>
                <w:b/>
                <w:bCs/>
                <w:sz w:val="18"/>
                <w:szCs w:val="18"/>
              </w:rPr>
            </w:pPr>
            <w:bookmarkStart w:id="321" w:name="_Hlk431197"/>
            <w:r w:rsidRPr="002C4F7C">
              <w:rPr>
                <w:b/>
                <w:bCs/>
                <w:sz w:val="18"/>
                <w:szCs w:val="18"/>
              </w:rPr>
              <w:t>Razem</w:t>
            </w:r>
          </w:p>
        </w:tc>
        <w:tc>
          <w:tcPr>
            <w:tcW w:w="453" w:type="dxa"/>
          </w:tcPr>
          <w:p w:rsidR="00AF0FDB" w:rsidRPr="002C4F7C" w:rsidRDefault="00AF0FDB" w:rsidP="002C4F7C">
            <w:pPr>
              <w:spacing w:before="0" w:after="0" w:line="240" w:lineRule="auto"/>
              <w:jc w:val="center"/>
              <w:rPr>
                <w:b/>
                <w:bCs/>
                <w:sz w:val="20"/>
                <w:szCs w:val="20"/>
              </w:rPr>
            </w:pPr>
            <w:r w:rsidRPr="002C4F7C">
              <w:rPr>
                <w:b/>
                <w:bCs/>
                <w:sz w:val="20"/>
                <w:szCs w:val="20"/>
              </w:rPr>
              <w:t>41</w:t>
            </w:r>
          </w:p>
        </w:tc>
        <w:tc>
          <w:tcPr>
            <w:tcW w:w="452" w:type="dxa"/>
          </w:tcPr>
          <w:p w:rsidR="00AF0FDB" w:rsidRPr="002C4F7C" w:rsidRDefault="00AF0FDB" w:rsidP="002C4F7C">
            <w:pPr>
              <w:spacing w:before="0" w:after="0" w:line="240" w:lineRule="auto"/>
              <w:jc w:val="center"/>
              <w:rPr>
                <w:b/>
                <w:bCs/>
                <w:sz w:val="20"/>
                <w:szCs w:val="20"/>
              </w:rPr>
            </w:pPr>
            <w:r w:rsidRPr="002C4F7C">
              <w:rPr>
                <w:b/>
                <w:bCs/>
                <w:sz w:val="20"/>
                <w:szCs w:val="20"/>
              </w:rPr>
              <w:t>33</w:t>
            </w:r>
          </w:p>
        </w:tc>
        <w:tc>
          <w:tcPr>
            <w:tcW w:w="456" w:type="dxa"/>
          </w:tcPr>
          <w:p w:rsidR="00AF0FDB" w:rsidRPr="002C4F7C" w:rsidRDefault="00AF0FDB" w:rsidP="002C4F7C">
            <w:pPr>
              <w:spacing w:before="0" w:after="0" w:line="240" w:lineRule="auto"/>
              <w:jc w:val="center"/>
              <w:rPr>
                <w:b/>
                <w:bCs/>
                <w:sz w:val="20"/>
                <w:szCs w:val="20"/>
              </w:rPr>
            </w:pPr>
            <w:r w:rsidRPr="002C4F7C">
              <w:rPr>
                <w:b/>
                <w:bCs/>
                <w:sz w:val="20"/>
                <w:szCs w:val="20"/>
              </w:rPr>
              <w:t>52</w:t>
            </w:r>
          </w:p>
        </w:tc>
        <w:tc>
          <w:tcPr>
            <w:tcW w:w="457" w:type="dxa"/>
          </w:tcPr>
          <w:p w:rsidR="00AF0FDB" w:rsidRPr="002C4F7C" w:rsidRDefault="00AF0FDB" w:rsidP="002C4F7C">
            <w:pPr>
              <w:spacing w:before="0" w:after="0" w:line="240" w:lineRule="auto"/>
              <w:jc w:val="center"/>
              <w:rPr>
                <w:b/>
                <w:bCs/>
                <w:sz w:val="20"/>
                <w:szCs w:val="20"/>
              </w:rPr>
            </w:pPr>
            <w:r w:rsidRPr="002C4F7C">
              <w:rPr>
                <w:b/>
                <w:bCs/>
                <w:sz w:val="20"/>
                <w:szCs w:val="20"/>
              </w:rPr>
              <w:t>22</w:t>
            </w:r>
          </w:p>
        </w:tc>
        <w:tc>
          <w:tcPr>
            <w:tcW w:w="1250" w:type="dxa"/>
          </w:tcPr>
          <w:p w:rsidR="00AF0FDB" w:rsidRPr="002C4F7C" w:rsidRDefault="00AF0FDB" w:rsidP="002C4F7C">
            <w:pPr>
              <w:spacing w:before="0" w:after="0" w:line="240" w:lineRule="auto"/>
              <w:jc w:val="center"/>
              <w:rPr>
                <w:b/>
                <w:bCs/>
                <w:sz w:val="20"/>
                <w:szCs w:val="20"/>
              </w:rPr>
            </w:pPr>
            <w:r w:rsidRPr="002C4F7C">
              <w:rPr>
                <w:b/>
                <w:bCs/>
                <w:sz w:val="20"/>
                <w:szCs w:val="20"/>
              </w:rPr>
              <w:t>74</w:t>
            </w:r>
          </w:p>
        </w:tc>
        <w:tc>
          <w:tcPr>
            <w:tcW w:w="383" w:type="dxa"/>
          </w:tcPr>
          <w:p w:rsidR="00AF0FDB" w:rsidRPr="002C4F7C" w:rsidRDefault="00AF0FDB" w:rsidP="002C4F7C">
            <w:pPr>
              <w:spacing w:before="0" w:after="0" w:line="240" w:lineRule="auto"/>
              <w:jc w:val="center"/>
              <w:rPr>
                <w:b/>
                <w:bCs/>
                <w:sz w:val="20"/>
                <w:szCs w:val="20"/>
              </w:rPr>
            </w:pPr>
            <w:r w:rsidRPr="002C4F7C">
              <w:rPr>
                <w:b/>
                <w:bCs/>
                <w:sz w:val="20"/>
                <w:szCs w:val="20"/>
              </w:rPr>
              <w:t>2</w:t>
            </w:r>
          </w:p>
        </w:tc>
        <w:tc>
          <w:tcPr>
            <w:tcW w:w="421" w:type="dxa"/>
          </w:tcPr>
          <w:p w:rsidR="00AF0FDB" w:rsidRPr="002C4F7C" w:rsidRDefault="00AF0FDB" w:rsidP="002C4F7C">
            <w:pPr>
              <w:spacing w:before="0" w:after="0" w:line="240" w:lineRule="auto"/>
              <w:jc w:val="center"/>
              <w:rPr>
                <w:b/>
                <w:bCs/>
                <w:sz w:val="20"/>
                <w:szCs w:val="20"/>
              </w:rPr>
            </w:pPr>
            <w:r w:rsidRPr="002C4F7C">
              <w:rPr>
                <w:b/>
                <w:bCs/>
                <w:sz w:val="20"/>
                <w:szCs w:val="20"/>
              </w:rPr>
              <w:t>2</w:t>
            </w:r>
          </w:p>
        </w:tc>
        <w:tc>
          <w:tcPr>
            <w:tcW w:w="472" w:type="dxa"/>
          </w:tcPr>
          <w:p w:rsidR="00AF0FDB" w:rsidRPr="002C4F7C" w:rsidRDefault="00AF0FDB" w:rsidP="002C4F7C">
            <w:pPr>
              <w:spacing w:before="0" w:after="0" w:line="240" w:lineRule="auto"/>
              <w:jc w:val="center"/>
              <w:rPr>
                <w:b/>
                <w:bCs/>
                <w:sz w:val="20"/>
                <w:szCs w:val="20"/>
              </w:rPr>
            </w:pPr>
            <w:r w:rsidRPr="002C4F7C">
              <w:rPr>
                <w:b/>
                <w:bCs/>
                <w:sz w:val="20"/>
                <w:szCs w:val="20"/>
              </w:rPr>
              <w:t>5</w:t>
            </w:r>
          </w:p>
        </w:tc>
        <w:tc>
          <w:tcPr>
            <w:tcW w:w="465" w:type="dxa"/>
          </w:tcPr>
          <w:p w:rsidR="00AF0FDB" w:rsidRPr="002C4F7C" w:rsidRDefault="00AF0FDB" w:rsidP="002C4F7C">
            <w:pPr>
              <w:spacing w:before="0" w:after="0" w:line="240" w:lineRule="auto"/>
              <w:jc w:val="center"/>
              <w:rPr>
                <w:b/>
                <w:bCs/>
                <w:sz w:val="20"/>
                <w:szCs w:val="20"/>
              </w:rPr>
            </w:pPr>
            <w:r w:rsidRPr="002C4F7C">
              <w:rPr>
                <w:b/>
                <w:bCs/>
                <w:sz w:val="20"/>
                <w:szCs w:val="20"/>
              </w:rPr>
              <w:t>9</w:t>
            </w:r>
          </w:p>
        </w:tc>
        <w:tc>
          <w:tcPr>
            <w:tcW w:w="450" w:type="dxa"/>
          </w:tcPr>
          <w:p w:rsidR="00AF0FDB" w:rsidRPr="002C4F7C" w:rsidRDefault="00AF0FDB" w:rsidP="002C4F7C">
            <w:pPr>
              <w:spacing w:before="0" w:after="0" w:line="240" w:lineRule="auto"/>
              <w:jc w:val="center"/>
              <w:rPr>
                <w:b/>
                <w:bCs/>
                <w:sz w:val="20"/>
                <w:szCs w:val="20"/>
              </w:rPr>
            </w:pPr>
            <w:r w:rsidRPr="002C4F7C">
              <w:rPr>
                <w:b/>
                <w:bCs/>
                <w:sz w:val="20"/>
                <w:szCs w:val="20"/>
              </w:rPr>
              <w:t>11</w:t>
            </w:r>
          </w:p>
        </w:tc>
        <w:tc>
          <w:tcPr>
            <w:tcW w:w="465" w:type="dxa"/>
          </w:tcPr>
          <w:p w:rsidR="00AF0FDB" w:rsidRPr="002C4F7C" w:rsidRDefault="00AF0FDB" w:rsidP="002C4F7C">
            <w:pPr>
              <w:snapToGrid w:val="0"/>
              <w:spacing w:before="0" w:after="0" w:line="240" w:lineRule="auto"/>
              <w:jc w:val="center"/>
              <w:rPr>
                <w:b/>
                <w:bCs/>
                <w:sz w:val="20"/>
                <w:szCs w:val="20"/>
              </w:rPr>
            </w:pPr>
            <w:r w:rsidRPr="002C4F7C">
              <w:rPr>
                <w:b/>
                <w:bCs/>
                <w:sz w:val="20"/>
                <w:szCs w:val="20"/>
              </w:rPr>
              <w:t>0</w:t>
            </w:r>
          </w:p>
        </w:tc>
        <w:tc>
          <w:tcPr>
            <w:tcW w:w="839" w:type="dxa"/>
          </w:tcPr>
          <w:p w:rsidR="00AF0FDB" w:rsidRPr="002C4F7C" w:rsidRDefault="00AF0FDB" w:rsidP="002C4F7C">
            <w:pPr>
              <w:snapToGrid w:val="0"/>
              <w:spacing w:before="0" w:after="0" w:line="240" w:lineRule="auto"/>
              <w:jc w:val="center"/>
              <w:rPr>
                <w:b/>
                <w:bCs/>
                <w:sz w:val="20"/>
                <w:szCs w:val="20"/>
              </w:rPr>
            </w:pPr>
            <w:r w:rsidRPr="002C4F7C">
              <w:rPr>
                <w:b/>
                <w:bCs/>
                <w:sz w:val="20"/>
                <w:szCs w:val="20"/>
              </w:rPr>
              <w:t>41</w:t>
            </w:r>
          </w:p>
        </w:tc>
        <w:tc>
          <w:tcPr>
            <w:tcW w:w="1016" w:type="dxa"/>
          </w:tcPr>
          <w:p w:rsidR="00AF0FDB" w:rsidRPr="002C4F7C" w:rsidRDefault="00AF0FDB" w:rsidP="002C4F7C">
            <w:pPr>
              <w:snapToGrid w:val="0"/>
              <w:spacing w:before="0" w:after="0" w:line="240" w:lineRule="auto"/>
              <w:jc w:val="center"/>
              <w:rPr>
                <w:b/>
                <w:bCs/>
                <w:sz w:val="20"/>
                <w:szCs w:val="20"/>
              </w:rPr>
            </w:pPr>
            <w:r w:rsidRPr="002C4F7C">
              <w:rPr>
                <w:b/>
                <w:bCs/>
                <w:sz w:val="20"/>
                <w:szCs w:val="20"/>
              </w:rPr>
              <w:t>4</w:t>
            </w:r>
          </w:p>
        </w:tc>
        <w:tc>
          <w:tcPr>
            <w:tcW w:w="481" w:type="dxa"/>
          </w:tcPr>
          <w:p w:rsidR="00AF0FDB" w:rsidRPr="002C4F7C" w:rsidRDefault="00AF0FDB" w:rsidP="002C4F7C">
            <w:pPr>
              <w:spacing w:before="0" w:after="0" w:line="240" w:lineRule="auto"/>
              <w:jc w:val="center"/>
              <w:rPr>
                <w:b/>
                <w:bCs/>
                <w:sz w:val="20"/>
                <w:szCs w:val="20"/>
              </w:rPr>
            </w:pPr>
            <w:r w:rsidRPr="002C4F7C">
              <w:rPr>
                <w:b/>
                <w:bCs/>
                <w:sz w:val="20"/>
                <w:szCs w:val="20"/>
              </w:rPr>
              <w:t>10</w:t>
            </w:r>
          </w:p>
        </w:tc>
        <w:tc>
          <w:tcPr>
            <w:tcW w:w="481" w:type="dxa"/>
          </w:tcPr>
          <w:p w:rsidR="00AF0FDB" w:rsidRPr="002C4F7C" w:rsidRDefault="00AF0FDB" w:rsidP="002C4F7C">
            <w:pPr>
              <w:spacing w:before="0" w:after="0" w:line="240" w:lineRule="auto"/>
              <w:jc w:val="center"/>
              <w:rPr>
                <w:b/>
                <w:bCs/>
                <w:sz w:val="20"/>
                <w:szCs w:val="20"/>
              </w:rPr>
            </w:pPr>
            <w:r w:rsidRPr="002C4F7C">
              <w:rPr>
                <w:b/>
                <w:bCs/>
                <w:sz w:val="20"/>
                <w:szCs w:val="20"/>
              </w:rPr>
              <w:t>64</w:t>
            </w:r>
          </w:p>
        </w:tc>
      </w:tr>
    </w:tbl>
    <w:bookmarkEnd w:id="321"/>
    <w:p w:rsidR="00AF0FDB" w:rsidRPr="00F04D88" w:rsidRDefault="00AF0FDB" w:rsidP="00F04D88">
      <w:pPr>
        <w:spacing w:before="0" w:after="0"/>
        <w:rPr>
          <w:sz w:val="16"/>
          <w:szCs w:val="16"/>
        </w:rPr>
      </w:pPr>
      <w:r w:rsidRPr="00F04D88">
        <w:rPr>
          <w:sz w:val="16"/>
          <w:szCs w:val="16"/>
        </w:rPr>
        <w:t>*H-hospitalizacja, A-Ambulatorium</w:t>
      </w:r>
    </w:p>
    <w:p w:rsidR="00AF0FDB" w:rsidRPr="00E02A2D" w:rsidRDefault="00AF0FDB" w:rsidP="008D0B7F">
      <w:pPr>
        <w:spacing w:after="0"/>
        <w:jc w:val="both"/>
      </w:pPr>
      <w:r w:rsidRPr="00E02A2D">
        <w:t>W roku 2018 odnotowano 74 przypadki zachorowań na krztusiec (wsp. zap. 8,0/100000), co stanowi spadek zachorowań w porównaniu do roku 2017, w którym zarejestrowano 103 przypadki (wsp. zap. 11,2/100000). Rozpoznanie zachorowania na krztusiec w 44 przypadkach (59,5%) na podstawie obrazu klinicznego wykazano jako możliwe, 2 przypadki (2,7%) zakwalifikowano jako prawdopodobne z uwagi na przesłanki epidemiologiczne, natomiast w 28 przypadkach (37,8%) zachorowanie potwierdzone zostało badaniem serologicznym (dotyczy 20 przypadków) lub badaniem molekularnym (dotyczy 8 przypadków). Największą liczbę zachorowań</w:t>
      </w:r>
      <w:r>
        <w:t>,</w:t>
      </w:r>
      <w:r w:rsidRPr="00E02A2D">
        <w:t xml:space="preserve"> tj. 20 zarejestrowano w grupie wiekowej 0-4 lat, co stanowi 27% wykazanych przypadków; niewiele mniej przypadków zachorowań tj. 17 odnotowano w grupie wiekowej 40-49 lat (23% przypadków). Wśród zgłoszonych 74 zachorowań, u 10 osób (13,5%) odnotowano hospitalizację, wśród których 9 dotyczyło dzieci w wieku 0-4 lat. Udokumentowane szczepienia ochronne stwierdzono u 29 osób, które kształtowały się następująco:</w:t>
      </w:r>
    </w:p>
    <w:p w:rsidR="00AF0FDB" w:rsidRPr="00E02A2D" w:rsidRDefault="00AF0FDB" w:rsidP="00DE0EFA">
      <w:pPr>
        <w:numPr>
          <w:ilvl w:val="0"/>
          <w:numId w:val="15"/>
        </w:numPr>
        <w:suppressAutoHyphens/>
        <w:spacing w:before="0" w:after="0"/>
        <w:contextualSpacing/>
        <w:jc w:val="both"/>
        <w:rPr>
          <w:rFonts w:eastAsia="SimSun"/>
          <w:kern w:val="2"/>
          <w:lang w:eastAsia="zh-CN"/>
        </w:rPr>
      </w:pPr>
      <w:r w:rsidRPr="00E02A2D">
        <w:rPr>
          <w:rFonts w:eastAsia="SimSun"/>
          <w:kern w:val="2"/>
          <w:lang w:eastAsia="zh-CN"/>
        </w:rPr>
        <w:t>2 dzieci otrzymał</w:t>
      </w:r>
      <w:r>
        <w:rPr>
          <w:rFonts w:eastAsia="SimSun"/>
          <w:kern w:val="2"/>
          <w:lang w:eastAsia="zh-CN"/>
        </w:rPr>
        <w:t>o</w:t>
      </w:r>
      <w:r w:rsidRPr="00E02A2D">
        <w:rPr>
          <w:rFonts w:eastAsia="SimSun"/>
          <w:kern w:val="2"/>
          <w:lang w:eastAsia="zh-CN"/>
        </w:rPr>
        <w:t xml:space="preserve"> I dawkę</w:t>
      </w:r>
      <w:r>
        <w:rPr>
          <w:rFonts w:eastAsia="SimSun"/>
          <w:kern w:val="2"/>
          <w:lang w:eastAsia="zh-CN"/>
        </w:rPr>
        <w:t>,</w:t>
      </w:r>
    </w:p>
    <w:p w:rsidR="00AF0FDB" w:rsidRPr="00E02A2D" w:rsidRDefault="00AF0FDB" w:rsidP="00DE0EFA">
      <w:pPr>
        <w:numPr>
          <w:ilvl w:val="0"/>
          <w:numId w:val="15"/>
        </w:numPr>
        <w:suppressAutoHyphens/>
        <w:spacing w:before="0" w:after="0"/>
        <w:contextualSpacing/>
        <w:jc w:val="both"/>
        <w:rPr>
          <w:rFonts w:eastAsia="SimSun"/>
          <w:kern w:val="2"/>
          <w:lang w:eastAsia="zh-CN"/>
        </w:rPr>
      </w:pPr>
      <w:r w:rsidRPr="00E02A2D">
        <w:rPr>
          <w:rFonts w:eastAsia="SimSun"/>
          <w:kern w:val="2"/>
          <w:lang w:eastAsia="zh-CN"/>
        </w:rPr>
        <w:t xml:space="preserve">2 dzieci </w:t>
      </w:r>
      <w:r>
        <w:rPr>
          <w:rFonts w:eastAsia="SimSun"/>
          <w:kern w:val="2"/>
          <w:lang w:eastAsia="zh-CN"/>
        </w:rPr>
        <w:t>-</w:t>
      </w:r>
      <w:r w:rsidRPr="00E02A2D">
        <w:rPr>
          <w:rFonts w:eastAsia="SimSun"/>
          <w:kern w:val="2"/>
          <w:lang w:eastAsia="zh-CN"/>
        </w:rPr>
        <w:t xml:space="preserve"> II dawki</w:t>
      </w:r>
      <w:r>
        <w:rPr>
          <w:rFonts w:eastAsia="SimSun"/>
          <w:kern w:val="2"/>
          <w:lang w:eastAsia="zh-CN"/>
        </w:rPr>
        <w:t>,</w:t>
      </w:r>
    </w:p>
    <w:p w:rsidR="00AF0FDB" w:rsidRPr="00E02A2D" w:rsidRDefault="00AF0FDB" w:rsidP="00DE0EFA">
      <w:pPr>
        <w:numPr>
          <w:ilvl w:val="0"/>
          <w:numId w:val="15"/>
        </w:numPr>
        <w:suppressAutoHyphens/>
        <w:spacing w:before="0" w:after="0"/>
        <w:contextualSpacing/>
        <w:jc w:val="both"/>
        <w:rPr>
          <w:rFonts w:eastAsia="SimSun"/>
          <w:kern w:val="2"/>
          <w:lang w:eastAsia="zh-CN"/>
        </w:rPr>
      </w:pPr>
      <w:r w:rsidRPr="00E02A2D">
        <w:rPr>
          <w:rFonts w:eastAsia="SimSun"/>
          <w:kern w:val="2"/>
          <w:lang w:eastAsia="zh-CN"/>
        </w:rPr>
        <w:t>5 dzieci – III dawki</w:t>
      </w:r>
      <w:r>
        <w:rPr>
          <w:rFonts w:eastAsia="SimSun"/>
          <w:kern w:val="2"/>
          <w:lang w:eastAsia="zh-CN"/>
        </w:rPr>
        <w:t>,</w:t>
      </w:r>
    </w:p>
    <w:p w:rsidR="00AF0FDB" w:rsidRPr="00E02A2D" w:rsidRDefault="00AF0FDB" w:rsidP="00DE0EFA">
      <w:pPr>
        <w:numPr>
          <w:ilvl w:val="0"/>
          <w:numId w:val="15"/>
        </w:numPr>
        <w:suppressAutoHyphens/>
        <w:spacing w:before="0" w:after="0"/>
        <w:contextualSpacing/>
        <w:jc w:val="both"/>
        <w:rPr>
          <w:rFonts w:eastAsia="SimSun"/>
          <w:kern w:val="2"/>
          <w:lang w:eastAsia="zh-CN"/>
        </w:rPr>
      </w:pPr>
      <w:r w:rsidRPr="00E02A2D">
        <w:rPr>
          <w:rFonts w:eastAsia="SimSun"/>
          <w:kern w:val="2"/>
          <w:lang w:eastAsia="zh-CN"/>
        </w:rPr>
        <w:t>9 dzieci –  IV dawki</w:t>
      </w:r>
      <w:r>
        <w:rPr>
          <w:rFonts w:eastAsia="SimSun"/>
          <w:kern w:val="2"/>
          <w:lang w:eastAsia="zh-CN"/>
        </w:rPr>
        <w:t>,</w:t>
      </w:r>
    </w:p>
    <w:p w:rsidR="00AF0FDB" w:rsidRDefault="00AF0FDB" w:rsidP="00C44F57">
      <w:pPr>
        <w:numPr>
          <w:ilvl w:val="0"/>
          <w:numId w:val="15"/>
        </w:numPr>
        <w:suppressAutoHyphens/>
        <w:spacing w:before="0" w:after="0"/>
        <w:contextualSpacing/>
        <w:jc w:val="both"/>
        <w:rPr>
          <w:rFonts w:eastAsia="SimSun"/>
          <w:kern w:val="2"/>
          <w:lang w:eastAsia="zh-CN"/>
        </w:rPr>
      </w:pPr>
      <w:r w:rsidRPr="00E02A2D">
        <w:rPr>
          <w:rFonts w:eastAsia="SimSun"/>
          <w:kern w:val="2"/>
          <w:lang w:eastAsia="zh-CN"/>
        </w:rPr>
        <w:t>11 osób – V dawek</w:t>
      </w:r>
      <w:r>
        <w:rPr>
          <w:rFonts w:eastAsia="SimSun"/>
          <w:kern w:val="2"/>
          <w:lang w:eastAsia="zh-CN"/>
        </w:rPr>
        <w:t>,</w:t>
      </w:r>
    </w:p>
    <w:p w:rsidR="00AF0FDB" w:rsidRPr="00D60D85" w:rsidRDefault="00AF0FDB" w:rsidP="00C44F57">
      <w:pPr>
        <w:numPr>
          <w:ilvl w:val="0"/>
          <w:numId w:val="15"/>
        </w:numPr>
        <w:suppressAutoHyphens/>
        <w:spacing w:before="0" w:after="0"/>
        <w:contextualSpacing/>
        <w:jc w:val="both"/>
        <w:rPr>
          <w:rFonts w:eastAsia="SimSun"/>
          <w:kern w:val="2"/>
          <w:lang w:eastAsia="zh-CN"/>
        </w:rPr>
      </w:pPr>
      <w:r w:rsidRPr="00E02A2D">
        <w:t xml:space="preserve">U 41 osób brak udokumentowania danych dotyczących szczepień p/krztuścowi, osoby </w:t>
      </w:r>
      <w:r w:rsidRPr="00E02A2D">
        <w:br/>
        <w:t xml:space="preserve">te deklarowały, iż były szczepione w dzieciństwie. Tylko 4 osoby chore nie otrzymały w przeszłości ani jednej dawki szczepionki p/krztuścowej. </w:t>
      </w:r>
    </w:p>
    <w:p w:rsidR="00AF0FDB" w:rsidRPr="00E02A2D" w:rsidRDefault="00AF0FDB" w:rsidP="00C44F57">
      <w:pPr>
        <w:spacing w:after="0"/>
        <w:jc w:val="both"/>
      </w:pPr>
      <w:r w:rsidRPr="00E02A2D">
        <w:t xml:space="preserve">Wśród analizowanych zgłoszonych zachorowań na krztusiec w roku 2018 stwierdzono pięć rodzinnych ognisk 2-osobowych i jedno </w:t>
      </w:r>
      <w:r>
        <w:t xml:space="preserve">rodzinne </w:t>
      </w:r>
      <w:r w:rsidRPr="00E02A2D">
        <w:t>ognisko 3-osobowe.</w:t>
      </w:r>
    </w:p>
    <w:p w:rsidR="00AF0FDB" w:rsidRPr="00493534" w:rsidRDefault="00AF0FDB" w:rsidP="00642C07">
      <w:pPr>
        <w:spacing w:after="0"/>
        <w:jc w:val="both"/>
        <w:rPr>
          <w:b/>
          <w:bCs/>
        </w:rPr>
      </w:pPr>
      <w:r w:rsidRPr="00493534">
        <w:rPr>
          <w:b/>
          <w:bCs/>
        </w:rPr>
        <w:t>Odra</w:t>
      </w:r>
      <w:bookmarkStart w:id="322" w:name="_Hlk506233841"/>
    </w:p>
    <w:bookmarkEnd w:id="322"/>
    <w:p w:rsidR="00AF0FDB" w:rsidRPr="00543251" w:rsidRDefault="00AF0FDB" w:rsidP="00347491">
      <w:pPr>
        <w:tabs>
          <w:tab w:val="left" w:pos="1418"/>
          <w:tab w:val="left" w:pos="2410"/>
          <w:tab w:val="left" w:pos="2552"/>
        </w:tabs>
        <w:spacing w:after="0"/>
        <w:jc w:val="both"/>
      </w:pPr>
      <w:r w:rsidRPr="00543251">
        <w:t>W roku 2018 zgłoszono łącznie 23 przypadk</w:t>
      </w:r>
      <w:r>
        <w:t xml:space="preserve">i podejrzeń zachorowań </w:t>
      </w:r>
      <w:r w:rsidRPr="00543251">
        <w:t>na odrę (wsp. zap. 2,5/100000), spośród których 15 (wsp. zap. 1,6/100000) ostatecznie wykazano jako odrę (w 8 przypadkach stwierdzono zachorowanie na odrę potwierdzoną laboratoryjnie, 6 przypadków zakwalifikowano jako możliwe, natomiast jeden przypadek wykazano jako prawdopodobny - ustalono powiązanie epidemiologiczne, tj. wspólne miejsce pracy). Czworo chorych wymagało hospitalizacji.</w:t>
      </w:r>
      <w:r>
        <w:t xml:space="preserve"> W </w:t>
      </w:r>
      <w:r w:rsidRPr="00543251">
        <w:t>46,7%</w:t>
      </w:r>
      <w:r w:rsidRPr="00543251">
        <w:rPr>
          <w:b/>
          <w:bCs/>
        </w:rPr>
        <w:t xml:space="preserve"> </w:t>
      </w:r>
      <w:r w:rsidRPr="00543251">
        <w:t xml:space="preserve">wykazanych przypadków zachorowań (tj. 7 chorych) stanowią pacjenci narodowości ukraińskiej, pozostałych 8 to pacjenci narodowości polskiej. Wśród wszystkich zachorowań 86,67% tj. 13 przypadków stanowią osoby nieszczepione p/odrze lub bez udokumentowanej historii szczepień. </w:t>
      </w:r>
    </w:p>
    <w:p w:rsidR="00AF0FDB" w:rsidRDefault="00AF0FDB" w:rsidP="00012C87">
      <w:pPr>
        <w:tabs>
          <w:tab w:val="left" w:pos="1418"/>
          <w:tab w:val="left" w:pos="2410"/>
          <w:tab w:val="left" w:pos="2552"/>
        </w:tabs>
        <w:spacing w:after="0"/>
        <w:jc w:val="both"/>
        <w:rPr>
          <w:i/>
          <w:iCs/>
        </w:rPr>
      </w:pPr>
      <w:r w:rsidRPr="00543251">
        <w:t>W roku 2017 odnotowano 30 przypadków podejrzenia zachorowania na odrę (wsp. zap. 3,2/100000), spośród których 25 (wsp. zap. 2,7/100000) ostatecznie wykazano jako odrę.</w:t>
      </w:r>
    </w:p>
    <w:p w:rsidR="00AF0FDB" w:rsidRPr="00493534" w:rsidRDefault="00AF0FDB" w:rsidP="00642C07">
      <w:pPr>
        <w:tabs>
          <w:tab w:val="left" w:pos="1418"/>
          <w:tab w:val="left" w:pos="2410"/>
          <w:tab w:val="left" w:pos="2552"/>
        </w:tabs>
        <w:spacing w:after="0"/>
        <w:jc w:val="both"/>
        <w:rPr>
          <w:lang w:eastAsia="en-US"/>
        </w:rPr>
      </w:pPr>
      <w:r w:rsidRPr="00493534">
        <w:rPr>
          <w:b/>
          <w:bCs/>
        </w:rPr>
        <w:t>Wirusowe zapalenie wątroby typu B</w:t>
      </w:r>
    </w:p>
    <w:p w:rsidR="00AF0FDB" w:rsidRPr="00E02A2D" w:rsidRDefault="00AF0FDB" w:rsidP="00F24F9C">
      <w:pPr>
        <w:spacing w:after="0"/>
        <w:jc w:val="both"/>
      </w:pPr>
      <w:r w:rsidRPr="00E02A2D">
        <w:t xml:space="preserve">W 2018 roku zarejestrowano 144 zachorowania na wzw </w:t>
      </w:r>
      <w:r>
        <w:t xml:space="preserve">typu </w:t>
      </w:r>
      <w:r w:rsidRPr="00E02A2D">
        <w:t>B (wsp. zap. 15,6/100000), co stanowi spadek o 14 zachorowań w porównaniu do 2017 r., kiedy odnotowano 158 przypadków zachorowań (wsp. zap. 17,2/100000). Wszystkie zgłoszone w 2018 r. zachorowania dotyczyły przewlekłego wirusowego zapalenia wątroby typu B.</w:t>
      </w:r>
    </w:p>
    <w:p w:rsidR="00AF0FDB" w:rsidRPr="00E02A2D" w:rsidRDefault="00AF0FDB" w:rsidP="00F24F9C">
      <w:pPr>
        <w:spacing w:after="0"/>
        <w:jc w:val="both"/>
      </w:pPr>
      <w:r w:rsidRPr="00E02A2D">
        <w:t xml:space="preserve">Zachorowanie na wzw typu B w 56 przypadkach dotyczą kobiet (39% ogółu), a w 88 przypadkach mężczyzn (61% ogółu). Najwięcej zachorowań na wzw typu B w 2018 r. zarejestrowano w grupie wiekowej &gt;60 lat (38 przypadków), co stanowi 26% oraz </w:t>
      </w:r>
      <w:r>
        <w:br/>
      </w:r>
      <w:r w:rsidRPr="00E02A2D">
        <w:t xml:space="preserve">w grupie wiekowej 40-49 lat (34 przypadki), co stanowi 24% ogółu zachorowań. Natomiast w grupie wiekowej 1-14 lat nie odnotowano żadnego przypadku zachorowania na wzw typu B. </w:t>
      </w:r>
    </w:p>
    <w:p w:rsidR="00AF0FDB" w:rsidRPr="00E02A2D" w:rsidRDefault="00AF0FDB" w:rsidP="00F24F9C">
      <w:pPr>
        <w:spacing w:after="0"/>
        <w:jc w:val="both"/>
      </w:pPr>
      <w:r w:rsidRPr="00E02A2D">
        <w:t>Wśród chorych na przewlekłe wi</w:t>
      </w:r>
      <w:r>
        <w:t>rusowe zapalenie wątroby typu B,</w:t>
      </w:r>
      <w:r w:rsidRPr="00E02A2D">
        <w:t xml:space="preserve"> 27 osób otrzymało w przeszłości pełen cykl szczepień przeciwko wzw typu B, 7 osób otrzymało 2 dawki szczepion</w:t>
      </w:r>
      <w:r>
        <w:t>ki</w:t>
      </w:r>
      <w:r w:rsidRPr="00E02A2D">
        <w:t>, natomiast 64 osoby nie były szczepione. W pozostałych 46 przypadkach brak danych dotyczących stanu zaszczepienia. Wśród zachorowań odnotowano 4 zachorowania pracowników medycznych (3 lekarzy</w:t>
      </w:r>
      <w:r>
        <w:t>,</w:t>
      </w:r>
      <w:r w:rsidRPr="00E02A2D">
        <w:t xml:space="preserve"> w tym 1 stomatolog oraz salowa).</w:t>
      </w:r>
    </w:p>
    <w:p w:rsidR="00AF0FDB" w:rsidRDefault="00AF0FDB" w:rsidP="00FD7AA9">
      <w:pPr>
        <w:spacing w:before="0" w:after="0"/>
        <w:jc w:val="both"/>
        <w:rPr>
          <w:b/>
          <w:bCs/>
        </w:rPr>
      </w:pPr>
    </w:p>
    <w:p w:rsidR="00AF0FDB" w:rsidRPr="00493534" w:rsidRDefault="00AF0FDB" w:rsidP="00FD7AA9">
      <w:pPr>
        <w:spacing w:before="0" w:after="0"/>
        <w:jc w:val="both"/>
        <w:rPr>
          <w:b/>
          <w:bCs/>
        </w:rPr>
      </w:pPr>
      <w:r w:rsidRPr="00493534">
        <w:rPr>
          <w:b/>
          <w:bCs/>
        </w:rPr>
        <w:t>Tężec</w:t>
      </w:r>
    </w:p>
    <w:p w:rsidR="00AF0FDB" w:rsidRPr="009B2765" w:rsidRDefault="00AF0FDB" w:rsidP="009B2765">
      <w:pPr>
        <w:spacing w:before="0" w:after="0"/>
        <w:jc w:val="both"/>
        <w:rPr>
          <w:lang w:eastAsia="en-US"/>
        </w:rPr>
      </w:pPr>
      <w:r w:rsidRPr="009B2765">
        <w:rPr>
          <w:lang w:eastAsia="en-US"/>
        </w:rPr>
        <w:t>W 2018 roku na terenie powiatu poznańskiego nie zarejestrowano zachorowania na tężec.</w:t>
      </w:r>
    </w:p>
    <w:p w:rsidR="00AF0FDB" w:rsidRPr="00493534" w:rsidRDefault="00AF0FDB" w:rsidP="00642C07">
      <w:pPr>
        <w:spacing w:before="120" w:after="0"/>
        <w:jc w:val="both"/>
        <w:rPr>
          <w:b/>
          <w:bCs/>
        </w:rPr>
      </w:pPr>
      <w:r w:rsidRPr="00493534">
        <w:rPr>
          <w:b/>
          <w:bCs/>
        </w:rPr>
        <w:t>Nagminne porażenie dziecięce</w:t>
      </w:r>
    </w:p>
    <w:p w:rsidR="00AF0FDB" w:rsidRPr="001F6F83" w:rsidRDefault="00AF0FDB" w:rsidP="001F6F83">
      <w:pPr>
        <w:spacing w:before="0" w:after="0"/>
        <w:jc w:val="both"/>
        <w:rPr>
          <w:lang w:eastAsia="ar-SA"/>
        </w:rPr>
      </w:pPr>
      <w:r w:rsidRPr="001F6F83">
        <w:rPr>
          <w:lang w:eastAsia="ar-SA"/>
        </w:rPr>
        <w:t xml:space="preserve">W 2018 roku nie odnotowano zachorowania na nagminne porażenie dziecięce. </w:t>
      </w:r>
    </w:p>
    <w:p w:rsidR="00AF0FDB" w:rsidRPr="001F6F83" w:rsidRDefault="00AF0FDB" w:rsidP="001F6F83">
      <w:pPr>
        <w:spacing w:before="0" w:after="0"/>
        <w:jc w:val="both"/>
        <w:rPr>
          <w:lang w:eastAsia="ar-SA"/>
        </w:rPr>
      </w:pPr>
      <w:r>
        <w:rPr>
          <w:lang w:eastAsia="ar-SA"/>
        </w:rPr>
        <w:t>W porównaniu do roku ubiegłego gdzie</w:t>
      </w:r>
      <w:r w:rsidRPr="001F6F83">
        <w:rPr>
          <w:lang w:eastAsia="ar-SA"/>
        </w:rPr>
        <w:t xml:space="preserve"> zgłoszono 3 przypadki ostrego porażenia wiotkiego u dzieci w wieku do 14 lat.</w:t>
      </w:r>
    </w:p>
    <w:p w:rsidR="00AF0FDB" w:rsidRDefault="00AF0FDB" w:rsidP="00FD7AA9">
      <w:pPr>
        <w:spacing w:before="0" w:after="0"/>
        <w:jc w:val="both"/>
        <w:rPr>
          <w:b/>
          <w:bCs/>
        </w:rPr>
      </w:pPr>
    </w:p>
    <w:p w:rsidR="00AF0FDB" w:rsidRPr="00493534" w:rsidRDefault="00AF0FDB" w:rsidP="00FD7AA9">
      <w:pPr>
        <w:spacing w:before="0" w:after="0"/>
        <w:jc w:val="both"/>
        <w:rPr>
          <w:b/>
          <w:bCs/>
        </w:rPr>
      </w:pPr>
      <w:r w:rsidRPr="00493534">
        <w:rPr>
          <w:b/>
          <w:bCs/>
        </w:rPr>
        <w:t>Nagminne zapalenie przyusznic</w:t>
      </w:r>
    </w:p>
    <w:p w:rsidR="00AF0FDB" w:rsidRPr="00421F10" w:rsidRDefault="00AF0FDB" w:rsidP="00421F10">
      <w:pPr>
        <w:spacing w:before="0" w:after="0"/>
        <w:jc w:val="both"/>
      </w:pPr>
      <w:bookmarkStart w:id="323" w:name="_Hlk164442"/>
      <w:r w:rsidRPr="00421F10">
        <w:t>W 2018 roku zarejestrowano ogółem 45 przypadków zachorowań na nagminne zapalenie przyusznic (wsp. zap. 4,9/100000), co stanowi spadek zachorowań o 1 przypadek mniej w porównaniu do 2017 roku, w którym zgłoszono 46 zachorowań (wsp. zap. 5,0/100000).</w:t>
      </w:r>
    </w:p>
    <w:p w:rsidR="00AF0FDB" w:rsidRPr="00421F10" w:rsidRDefault="00AF0FDB" w:rsidP="00421F10">
      <w:pPr>
        <w:spacing w:before="0" w:after="0"/>
        <w:jc w:val="both"/>
      </w:pPr>
      <w:r w:rsidRPr="00421F10">
        <w:t>Największą liczbę zachorowań odnotowano u dzieci w przedziale wiekowym 0-4 lat, tj. 16 przypadków (wsp. zap. 29,4/100000). Analizując zachorowania według płci, 55,6% zachorowań dotyczy mężczyzn, natomiast 44,4% to zachorowania wśród kobiet. Odnotowano, iż 14 osób (31,1%) nie  było w przeszłości szczepionych przeciw nagminnemu zapaleniu przyusznic. Stan zaszczepienia 21 osób (46,47%) kształtuje się następująco:</w:t>
      </w:r>
    </w:p>
    <w:p w:rsidR="00AF0FDB" w:rsidRPr="00421F10" w:rsidRDefault="00AF0FDB" w:rsidP="00421F10">
      <w:pPr>
        <w:spacing w:before="0" w:after="0"/>
        <w:jc w:val="both"/>
      </w:pPr>
      <w:r w:rsidRPr="00421F10">
        <w:t>- 3 osoby zaszczepiono jedną dawką MMR,</w:t>
      </w:r>
    </w:p>
    <w:p w:rsidR="00AF0FDB" w:rsidRPr="00421F10" w:rsidRDefault="00AF0FDB" w:rsidP="00421F10">
      <w:pPr>
        <w:spacing w:before="0" w:after="0"/>
        <w:jc w:val="both"/>
      </w:pPr>
      <w:r w:rsidRPr="00421F10">
        <w:t>- 3 osoby - jedną dawką MMRVaxPro,</w:t>
      </w:r>
    </w:p>
    <w:p w:rsidR="00AF0FDB" w:rsidRPr="00421F10" w:rsidRDefault="00AF0FDB" w:rsidP="00421F10">
      <w:pPr>
        <w:spacing w:before="0" w:after="0"/>
        <w:jc w:val="both"/>
      </w:pPr>
      <w:r w:rsidRPr="00421F10">
        <w:t>- 5 osób - jedną dawką Priorix,</w:t>
      </w:r>
    </w:p>
    <w:p w:rsidR="00AF0FDB" w:rsidRPr="00421F10" w:rsidRDefault="00AF0FDB" w:rsidP="00421F10">
      <w:pPr>
        <w:spacing w:before="0" w:after="0"/>
        <w:jc w:val="both"/>
      </w:pPr>
      <w:r w:rsidRPr="00421F10">
        <w:t>- 2 osoby - dwiema dawkami Priorix,</w:t>
      </w:r>
    </w:p>
    <w:p w:rsidR="00AF0FDB" w:rsidRPr="00421F10" w:rsidRDefault="00AF0FDB" w:rsidP="00421F10">
      <w:pPr>
        <w:spacing w:before="0" w:after="0"/>
        <w:jc w:val="both"/>
      </w:pPr>
      <w:r w:rsidRPr="00421F10">
        <w:t>- 1 osobę - dwiema dawkami szczepionki MMRII i MMRVaxPro.</w:t>
      </w:r>
    </w:p>
    <w:p w:rsidR="00AF0FDB" w:rsidRPr="00421F10" w:rsidRDefault="00AF0FDB" w:rsidP="00421F10">
      <w:pPr>
        <w:spacing w:before="0" w:after="0"/>
        <w:jc w:val="both"/>
      </w:pPr>
      <w:r w:rsidRPr="00421F10">
        <w:t xml:space="preserve">- u 7 osób zaszczepionych brak informacji dotyczącej rodzaju i liczy dawek szczepionki. </w:t>
      </w:r>
    </w:p>
    <w:p w:rsidR="00AF0FDB" w:rsidRPr="00421F10" w:rsidRDefault="00AF0FDB" w:rsidP="00421F10">
      <w:pPr>
        <w:spacing w:before="0" w:after="0"/>
        <w:jc w:val="both"/>
      </w:pPr>
      <w:r w:rsidRPr="00421F10">
        <w:t>Brak danych o stanie zaszczepienia stwierdzono w 10 przypadkach zachorowań tj. 4,5%.</w:t>
      </w:r>
    </w:p>
    <w:p w:rsidR="00AF0FDB" w:rsidRDefault="00AF0FDB" w:rsidP="00D60D85">
      <w:pPr>
        <w:spacing w:before="0" w:after="0"/>
        <w:jc w:val="both"/>
      </w:pPr>
      <w:r w:rsidRPr="00421F10">
        <w:t>Wśród zgłoszonych przypadków zachorowań odnotowano 3 hospitalizacje.</w:t>
      </w:r>
      <w:bookmarkEnd w:id="323"/>
    </w:p>
    <w:p w:rsidR="00AF0FDB" w:rsidRDefault="00AF0FDB" w:rsidP="00D60D85">
      <w:pPr>
        <w:spacing w:before="0" w:after="0"/>
        <w:jc w:val="both"/>
      </w:pPr>
    </w:p>
    <w:p w:rsidR="00AF0FDB" w:rsidRDefault="00AF0FDB" w:rsidP="00D60D85">
      <w:pPr>
        <w:spacing w:before="0" w:after="0"/>
        <w:jc w:val="both"/>
      </w:pPr>
    </w:p>
    <w:p w:rsidR="00AF0FDB" w:rsidRDefault="00AF0FDB" w:rsidP="00D60D85">
      <w:pPr>
        <w:spacing w:before="0" w:after="0"/>
        <w:jc w:val="both"/>
      </w:pPr>
    </w:p>
    <w:p w:rsidR="00AF0FDB" w:rsidRPr="00D60D85" w:rsidRDefault="00AF0FDB" w:rsidP="00D60D85">
      <w:pPr>
        <w:spacing w:before="0" w:after="0"/>
        <w:jc w:val="both"/>
      </w:pPr>
    </w:p>
    <w:p w:rsidR="00AF0FDB" w:rsidRPr="001C2774" w:rsidRDefault="00AF0FDB" w:rsidP="001C2774">
      <w:pPr>
        <w:pStyle w:val="Heading1"/>
        <w:rPr>
          <w:rFonts w:ascii="Times New Roman" w:hAnsi="Times New Roman" w:cs="Times New Roman"/>
          <w:i/>
          <w:iCs/>
          <w:sz w:val="24"/>
          <w:szCs w:val="24"/>
        </w:rPr>
      </w:pPr>
      <w:bookmarkStart w:id="324" w:name="_Toc938867"/>
      <w:r w:rsidRPr="001C2774">
        <w:rPr>
          <w:rFonts w:ascii="Times New Roman" w:hAnsi="Times New Roman" w:cs="Times New Roman"/>
          <w:sz w:val="24"/>
          <w:szCs w:val="24"/>
        </w:rPr>
        <w:t xml:space="preserve">Neuroinfekcje oraz choroby: meningokokowa, pneumokokowa </w:t>
      </w:r>
      <w:r w:rsidRPr="001C2774">
        <w:rPr>
          <w:rFonts w:ascii="Times New Roman" w:hAnsi="Times New Roman" w:cs="Times New Roman"/>
          <w:sz w:val="24"/>
          <w:szCs w:val="24"/>
        </w:rPr>
        <w:br/>
        <w:t xml:space="preserve">i wywołana przez </w:t>
      </w:r>
      <w:r w:rsidRPr="001C2774">
        <w:rPr>
          <w:rFonts w:ascii="Times New Roman" w:hAnsi="Times New Roman" w:cs="Times New Roman"/>
          <w:i/>
          <w:iCs/>
          <w:sz w:val="24"/>
          <w:szCs w:val="24"/>
        </w:rPr>
        <w:t>Haemophilius influenzae</w:t>
      </w:r>
      <w:bookmarkEnd w:id="324"/>
    </w:p>
    <w:p w:rsidR="00AF0FDB" w:rsidRPr="00493534" w:rsidRDefault="00AF0FDB" w:rsidP="00642C07">
      <w:pPr>
        <w:spacing w:after="0"/>
        <w:rPr>
          <w:b/>
          <w:bCs/>
          <w:lang w:eastAsia="en-US"/>
        </w:rPr>
      </w:pPr>
      <w:r w:rsidRPr="00493534">
        <w:rPr>
          <w:b/>
          <w:bCs/>
        </w:rPr>
        <w:t>Inwazyjna choroba meningokokowa</w:t>
      </w:r>
    </w:p>
    <w:p w:rsidR="00AF0FDB" w:rsidRDefault="00AF0FDB" w:rsidP="00FA4A34">
      <w:pPr>
        <w:spacing w:before="0" w:after="0"/>
      </w:pPr>
      <w:r w:rsidRPr="00543251">
        <w:t xml:space="preserve">W 2018 roku zarejestrowano ogółem 6 zachorowań na inwazyjną chorobę meningokokową (wsp. zap. 0,6/100000), co stanowi wzrost w porównaniu do 2017 roku, w którym zgłoszono 5 zachorowań (wsp. zap. 0,5/100000). Zachorowania w 4 przypadkach miały postać </w:t>
      </w:r>
      <w:r>
        <w:t xml:space="preserve">kliniczną </w:t>
      </w:r>
      <w:r w:rsidRPr="00543251">
        <w:t xml:space="preserve">zapalenia opon mózgowych, w 1 przypadku zachorowanie zostało zarejestrowane jako postać inna określona i nieokreślona, w 1 przypadku miało postać posocznicy. We wszystkich 6 przypadkach przekazano materiał diagnostyczny do KOROUN, gdzie w 4 przypadkach zidentyfikowano </w:t>
      </w:r>
      <w:r w:rsidRPr="00543251">
        <w:rPr>
          <w:i/>
          <w:iCs/>
        </w:rPr>
        <w:t>Neisseria meningitidis</w:t>
      </w:r>
      <w:r w:rsidRPr="00543251">
        <w:t xml:space="preserve"> grupy serologicznej B, w 1 przypadku </w:t>
      </w:r>
      <w:r w:rsidRPr="00543251">
        <w:rPr>
          <w:i/>
          <w:iCs/>
        </w:rPr>
        <w:t>Neisseria meningitidis</w:t>
      </w:r>
      <w:r w:rsidRPr="00543251">
        <w:t xml:space="preserve"> grupy serologicznej C, w 1 przypadku nie udało się oznaczyć grupy serologicznej</w:t>
      </w:r>
      <w:r w:rsidRPr="00543251">
        <w:rPr>
          <w:i/>
          <w:iCs/>
        </w:rPr>
        <w:t xml:space="preserve"> </w:t>
      </w:r>
      <w:r>
        <w:t xml:space="preserve">z powodu </w:t>
      </w:r>
      <w:r w:rsidRPr="00543251">
        <w:t>przekazan</w:t>
      </w:r>
      <w:r>
        <w:t>ia</w:t>
      </w:r>
      <w:r w:rsidRPr="00543251">
        <w:t xml:space="preserve"> materiał</w:t>
      </w:r>
      <w:r>
        <w:t>u</w:t>
      </w:r>
      <w:r w:rsidRPr="00543251">
        <w:t xml:space="preserve"> niezdatn</w:t>
      </w:r>
      <w:r>
        <w:t>ego</w:t>
      </w:r>
      <w:r w:rsidRPr="00543251">
        <w:t xml:space="preserve"> do badań. W jednym przypadku zejściem choroby był zgon, który dotyczył 80-letniego mężczyzny, u którego rozpoznano meningokokowe zapalenie opon mózgowych na podstawie dodatniego izolatu płynu mózgowo-rdzeniowego </w:t>
      </w:r>
      <w:r>
        <w:t>potwierdzonego</w:t>
      </w:r>
      <w:r w:rsidRPr="00543251">
        <w:t xml:space="preserve"> w Pracowni</w:t>
      </w:r>
      <w:r>
        <w:t xml:space="preserve"> </w:t>
      </w:r>
      <w:r w:rsidRPr="00543251">
        <w:t>Bakteriologii Wielospecjalistycznego Szpitala Miejskiego im. Józefa Strusia z Zakładem Opiekuńczo-Leczniczym SPZOZ ul. Szwajcarska 3, 61-285 Poznań</w:t>
      </w:r>
      <w:r>
        <w:t xml:space="preserve">. </w:t>
      </w:r>
    </w:p>
    <w:p w:rsidR="00AF0FDB" w:rsidRPr="00543251" w:rsidRDefault="00AF0FDB" w:rsidP="00FA4A34">
      <w:pPr>
        <w:spacing w:before="0" w:after="0"/>
      </w:pPr>
      <w:r w:rsidRPr="00543251">
        <w:t>Chemioprofilaktykę zastosowano u 188 osób z kontaktu z chorymi na inwazyjną chorobę meningokokową.</w:t>
      </w:r>
    </w:p>
    <w:p w:rsidR="00AF0FDB" w:rsidRPr="00493534" w:rsidRDefault="00AF0FDB" w:rsidP="00642C07">
      <w:pPr>
        <w:pStyle w:val="NoSpacing"/>
        <w:spacing w:before="240" w:line="360" w:lineRule="auto"/>
        <w:jc w:val="both"/>
        <w:rPr>
          <w:b/>
          <w:bCs/>
          <w:i/>
          <w:iCs/>
        </w:rPr>
      </w:pPr>
      <w:r w:rsidRPr="00493534">
        <w:rPr>
          <w:b/>
          <w:bCs/>
        </w:rPr>
        <w:t xml:space="preserve">Choroba wywołana przez </w:t>
      </w:r>
      <w:r w:rsidRPr="00493534">
        <w:rPr>
          <w:b/>
          <w:bCs/>
          <w:i/>
          <w:iCs/>
        </w:rPr>
        <w:t xml:space="preserve">Streptococcus pneumoniae   </w:t>
      </w:r>
    </w:p>
    <w:p w:rsidR="00AF0FDB" w:rsidRPr="004D1117" w:rsidRDefault="00AF0FDB" w:rsidP="00E04A00">
      <w:pPr>
        <w:spacing w:after="0"/>
        <w:jc w:val="both"/>
      </w:pPr>
      <w:bookmarkStart w:id="325" w:name="_Hlk204904"/>
      <w:r w:rsidRPr="00543251">
        <w:t xml:space="preserve">W 2018 roku zarejestrowano 58 przypadków zachorowań na inwazyjną chorobę pneumokokową (wsp. zap. 6,2/100000), co stanowi spadek zachorowań o 6 przypadków </w:t>
      </w:r>
      <w:r w:rsidRPr="00543251">
        <w:br/>
        <w:t xml:space="preserve">w porównaniu do 2017 r., gdzie zgłoszono ogółem 64 zachorowania (wsp. zap. 6,9/100000). Zapalenie płuc rozpoznano u 22 osób, </w:t>
      </w:r>
      <w:r w:rsidRPr="00B009C7">
        <w:t>u 13 posocznicę, u 3 osób posocznicę</w:t>
      </w:r>
      <w:r w:rsidRPr="00543251">
        <w:t xml:space="preserve"> </w:t>
      </w:r>
      <w:r>
        <w:br/>
      </w:r>
      <w:r w:rsidRPr="00543251">
        <w:t xml:space="preserve">z zapaleniem płuc, u </w:t>
      </w:r>
      <w:r>
        <w:t>3</w:t>
      </w:r>
      <w:r w:rsidRPr="00543251">
        <w:t xml:space="preserve"> zapalenie opon mózgowych,</w:t>
      </w:r>
      <w:r>
        <w:t xml:space="preserve"> </w:t>
      </w:r>
      <w:r w:rsidRPr="00B009C7">
        <w:t>u 1 osoby posocznicę i zapalenie mózgu,</w:t>
      </w:r>
      <w:r w:rsidRPr="00543251">
        <w:t xml:space="preserve"> 14 przypadków zarejestrowano na podstawie dodatniego wyniku badania popłuczyn oskrzelowych oraz 2 jako bakteriemie na podstawie badani</w:t>
      </w:r>
      <w:bookmarkStart w:id="326" w:name="_Hlk95028"/>
      <w:r>
        <w:t>a bakteriologicznego krwi. W 6</w:t>
      </w:r>
      <w:r w:rsidRPr="00B009C7">
        <w:t xml:space="preserve"> przypadkach zachorowanie zakończyło się śmiercią pacjentów – 2 mężczyzn powyżej 60 roku życ</w:t>
      </w:r>
      <w:r>
        <w:t>ia, 1 mężczyzny w wieku 58 lat,</w:t>
      </w:r>
      <w:r w:rsidRPr="00B009C7">
        <w:t xml:space="preserve"> 2 kobiet powyżej 60 r</w:t>
      </w:r>
      <w:r>
        <w:t>oku życia oraz dziecka w wieku 14 miesięcy. P</w:t>
      </w:r>
      <w:r w:rsidRPr="00B009C7">
        <w:t xml:space="preserve">rzyczyną zgonu </w:t>
      </w:r>
      <w:r>
        <w:t>w 2 przypadkach</w:t>
      </w:r>
      <w:r w:rsidRPr="00B009C7">
        <w:t xml:space="preserve"> był</w:t>
      </w:r>
      <w:r>
        <w:t>o</w:t>
      </w:r>
      <w:r w:rsidRPr="00B009C7">
        <w:t xml:space="preserve"> zapalenie płuc</w:t>
      </w:r>
      <w:r>
        <w:t xml:space="preserve">, w pozostałych zaś odpowiednio </w:t>
      </w:r>
      <w:r w:rsidRPr="00B009C7">
        <w:t xml:space="preserve">wstrząs septyczny wywołany przez </w:t>
      </w:r>
      <w:r w:rsidRPr="00B009C7">
        <w:rPr>
          <w:i/>
          <w:iCs/>
        </w:rPr>
        <w:t>Streptococcus pneumoniae</w:t>
      </w:r>
      <w:r>
        <w:t xml:space="preserve">, </w:t>
      </w:r>
      <w:r w:rsidRPr="00B009C7">
        <w:t xml:space="preserve">posocznica wywołana przez </w:t>
      </w:r>
      <w:r w:rsidRPr="00B009C7">
        <w:rPr>
          <w:i/>
          <w:iCs/>
        </w:rPr>
        <w:t>Streptococcus pneumoniae</w:t>
      </w:r>
      <w:r>
        <w:t xml:space="preserve">, </w:t>
      </w:r>
      <w:r w:rsidRPr="00B009C7">
        <w:t>pneumokokowe zap</w:t>
      </w:r>
      <w:r>
        <w:t xml:space="preserve">alenie opon mózgowo-rdzeniowych oraz posocznica i zapalenie mózgu. </w:t>
      </w:r>
    </w:p>
    <w:bookmarkEnd w:id="325"/>
    <w:bookmarkEnd w:id="326"/>
    <w:p w:rsidR="00AF0FDB" w:rsidRPr="00493534" w:rsidRDefault="00AF0FDB" w:rsidP="00642C07">
      <w:pPr>
        <w:pStyle w:val="NoSpacing"/>
        <w:spacing w:before="240" w:line="360" w:lineRule="auto"/>
        <w:jc w:val="both"/>
        <w:rPr>
          <w:b/>
          <w:bCs/>
        </w:rPr>
      </w:pPr>
      <w:r w:rsidRPr="00493534">
        <w:rPr>
          <w:b/>
          <w:bCs/>
        </w:rPr>
        <w:t xml:space="preserve">Choroba wywołana przez </w:t>
      </w:r>
      <w:r w:rsidRPr="00493534">
        <w:rPr>
          <w:b/>
          <w:bCs/>
          <w:i/>
          <w:iCs/>
        </w:rPr>
        <w:t>Haemophilus influenzae</w:t>
      </w:r>
    </w:p>
    <w:p w:rsidR="00AF0FDB" w:rsidRPr="00543251" w:rsidRDefault="00AF0FDB" w:rsidP="00B77221">
      <w:pPr>
        <w:spacing w:before="0" w:after="0"/>
        <w:jc w:val="both"/>
      </w:pPr>
      <w:r w:rsidRPr="00543251">
        <w:t xml:space="preserve">W 2018 roku zarejestrowano 21 przypadków choroby wywołanej przez </w:t>
      </w:r>
      <w:r w:rsidRPr="00543251">
        <w:rPr>
          <w:i/>
          <w:iCs/>
        </w:rPr>
        <w:t>Haemophilus</w:t>
      </w:r>
      <w:r>
        <w:rPr>
          <w:i/>
          <w:iCs/>
        </w:rPr>
        <w:t xml:space="preserve"> </w:t>
      </w:r>
      <w:r w:rsidRPr="00543251">
        <w:rPr>
          <w:i/>
          <w:iCs/>
        </w:rPr>
        <w:t>influenzae</w:t>
      </w:r>
      <w:r w:rsidRPr="00543251">
        <w:t xml:space="preserve"> (wsp. zap. 2,3/100000), co stanowi wzrost zachorowań o 8 przypadków </w:t>
      </w:r>
      <w:r>
        <w:br/>
      </w:r>
      <w:r w:rsidRPr="00543251">
        <w:t>w porównaniu do 2017 r., kiedy zarejestrowano 13 przypadków (wsp. zach. 1,4/100000).</w:t>
      </w:r>
    </w:p>
    <w:p w:rsidR="00AF0FDB" w:rsidRPr="002137CD" w:rsidRDefault="00AF0FDB" w:rsidP="00B77221">
      <w:pPr>
        <w:spacing w:before="0" w:after="0"/>
        <w:jc w:val="both"/>
      </w:pPr>
      <w:r w:rsidRPr="00543251">
        <w:t>W 1 przypadku rozpoznano posocznicę, w 9 – zapalenie płuc, 11 przypadków zarejestrowano na podstawie dodatniego wynik</w:t>
      </w:r>
      <w:r>
        <w:t>u badań popłuczyn oskrzelowych.</w:t>
      </w:r>
    </w:p>
    <w:p w:rsidR="00AF0FDB" w:rsidRDefault="00AF0FDB" w:rsidP="00642C07">
      <w:pPr>
        <w:pStyle w:val="NoSpacing"/>
        <w:spacing w:line="360" w:lineRule="auto"/>
        <w:jc w:val="both"/>
      </w:pPr>
    </w:p>
    <w:p w:rsidR="00AF0FDB" w:rsidRPr="00493534" w:rsidRDefault="00AF0FDB" w:rsidP="004C2A15">
      <w:pPr>
        <w:spacing w:before="0" w:after="0"/>
        <w:jc w:val="both"/>
        <w:rPr>
          <w:b/>
          <w:bCs/>
        </w:rPr>
      </w:pPr>
      <w:r w:rsidRPr="00493534">
        <w:rPr>
          <w:b/>
          <w:bCs/>
        </w:rPr>
        <w:t>Zapalenie opon mózgowych</w:t>
      </w:r>
    </w:p>
    <w:p w:rsidR="00AF0FDB" w:rsidRPr="00C46809" w:rsidRDefault="00AF0FDB" w:rsidP="00C46809">
      <w:pPr>
        <w:spacing w:before="0" w:after="0"/>
        <w:jc w:val="both"/>
      </w:pPr>
      <w:r w:rsidRPr="00C46809">
        <w:t>W 2018 roku zarejestrowano ogółem 111 przypadków zachorowań na zapalen</w:t>
      </w:r>
      <w:r>
        <w:t>ie opon mózgowych (wsp. zap. 12</w:t>
      </w:r>
      <w:r w:rsidRPr="00C46809">
        <w:t>/100000), co stanowi wzrost zachorowań o 24 przypadki</w:t>
      </w:r>
      <w:r w:rsidRPr="00C46809">
        <w:br/>
        <w:t>w porównaniu do 2017 r., gdzie zgłoszono ogółem 87 zachorowań (wsp. zap. 9,5/100000).</w:t>
      </w:r>
      <w:r w:rsidRPr="00C46809">
        <w:rPr>
          <w:strike/>
        </w:rPr>
        <w:br/>
      </w:r>
      <w:r w:rsidRPr="00C46809">
        <w:t xml:space="preserve">Wszystkie zgłoszone zachorowania wymagały hospitalizacji. Zarejestrowano 47 przypadków zapalenia opon mózgowych o etiologii wirusowej, w tym 9 wywołanych przez enterowirusy. </w:t>
      </w:r>
    </w:p>
    <w:p w:rsidR="00AF0FDB" w:rsidRPr="00C46809" w:rsidRDefault="00AF0FDB" w:rsidP="00C46809">
      <w:pPr>
        <w:spacing w:before="0" w:after="0"/>
        <w:jc w:val="both"/>
      </w:pPr>
      <w:r w:rsidRPr="00C46809">
        <w:t xml:space="preserve">W 37 przypadkach wykonano wirusologiczne badanie płynu mózgowo-rdzeniowego, </w:t>
      </w:r>
      <w:r w:rsidRPr="00C46809">
        <w:br/>
        <w:t xml:space="preserve">w 6 stwierdzono enterowirusy, w 1 enterowirus i wirus HHV-7, w 2 parwowirus B19, </w:t>
      </w:r>
      <w:r w:rsidRPr="00C46809">
        <w:br/>
        <w:t xml:space="preserve">w 5 przypadkach HHV-7. </w:t>
      </w:r>
    </w:p>
    <w:p w:rsidR="00AF0FDB" w:rsidRPr="00C46809" w:rsidRDefault="00AF0FDB" w:rsidP="00C46809">
      <w:pPr>
        <w:spacing w:before="0" w:after="0"/>
        <w:jc w:val="both"/>
      </w:pPr>
      <w:r w:rsidRPr="00C46809">
        <w:t xml:space="preserve">Zarejestrowano 26 przypadków bakteryjnego zapalenia opon mózgowych (poza zapaleniem opon mózgowych w przebiegu inwazyjnej choroby meningokokowej), spośród których: </w:t>
      </w:r>
      <w:r w:rsidRPr="00C46809">
        <w:br/>
        <w:t>1 - wywołany przez</w:t>
      </w:r>
      <w:r w:rsidRPr="00C46809">
        <w:rPr>
          <w:i/>
          <w:iCs/>
        </w:rPr>
        <w:t xml:space="preserve"> E. coli</w:t>
      </w:r>
      <w:r w:rsidRPr="00C46809">
        <w:t xml:space="preserve">, 1 - </w:t>
      </w:r>
      <w:r w:rsidRPr="00C46809">
        <w:rPr>
          <w:i/>
          <w:iCs/>
        </w:rPr>
        <w:t>Enterococcus faecium</w:t>
      </w:r>
      <w:r w:rsidRPr="00C46809">
        <w:t xml:space="preserve">, 1 – wywołany przez </w:t>
      </w:r>
      <w:r w:rsidRPr="00C46809">
        <w:rPr>
          <w:i/>
          <w:iCs/>
        </w:rPr>
        <w:t>Streptococcus pyogenes i Staphylococcus aureus</w:t>
      </w:r>
      <w:r w:rsidRPr="00C46809">
        <w:t xml:space="preserve">, 1 wywołany przez gronkowcowe, 1 przez </w:t>
      </w:r>
      <w:r w:rsidRPr="00C46809">
        <w:rPr>
          <w:i/>
          <w:iCs/>
        </w:rPr>
        <w:t>Pseudomonas aeruginosa</w:t>
      </w:r>
      <w:r w:rsidRPr="00C46809">
        <w:t xml:space="preserve">, 3 przez </w:t>
      </w:r>
      <w:r w:rsidRPr="00C46809">
        <w:rPr>
          <w:i/>
          <w:iCs/>
        </w:rPr>
        <w:t>Streptococcus pneumoniae</w:t>
      </w:r>
      <w:r w:rsidRPr="00C46809">
        <w:t>, 14 przypadków neuroboreliozy, 1 przypadek listeriozowego zapalenia opon mózgowo-rdzeniowych oraz 3 przypadki jako inne, nieokreślone.</w:t>
      </w:r>
    </w:p>
    <w:p w:rsidR="00AF0FDB" w:rsidRDefault="00AF0FDB" w:rsidP="00C46809">
      <w:pPr>
        <w:spacing w:before="0" w:after="0"/>
        <w:jc w:val="both"/>
      </w:pPr>
      <w:r w:rsidRPr="00C46809">
        <w:t>Pozostałe 38 zgłoszonych zachorowań na zapalenie opon mózgowych zakwalifikowano jako inne i nieokreślone.</w:t>
      </w:r>
    </w:p>
    <w:p w:rsidR="00AF0FDB" w:rsidRPr="00C46809" w:rsidRDefault="00AF0FDB" w:rsidP="00C46809">
      <w:pPr>
        <w:spacing w:before="0" w:after="0"/>
        <w:jc w:val="both"/>
      </w:pPr>
    </w:p>
    <w:p w:rsidR="00AF0FDB" w:rsidRPr="00493534" w:rsidRDefault="00AF0FDB" w:rsidP="004C2A15">
      <w:pPr>
        <w:spacing w:before="0" w:after="0"/>
        <w:jc w:val="both"/>
        <w:rPr>
          <w:b/>
          <w:bCs/>
        </w:rPr>
      </w:pPr>
      <w:r w:rsidRPr="00493534">
        <w:rPr>
          <w:b/>
          <w:bCs/>
        </w:rPr>
        <w:t>Zapalenie mózgu</w:t>
      </w:r>
    </w:p>
    <w:p w:rsidR="00AF0FDB" w:rsidRDefault="00AF0FDB" w:rsidP="00517B79">
      <w:pPr>
        <w:spacing w:after="0"/>
        <w:jc w:val="both"/>
      </w:pPr>
      <w:r w:rsidRPr="00543251">
        <w:t>W 2018 roku zarejestrowano 4 przypadki zapalenia mózgu (wsp. zap. 0,4/100000)</w:t>
      </w:r>
      <w:r w:rsidRPr="00543251">
        <w:br/>
        <w:t xml:space="preserve"> tj. o 11 przypadków mniej niż w 2017 r., </w:t>
      </w:r>
      <w:r>
        <w:t>w którym</w:t>
      </w:r>
      <w:r w:rsidRPr="00543251">
        <w:t xml:space="preserve"> zarejestrowano 15 przypadków zapalenia mózgu (wsp. zap. 1,6/100000). </w:t>
      </w:r>
      <w:r>
        <w:t xml:space="preserve">Wszystkie </w:t>
      </w:r>
      <w:r w:rsidRPr="00543251">
        <w:t>zachor</w:t>
      </w:r>
      <w:r>
        <w:t>owania</w:t>
      </w:r>
      <w:r w:rsidRPr="00543251">
        <w:t xml:space="preserve"> </w:t>
      </w:r>
      <w:r>
        <w:t>wymagały</w:t>
      </w:r>
      <w:r w:rsidRPr="00543251">
        <w:t xml:space="preserve"> hospital</w:t>
      </w:r>
      <w:r>
        <w:t>izacji</w:t>
      </w:r>
      <w:r w:rsidRPr="00543251">
        <w:t xml:space="preserve">. </w:t>
      </w:r>
      <w:r>
        <w:t>Wśród zgłoszonych zachorowań z</w:t>
      </w:r>
      <w:r w:rsidRPr="00543251">
        <w:t xml:space="preserve">arejestrowano 1 przypadek zapalenia mózgu </w:t>
      </w:r>
      <w:r>
        <w:t>w przebiegu</w:t>
      </w:r>
      <w:r w:rsidRPr="00543251">
        <w:t xml:space="preserve"> ospy</w:t>
      </w:r>
      <w:r>
        <w:t xml:space="preserve"> wietrznej</w:t>
      </w:r>
      <w:r w:rsidRPr="00543251">
        <w:t>, 1 wy</w:t>
      </w:r>
      <w:r>
        <w:t>wołany</w:t>
      </w:r>
      <w:r w:rsidRPr="00543251">
        <w:t xml:space="preserve"> przez </w:t>
      </w:r>
      <w:r w:rsidRPr="00543251">
        <w:rPr>
          <w:i/>
          <w:iCs/>
        </w:rPr>
        <w:t>Streptococcus pneumoniae</w:t>
      </w:r>
      <w:r>
        <w:rPr>
          <w:i/>
          <w:iCs/>
        </w:rPr>
        <w:t xml:space="preserve">, </w:t>
      </w:r>
      <w:r>
        <w:t>zakończony</w:t>
      </w:r>
      <w:r w:rsidRPr="00235914">
        <w:t xml:space="preserve"> zgonem</w:t>
      </w:r>
      <w:r>
        <w:t xml:space="preserve"> (dziecko </w:t>
      </w:r>
      <w:r>
        <w:br/>
        <w:t>w wieku 14 miesięcy, nieszczepione od urodzenia)</w:t>
      </w:r>
      <w:r w:rsidRPr="00543251">
        <w:rPr>
          <w:i/>
          <w:iCs/>
        </w:rPr>
        <w:t xml:space="preserve">, </w:t>
      </w:r>
      <w:r w:rsidRPr="00543251">
        <w:t xml:space="preserve">1 </w:t>
      </w:r>
      <w:r>
        <w:t xml:space="preserve">przypadek jako </w:t>
      </w:r>
      <w:r w:rsidRPr="00543251">
        <w:t xml:space="preserve">odkleszczowe </w:t>
      </w:r>
      <w:r>
        <w:t xml:space="preserve">zapalenie mózgu </w:t>
      </w:r>
      <w:r w:rsidRPr="00543251">
        <w:t xml:space="preserve">(KZM) i 1 jako inne i nieokreślone. </w:t>
      </w:r>
    </w:p>
    <w:p w:rsidR="00AF0FDB" w:rsidRPr="008B7706" w:rsidRDefault="00AF0FDB" w:rsidP="008B7706">
      <w:pPr>
        <w:spacing w:after="0"/>
        <w:jc w:val="both"/>
        <w:rPr>
          <w:b/>
          <w:bCs/>
        </w:rPr>
      </w:pPr>
      <w:r w:rsidRPr="008B7706">
        <w:rPr>
          <w:b/>
          <w:bCs/>
        </w:rPr>
        <w:t>Choroba Creutzfeldta-Jakoba</w:t>
      </w:r>
    </w:p>
    <w:p w:rsidR="00AF0FDB" w:rsidRDefault="00AF0FDB" w:rsidP="00517B79">
      <w:pPr>
        <w:spacing w:after="0"/>
        <w:jc w:val="both"/>
      </w:pPr>
      <w:r w:rsidRPr="00E95571">
        <w:t xml:space="preserve">W roku 2018 zarejestrowano jeden przypadek jako prawdopodobny zachorowania </w:t>
      </w:r>
      <w:r>
        <w:br/>
      </w:r>
      <w:r w:rsidRPr="00E95571">
        <w:t xml:space="preserve">na chorobę Creutzfeldta-Jakoba (wsp. zap. 0,1/100000) u mężczyzny lat 76 zakończony zgonem, </w:t>
      </w:r>
      <w:r>
        <w:t>w</w:t>
      </w:r>
      <w:r w:rsidRPr="00E95571">
        <w:t xml:space="preserve"> 2017</w:t>
      </w:r>
      <w:r>
        <w:t xml:space="preserve"> roku </w:t>
      </w:r>
      <w:r w:rsidRPr="00E95571">
        <w:t>nie odnotowano żadnego przypadku.</w:t>
      </w:r>
    </w:p>
    <w:p w:rsidR="00AF0FDB" w:rsidRPr="001C2774" w:rsidRDefault="00AF0FDB" w:rsidP="001C2774">
      <w:pPr>
        <w:pStyle w:val="Heading1"/>
        <w:rPr>
          <w:rFonts w:ascii="Times New Roman" w:hAnsi="Times New Roman" w:cs="Times New Roman"/>
          <w:sz w:val="24"/>
          <w:szCs w:val="24"/>
        </w:rPr>
      </w:pPr>
      <w:bookmarkStart w:id="327" w:name="_Toc938868"/>
      <w:r w:rsidRPr="001C2774">
        <w:rPr>
          <w:rFonts w:ascii="Times New Roman" w:hAnsi="Times New Roman" w:cs="Times New Roman"/>
          <w:sz w:val="24"/>
          <w:szCs w:val="24"/>
        </w:rPr>
        <w:t>Choroby odzwierzęce</w:t>
      </w:r>
      <w:bookmarkEnd w:id="327"/>
    </w:p>
    <w:p w:rsidR="00AF0FDB" w:rsidRPr="00493534" w:rsidRDefault="00AF0FDB" w:rsidP="004C2A15">
      <w:pPr>
        <w:spacing w:before="0" w:after="0"/>
        <w:jc w:val="both"/>
        <w:rPr>
          <w:b/>
          <w:bCs/>
          <w:lang w:eastAsia="en-US"/>
        </w:rPr>
      </w:pPr>
      <w:r w:rsidRPr="00493534">
        <w:rPr>
          <w:b/>
          <w:bCs/>
        </w:rPr>
        <w:t>Włośnica</w:t>
      </w:r>
    </w:p>
    <w:p w:rsidR="00AF0FDB" w:rsidRPr="00543251" w:rsidRDefault="00AF0FDB" w:rsidP="00AD6DFC">
      <w:pPr>
        <w:spacing w:after="0" w:line="240" w:lineRule="auto"/>
        <w:jc w:val="both"/>
      </w:pPr>
      <w:r w:rsidRPr="00543251">
        <w:t>W  2018 r. podobnie jak w roku ubiegłym nie zarejestrowano zachorowa</w:t>
      </w:r>
      <w:r>
        <w:t>nia</w:t>
      </w:r>
      <w:r w:rsidRPr="00543251">
        <w:t xml:space="preserve"> na włośnicę.</w:t>
      </w:r>
    </w:p>
    <w:p w:rsidR="00AF0FDB" w:rsidRDefault="00AF0FDB" w:rsidP="004C2A15">
      <w:pPr>
        <w:spacing w:before="0" w:after="0"/>
        <w:jc w:val="both"/>
      </w:pPr>
    </w:p>
    <w:p w:rsidR="00AF0FDB" w:rsidRPr="00493534" w:rsidRDefault="00AF0FDB" w:rsidP="004C2A15">
      <w:pPr>
        <w:spacing w:before="0" w:after="0"/>
        <w:jc w:val="both"/>
        <w:rPr>
          <w:b/>
          <w:bCs/>
        </w:rPr>
      </w:pPr>
      <w:r w:rsidRPr="00493534">
        <w:rPr>
          <w:b/>
          <w:bCs/>
        </w:rPr>
        <w:t>Leptospiroza</w:t>
      </w:r>
    </w:p>
    <w:p w:rsidR="00AF0FDB" w:rsidRPr="00543251" w:rsidRDefault="00AF0FDB" w:rsidP="00AD6DFC">
      <w:pPr>
        <w:spacing w:after="0"/>
        <w:jc w:val="both"/>
      </w:pPr>
      <w:r w:rsidRPr="00543251">
        <w:t>W 2018 roku nie odnotowano zachorowania na leptospirozę. Ostatnie zachorowanie zarejestrowano w 2009 r.</w:t>
      </w:r>
    </w:p>
    <w:p w:rsidR="00AF0FDB" w:rsidRDefault="00AF0FDB" w:rsidP="004C2A15">
      <w:pPr>
        <w:spacing w:before="0" w:after="0"/>
        <w:jc w:val="both"/>
      </w:pPr>
    </w:p>
    <w:p w:rsidR="00AF0FDB" w:rsidRPr="00493534" w:rsidRDefault="00AF0FDB" w:rsidP="004C2A15">
      <w:pPr>
        <w:spacing w:before="0" w:after="0"/>
        <w:jc w:val="both"/>
        <w:rPr>
          <w:b/>
          <w:bCs/>
        </w:rPr>
      </w:pPr>
      <w:r w:rsidRPr="00493534">
        <w:rPr>
          <w:b/>
          <w:bCs/>
        </w:rPr>
        <w:t>Bąblowica</w:t>
      </w:r>
    </w:p>
    <w:p w:rsidR="00AF0FDB" w:rsidRPr="008739E3" w:rsidRDefault="00AF0FDB" w:rsidP="00AD6DFC">
      <w:pPr>
        <w:spacing w:after="0"/>
        <w:jc w:val="both"/>
      </w:pPr>
      <w:r w:rsidRPr="008739E3">
        <w:t>W 2018 r. nie odnotowano zachorowania na bąblowicę. W 2017 r. zarejestrowano 2 przypadki zachorowania na bąblowicę (wsp. zap. 0,2/100000).</w:t>
      </w:r>
    </w:p>
    <w:p w:rsidR="00AF0FDB" w:rsidRDefault="00AF0FDB" w:rsidP="004C2A15">
      <w:pPr>
        <w:spacing w:before="0" w:after="0"/>
        <w:jc w:val="both"/>
      </w:pPr>
      <w:r>
        <w:rPr>
          <w:rStyle w:val="xbe"/>
          <w:i/>
          <w:iCs/>
        </w:rPr>
        <w:t xml:space="preserve"> </w:t>
      </w:r>
    </w:p>
    <w:p w:rsidR="00AF0FDB" w:rsidRPr="00493534" w:rsidRDefault="00AF0FDB" w:rsidP="00642C07">
      <w:pPr>
        <w:spacing w:before="120" w:after="0"/>
        <w:jc w:val="both"/>
        <w:rPr>
          <w:b/>
          <w:bCs/>
        </w:rPr>
      </w:pPr>
      <w:r w:rsidRPr="00493534">
        <w:rPr>
          <w:b/>
          <w:bCs/>
        </w:rPr>
        <w:t xml:space="preserve">Toksoplazmoza </w:t>
      </w:r>
    </w:p>
    <w:p w:rsidR="00AF0FDB" w:rsidRDefault="00AF0FDB" w:rsidP="00642C07">
      <w:pPr>
        <w:spacing w:after="0"/>
        <w:jc w:val="both"/>
      </w:pPr>
      <w:r w:rsidRPr="008739E3">
        <w:t>W 2018 roku nie zarejestrowano zachorowań na toksoplazmozę wrodzoną, co stanowi spadek zachorowań w porównaniu do 2017 roku, w którym odnotowano 2 pr</w:t>
      </w:r>
      <w:r>
        <w:t>zypadki (wsp. zap. 0,2/100000).</w:t>
      </w:r>
    </w:p>
    <w:p w:rsidR="00AF0FDB" w:rsidRPr="00493534" w:rsidRDefault="00AF0FDB" w:rsidP="00642C07">
      <w:pPr>
        <w:spacing w:after="0"/>
        <w:jc w:val="both"/>
        <w:rPr>
          <w:b/>
          <w:bCs/>
        </w:rPr>
      </w:pPr>
      <w:r w:rsidRPr="00493534">
        <w:rPr>
          <w:b/>
          <w:bCs/>
        </w:rPr>
        <w:t>Listerioza</w:t>
      </w:r>
    </w:p>
    <w:p w:rsidR="00AF0FDB" w:rsidRPr="00E95571" w:rsidRDefault="00AF0FDB" w:rsidP="00AD6DFC">
      <w:pPr>
        <w:suppressAutoHyphens/>
        <w:spacing w:after="0"/>
        <w:jc w:val="both"/>
        <w:rPr>
          <w:lang w:eastAsia="ar-SA"/>
        </w:rPr>
      </w:pPr>
      <w:bookmarkStart w:id="328" w:name="_Hlk96566"/>
      <w:r w:rsidRPr="00E95571">
        <w:rPr>
          <w:lang w:eastAsia="ar-SA"/>
        </w:rPr>
        <w:t>W 2018 r. zarejestrowano 2 przypadki zachorowań na lister</w:t>
      </w:r>
      <w:r>
        <w:rPr>
          <w:lang w:eastAsia="ar-SA"/>
        </w:rPr>
        <w:t>iozę</w:t>
      </w:r>
      <w:r w:rsidRPr="00E95571">
        <w:rPr>
          <w:lang w:eastAsia="ar-SA"/>
        </w:rPr>
        <w:t xml:space="preserve"> (wsp. zap. 0,2/100000)</w:t>
      </w:r>
      <w:r>
        <w:rPr>
          <w:lang w:eastAsia="ar-SA"/>
        </w:rPr>
        <w:t>, wśród których</w:t>
      </w:r>
      <w:r w:rsidRPr="00E95571">
        <w:rPr>
          <w:lang w:eastAsia="ar-SA"/>
        </w:rPr>
        <w:t xml:space="preserve"> jeden w przebiegu posocznicy</w:t>
      </w:r>
      <w:r>
        <w:rPr>
          <w:lang w:eastAsia="ar-SA"/>
        </w:rPr>
        <w:t>,</w:t>
      </w:r>
      <w:r w:rsidRPr="00E95571">
        <w:rPr>
          <w:lang w:eastAsia="ar-SA"/>
        </w:rPr>
        <w:t xml:space="preserve"> drugi </w:t>
      </w:r>
      <w:r>
        <w:rPr>
          <w:lang w:eastAsia="ar-SA"/>
        </w:rPr>
        <w:t xml:space="preserve">zaś </w:t>
      </w:r>
      <w:r w:rsidRPr="00E95571">
        <w:rPr>
          <w:lang w:eastAsia="ar-SA"/>
        </w:rPr>
        <w:t>w przebiegu zapalenia opon mózgowo-rdzeniowych</w:t>
      </w:r>
      <w:r w:rsidRPr="00005F23">
        <w:rPr>
          <w:lang w:eastAsia="ar-SA"/>
        </w:rPr>
        <w:t>. Oba przypadki zakończone zgonem. Odnotowano spadek zachorowań w porównaniu do 2017 r.,</w:t>
      </w:r>
      <w:r w:rsidRPr="00E95571">
        <w:rPr>
          <w:lang w:eastAsia="ar-SA"/>
        </w:rPr>
        <w:t xml:space="preserve"> </w:t>
      </w:r>
      <w:r>
        <w:rPr>
          <w:lang w:eastAsia="ar-SA"/>
        </w:rPr>
        <w:t>w którym</w:t>
      </w:r>
      <w:r w:rsidRPr="00E95571">
        <w:rPr>
          <w:lang w:eastAsia="ar-SA"/>
        </w:rPr>
        <w:t xml:space="preserve"> zarejestrowano 5 przypadków (wsp</w:t>
      </w:r>
      <w:r>
        <w:rPr>
          <w:lang w:eastAsia="ar-SA"/>
        </w:rPr>
        <w:t>.</w:t>
      </w:r>
      <w:r w:rsidRPr="00E95571">
        <w:rPr>
          <w:lang w:eastAsia="ar-SA"/>
        </w:rPr>
        <w:t xml:space="preserve"> </w:t>
      </w:r>
      <w:r>
        <w:rPr>
          <w:lang w:eastAsia="ar-SA"/>
        </w:rPr>
        <w:t>z</w:t>
      </w:r>
      <w:r w:rsidRPr="00E95571">
        <w:rPr>
          <w:lang w:eastAsia="ar-SA"/>
        </w:rPr>
        <w:t>ap</w:t>
      </w:r>
      <w:r>
        <w:rPr>
          <w:lang w:eastAsia="ar-SA"/>
        </w:rPr>
        <w:t xml:space="preserve">. </w:t>
      </w:r>
      <w:r w:rsidRPr="00E95571">
        <w:rPr>
          <w:lang w:eastAsia="ar-SA"/>
        </w:rPr>
        <w:t xml:space="preserve">0,5/100000). </w:t>
      </w:r>
    </w:p>
    <w:bookmarkEnd w:id="328"/>
    <w:p w:rsidR="00AF0FDB" w:rsidRDefault="00AF0FDB" w:rsidP="00642C07">
      <w:pPr>
        <w:spacing w:before="120" w:after="0"/>
        <w:jc w:val="both"/>
        <w:rPr>
          <w:b/>
          <w:bCs/>
        </w:rPr>
      </w:pPr>
    </w:p>
    <w:p w:rsidR="00AF0FDB" w:rsidRPr="00493534" w:rsidRDefault="00AF0FDB" w:rsidP="00642C07">
      <w:pPr>
        <w:spacing w:before="120" w:after="0"/>
        <w:jc w:val="both"/>
        <w:rPr>
          <w:b/>
          <w:bCs/>
        </w:rPr>
      </w:pPr>
      <w:r w:rsidRPr="00493534">
        <w:rPr>
          <w:b/>
          <w:bCs/>
        </w:rPr>
        <w:t>Bruceloza</w:t>
      </w:r>
    </w:p>
    <w:p w:rsidR="00AF0FDB" w:rsidRDefault="00AF0FDB" w:rsidP="00AD6DFC">
      <w:pPr>
        <w:spacing w:after="0"/>
        <w:jc w:val="both"/>
      </w:pPr>
      <w:r w:rsidRPr="008739E3">
        <w:t>W roku 2018 nie odnotowano zachorowania na brucelozę, tak samo jak w roku poprzednim. Ostatni potwierdzony przypadek brucelozy odnotowano w 2016 r.</w:t>
      </w:r>
    </w:p>
    <w:p w:rsidR="00AF0FDB" w:rsidRPr="001C2774" w:rsidRDefault="00AF0FDB" w:rsidP="001C2774">
      <w:pPr>
        <w:pStyle w:val="Heading1"/>
        <w:rPr>
          <w:rFonts w:ascii="Times New Roman" w:hAnsi="Times New Roman" w:cs="Times New Roman"/>
          <w:sz w:val="24"/>
          <w:szCs w:val="24"/>
        </w:rPr>
      </w:pPr>
      <w:bookmarkStart w:id="329" w:name="_Toc938869"/>
      <w:r w:rsidRPr="001C2774">
        <w:rPr>
          <w:rFonts w:ascii="Times New Roman" w:hAnsi="Times New Roman" w:cs="Times New Roman"/>
          <w:sz w:val="24"/>
          <w:szCs w:val="24"/>
        </w:rPr>
        <w:t>Inne choroby zakaźne</w:t>
      </w:r>
      <w:bookmarkEnd w:id="329"/>
    </w:p>
    <w:p w:rsidR="00AF0FDB" w:rsidRPr="00493534" w:rsidRDefault="00AF0FDB" w:rsidP="00642C07">
      <w:pPr>
        <w:tabs>
          <w:tab w:val="left" w:pos="9391"/>
        </w:tabs>
        <w:spacing w:before="120" w:after="0"/>
        <w:jc w:val="both"/>
        <w:rPr>
          <w:b/>
          <w:bCs/>
          <w:lang w:eastAsia="en-US"/>
        </w:rPr>
      </w:pPr>
      <w:r w:rsidRPr="00493534">
        <w:rPr>
          <w:b/>
          <w:bCs/>
        </w:rPr>
        <w:t>Salmonelozy pozajelitowe</w:t>
      </w:r>
    </w:p>
    <w:p w:rsidR="00AF0FDB" w:rsidRPr="00E95571" w:rsidRDefault="00AF0FDB" w:rsidP="00047C9F">
      <w:pPr>
        <w:spacing w:after="0"/>
        <w:ind w:right="-110"/>
        <w:jc w:val="both"/>
        <w:rPr>
          <w:color w:val="000000"/>
        </w:rPr>
      </w:pPr>
      <w:bookmarkStart w:id="330" w:name="_Hlk536733982"/>
      <w:r w:rsidRPr="00E95571">
        <w:t xml:space="preserve">W roku 2018 zarejestrowano 4 przypadki zachorowania na salmonelozy pozajelitowe </w:t>
      </w:r>
      <w:r w:rsidRPr="00E95571">
        <w:br/>
        <w:t>(wsp. zap. 0,4/100000), co stanowi spadek zachorowań o 33,3% w porównaniu do 2017 r., w </w:t>
      </w:r>
      <w:r>
        <w:t xml:space="preserve">którym </w:t>
      </w:r>
      <w:r w:rsidRPr="00E95571">
        <w:t>zarejestrowano 6 przypadków (wsp. zap. 0,6/100000).</w:t>
      </w:r>
      <w:r w:rsidRPr="00E95571">
        <w:rPr>
          <w:color w:val="2F5496"/>
        </w:rPr>
        <w:t xml:space="preserve"> </w:t>
      </w:r>
      <w:r w:rsidRPr="00E95571">
        <w:t xml:space="preserve">Dominowały zakażenia wywołane </w:t>
      </w:r>
      <w:r>
        <w:t>pałeczkami</w:t>
      </w:r>
      <w:r w:rsidRPr="00E95571">
        <w:t xml:space="preserve"> </w:t>
      </w:r>
      <w:r w:rsidRPr="00E95571">
        <w:rPr>
          <w:i/>
          <w:iCs/>
        </w:rPr>
        <w:t>Salmonella</w:t>
      </w:r>
      <w:r w:rsidRPr="00E95571">
        <w:t xml:space="preserve"> </w:t>
      </w:r>
      <w:r w:rsidRPr="005932DF">
        <w:rPr>
          <w:i/>
          <w:iCs/>
        </w:rPr>
        <w:t>Enteritidis</w:t>
      </w:r>
      <w:r w:rsidRPr="00E95571">
        <w:t xml:space="preserve"> (3 przypadki). Zarejestrowano 2 przypadki posocznicy i 2 przypadki innych zakażeń pozajelitowych</w:t>
      </w:r>
      <w:r w:rsidRPr="00E95571">
        <w:rPr>
          <w:color w:val="000000"/>
        </w:rPr>
        <w:t xml:space="preserve"> (ropniak opłucnej oraz stany zapalne na powierzchni ciała).</w:t>
      </w:r>
      <w:r w:rsidRPr="00E95571">
        <w:t xml:space="preserve"> </w:t>
      </w:r>
      <w:r w:rsidRPr="00E95571">
        <w:rPr>
          <w:color w:val="000000"/>
        </w:rPr>
        <w:t>Najwięcej zachorowań wystąpiło w grupie wiekowej powyżej 60 roku życia tj. 3 przypadki (1 przypadek posocznicy i 2 przypadki innych zakażeń pozajelitowych). Wszystkie zachorowania były hospitalizowane</w:t>
      </w:r>
      <w:r w:rsidRPr="00E95571">
        <w:t>.</w:t>
      </w:r>
    </w:p>
    <w:bookmarkEnd w:id="330"/>
    <w:p w:rsidR="00AF0FDB" w:rsidRPr="00493534" w:rsidRDefault="00AF0FDB" w:rsidP="00642C07">
      <w:pPr>
        <w:spacing w:after="0"/>
        <w:jc w:val="both"/>
        <w:rPr>
          <w:b/>
          <w:bCs/>
        </w:rPr>
      </w:pPr>
      <w:r w:rsidRPr="00493534">
        <w:rPr>
          <w:b/>
          <w:bCs/>
        </w:rPr>
        <w:t>Wirusowe zapalenie wątroby typu C</w:t>
      </w:r>
    </w:p>
    <w:p w:rsidR="00AF0FDB" w:rsidRPr="008739E3" w:rsidRDefault="00AF0FDB" w:rsidP="00F80293">
      <w:pPr>
        <w:spacing w:after="0"/>
        <w:jc w:val="both"/>
      </w:pPr>
      <w:r w:rsidRPr="008739E3">
        <w:t xml:space="preserve">W 2018 roku zarejestrowano 151 zachorowań na wzw typu C (wsp. zap. 16,4/100000), </w:t>
      </w:r>
      <w:r>
        <w:br/>
      </w:r>
      <w:r w:rsidRPr="008739E3">
        <w:t>co stanowi spadek zachorowań o 22 przypadki w porównaniu do 2017 r., gdzie odnotowano 173 zachorowania (wsp. zap. 18,9/100000). Wśród zgłoszonych w 2018 r. zachorowań w 149 przypadkach zachorowania dotyczyły przewlekłego wirusowego zapalenia wątroby typu C</w:t>
      </w:r>
      <w:r>
        <w:t xml:space="preserve">, a </w:t>
      </w:r>
      <w:r w:rsidRPr="008739E3">
        <w:t>w 2 przypadkach zachorowań na ostre wzw typu C.</w:t>
      </w:r>
    </w:p>
    <w:p w:rsidR="00AF0FDB" w:rsidRPr="008739E3" w:rsidRDefault="00AF0FDB" w:rsidP="00F80293">
      <w:pPr>
        <w:spacing w:after="0"/>
        <w:jc w:val="both"/>
      </w:pPr>
      <w:r w:rsidRPr="008739E3">
        <w:t>Pierwszy przypadek zachorowania na ostre wzw typu C dotyczył 39-letniego mężczyzny, pracujące</w:t>
      </w:r>
      <w:r>
        <w:t>go jako ma</w:t>
      </w:r>
      <w:r w:rsidRPr="008739E3">
        <w:t xml:space="preserve">nager. Mężczyzna przechodził małe zabiegi chirurgiczne oraz miał przygodne kontakty seksualne. Drugie zachorowanie dotyczyło 34-letniej kobiety narodowości </w:t>
      </w:r>
      <w:r>
        <w:t>u</w:t>
      </w:r>
      <w:r w:rsidRPr="008739E3">
        <w:t>kraińskiej</w:t>
      </w:r>
      <w:r>
        <w:t>,</w:t>
      </w:r>
      <w:r w:rsidRPr="008739E3">
        <w:t xml:space="preserve"> pracującej w Polsce jako magazynierka. </w:t>
      </w:r>
      <w:r>
        <w:t xml:space="preserve">Ustalono, iż chora </w:t>
      </w:r>
      <w:r w:rsidRPr="008739E3">
        <w:t xml:space="preserve">będąc </w:t>
      </w:r>
      <w:r>
        <w:br/>
      </w:r>
      <w:r w:rsidRPr="008739E3">
        <w:t xml:space="preserve">na Ukrainie </w:t>
      </w:r>
      <w:r>
        <w:t xml:space="preserve">miała </w:t>
      </w:r>
      <w:r w:rsidRPr="008739E3">
        <w:t xml:space="preserve">kontakt z zakażonym partnerem.  </w:t>
      </w:r>
    </w:p>
    <w:p w:rsidR="00AF0FDB" w:rsidRDefault="00AF0FDB" w:rsidP="00F80293">
      <w:pPr>
        <w:spacing w:after="0"/>
        <w:jc w:val="both"/>
      </w:pPr>
      <w:r>
        <w:t xml:space="preserve">Spośród wszystkich </w:t>
      </w:r>
      <w:r w:rsidRPr="008739E3">
        <w:t xml:space="preserve">zachorowań na wzw typu C </w:t>
      </w:r>
      <w:r>
        <w:t>n</w:t>
      </w:r>
      <w:r w:rsidRPr="008739E3">
        <w:t xml:space="preserve">ajwięcej odnotowano w przedziale wiekowym &gt;60 lat (43 zachorowania), co stanowi 28,5% oraz w przedziale wiekowym 30-39 lat (31 zachorowań), co stanowi 20,5% ogółu zachorowań. W grupie wiekowej 1-14 lat nie odnotowano żadnego zachorowania. W grupie wiekowej 15-19 lat odnotowano </w:t>
      </w:r>
      <w:r>
        <w:br/>
      </w:r>
      <w:r w:rsidRPr="008739E3">
        <w:t>1 zachorowanie</w:t>
      </w:r>
      <w:r>
        <w:t xml:space="preserve"> (</w:t>
      </w:r>
      <w:r w:rsidRPr="008739E3">
        <w:t>stwierdzono HCV</w:t>
      </w:r>
      <w:r>
        <w:t>-</w:t>
      </w:r>
      <w:r w:rsidRPr="008739E3">
        <w:t>RNA</w:t>
      </w:r>
      <w:r>
        <w:t>)</w:t>
      </w:r>
      <w:r w:rsidRPr="008739E3">
        <w:t xml:space="preserve"> </w:t>
      </w:r>
      <w:r>
        <w:t xml:space="preserve">dotyczące </w:t>
      </w:r>
      <w:r w:rsidRPr="008739E3">
        <w:t>15-letniej uczennicy, któr</w:t>
      </w:r>
      <w:r>
        <w:t xml:space="preserve">a </w:t>
      </w:r>
      <w:r w:rsidRPr="008739E3">
        <w:t>przyjmowała narkotyki w iniekcjach oraz samookaleczała się. Analizując zachorowania pod względem płci zarejestrowano 79 zachorowań wśród kobiet (co stanowi 52,3% zachorowań ogółu) oraz 72 zachorowania wśród mężczyzn (co stanowi 47,7% wśród ogółu). W 3 przypadkach zachorowanie dotyczyło pracowników medycznych – salowa, pielęgniarka oraz lekarz. W 2 przypadkach zachorowania dotyczyły uczennicy oraz studentki.</w:t>
      </w:r>
    </w:p>
    <w:p w:rsidR="00AF0FDB" w:rsidRPr="00493534" w:rsidRDefault="00AF0FDB" w:rsidP="00642C07">
      <w:pPr>
        <w:tabs>
          <w:tab w:val="left" w:pos="993"/>
          <w:tab w:val="left" w:pos="1418"/>
          <w:tab w:val="left" w:pos="2410"/>
          <w:tab w:val="left" w:pos="2694"/>
        </w:tabs>
        <w:spacing w:after="0"/>
        <w:jc w:val="both"/>
        <w:rPr>
          <w:b/>
          <w:bCs/>
        </w:rPr>
      </w:pPr>
      <w:r w:rsidRPr="00493534">
        <w:rPr>
          <w:b/>
          <w:bCs/>
        </w:rPr>
        <w:t>Ospa wietrzna</w:t>
      </w:r>
    </w:p>
    <w:p w:rsidR="00AF0FDB" w:rsidRPr="008739E3" w:rsidRDefault="00AF0FDB" w:rsidP="004C74B4">
      <w:pPr>
        <w:spacing w:after="0"/>
        <w:jc w:val="both"/>
      </w:pPr>
      <w:r w:rsidRPr="008739E3">
        <w:t>W 20</w:t>
      </w:r>
      <w:r>
        <w:t>18 roku zgłoszono 3912 przypadków</w:t>
      </w:r>
      <w:r w:rsidRPr="008739E3">
        <w:t xml:space="preserve"> zachorowań na ospę wietrzną, tj. o 796 przypadków mniej, niż w 2017 r. Współczynnik zapadalności w porównaniu z rokiem ubiegłym</w:t>
      </w:r>
      <w:r w:rsidRPr="008739E3">
        <w:rPr>
          <w:color w:val="FF0000"/>
        </w:rPr>
        <w:t xml:space="preserve"> </w:t>
      </w:r>
      <w:r w:rsidRPr="008739E3">
        <w:rPr>
          <w:color w:val="000000"/>
        </w:rPr>
        <w:t>(</w:t>
      </w:r>
      <w:r w:rsidRPr="00705049">
        <w:t>513,3/100000</w:t>
      </w:r>
      <w:r w:rsidRPr="008739E3">
        <w:t xml:space="preserve">) uległ zmniejszeniu i wynosił 423,7/100000. Największą liczbę zachorowań </w:t>
      </w:r>
      <w:r>
        <w:br/>
      </w:r>
      <w:r w:rsidRPr="008739E3">
        <w:t xml:space="preserve">na ospę </w:t>
      </w:r>
      <w:r>
        <w:t xml:space="preserve">wietrzną </w:t>
      </w:r>
      <w:r w:rsidRPr="008739E3">
        <w:t>odnotowano, podobnie jak w roku ubiegłym, w przedziale wiekowym 0-4 lat, tj. 2208 przypadków (wsp. zap. 4063,5/100000). Drugim</w:t>
      </w:r>
      <w:r>
        <w:t xml:space="preserve"> pod względem liczby </w:t>
      </w:r>
      <w:r w:rsidRPr="008739E3">
        <w:t xml:space="preserve">zachorowań przedziałem </w:t>
      </w:r>
      <w:r>
        <w:t xml:space="preserve">wiekowym był przedział </w:t>
      </w:r>
      <w:r w:rsidRPr="008739E3">
        <w:t xml:space="preserve">5-9 lat, w którym odnotowano 1279 przypadków (wsp. zap. 2401,7/100000). Najmniej zachorowań odnotowano w grupie wiekowej powyżej 60 roku życia, gdzie zarejestrowano </w:t>
      </w:r>
      <w:r>
        <w:t>9 przypadków (0,23</w:t>
      </w:r>
      <w:r w:rsidRPr="008739E3">
        <w:t>% ogólnej liczby zachorowań).  Ogółem hospitalizowano 46 osób, tj. o 20 osób więcej niż w 2017 r., co stanowi 1,17 % wszystkich przypadków.</w:t>
      </w:r>
      <w:r w:rsidRPr="008739E3">
        <w:rPr>
          <w:b/>
          <w:bCs/>
        </w:rPr>
        <w:t xml:space="preserve"> </w:t>
      </w:r>
      <w:r w:rsidRPr="008739E3">
        <w:t>Analizując zachorowania według płci 50,5% zachorowań odnotowano wśród mężczyzn, natomiast 49,</w:t>
      </w:r>
      <w:r>
        <w:t>5</w:t>
      </w:r>
      <w:r w:rsidRPr="008739E3">
        <w:t xml:space="preserve">% wśród kobiet. </w:t>
      </w:r>
    </w:p>
    <w:p w:rsidR="00AF0FDB" w:rsidRDefault="00AF0FDB" w:rsidP="00642C07">
      <w:pPr>
        <w:jc w:val="both"/>
        <w:rPr>
          <w:b/>
          <w:bCs/>
        </w:rPr>
      </w:pPr>
      <w:r w:rsidRPr="00493534">
        <w:rPr>
          <w:b/>
          <w:bCs/>
        </w:rPr>
        <w:t>Borelioza</w:t>
      </w:r>
    </w:p>
    <w:p w:rsidR="00AF0FDB" w:rsidRPr="00020FE2" w:rsidRDefault="00AF0FDB" w:rsidP="00020FE2">
      <w:pPr>
        <w:tabs>
          <w:tab w:val="left" w:pos="993"/>
          <w:tab w:val="left" w:pos="1418"/>
          <w:tab w:val="left" w:pos="2410"/>
          <w:tab w:val="left" w:pos="2694"/>
        </w:tabs>
        <w:spacing w:after="0" w:line="240" w:lineRule="auto"/>
        <w:jc w:val="both"/>
        <w:rPr>
          <w:sz w:val="20"/>
          <w:szCs w:val="20"/>
        </w:rPr>
      </w:pPr>
      <w:r>
        <w:rPr>
          <w:b/>
          <w:bCs/>
          <w:sz w:val="20"/>
          <w:szCs w:val="20"/>
        </w:rPr>
        <w:t>Tab. 4</w:t>
      </w:r>
      <w:r w:rsidRPr="0071136B">
        <w:rPr>
          <w:b/>
          <w:bCs/>
          <w:sz w:val="20"/>
          <w:szCs w:val="20"/>
        </w:rPr>
        <w:t>.</w:t>
      </w:r>
      <w:r w:rsidRPr="0071136B">
        <w:rPr>
          <w:sz w:val="20"/>
          <w:szCs w:val="20"/>
        </w:rPr>
        <w:t xml:space="preserve"> Borelioza </w:t>
      </w:r>
      <w:r>
        <w:rPr>
          <w:sz w:val="20"/>
          <w:szCs w:val="20"/>
        </w:rPr>
        <w:t xml:space="preserve"> w 2018 r.</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A0"/>
      </w:tblPr>
      <w:tblGrid>
        <w:gridCol w:w="960"/>
        <w:gridCol w:w="1140"/>
        <w:gridCol w:w="1109"/>
        <w:gridCol w:w="1083"/>
        <w:gridCol w:w="1157"/>
        <w:gridCol w:w="1322"/>
        <w:gridCol w:w="1134"/>
        <w:gridCol w:w="425"/>
        <w:gridCol w:w="669"/>
      </w:tblGrid>
      <w:tr w:rsidR="00AF0FDB" w:rsidRPr="00020FE2">
        <w:trPr>
          <w:trHeight w:val="270"/>
        </w:trPr>
        <w:tc>
          <w:tcPr>
            <w:tcW w:w="8999" w:type="dxa"/>
            <w:gridSpan w:val="9"/>
            <w:tcBorders>
              <w:bottom w:val="single" w:sz="18" w:space="0" w:color="A5A5A5"/>
            </w:tcBorders>
          </w:tcPr>
          <w:p w:rsidR="00AF0FDB" w:rsidRPr="002C4F7C" w:rsidRDefault="00AF0FDB" w:rsidP="002C4F7C">
            <w:pPr>
              <w:spacing w:before="0" w:after="0" w:line="240" w:lineRule="auto"/>
              <w:jc w:val="center"/>
              <w:rPr>
                <w:b/>
                <w:bCs/>
                <w:sz w:val="22"/>
                <w:szCs w:val="22"/>
              </w:rPr>
            </w:pPr>
            <w:r w:rsidRPr="002C4F7C">
              <w:rPr>
                <w:b/>
                <w:bCs/>
                <w:sz w:val="20"/>
                <w:szCs w:val="20"/>
              </w:rPr>
              <w:t>Borelioza</w:t>
            </w:r>
          </w:p>
        </w:tc>
      </w:tr>
      <w:tr w:rsidR="00AF0FDB" w:rsidRPr="00020FE2">
        <w:trPr>
          <w:trHeight w:val="134"/>
        </w:trPr>
        <w:tc>
          <w:tcPr>
            <w:tcW w:w="960" w:type="dxa"/>
            <w:vMerge w:val="restart"/>
            <w:shd w:val="clear" w:color="auto" w:fill="E8E8E8"/>
          </w:tcPr>
          <w:p w:rsidR="00AF0FDB" w:rsidRPr="002C4F7C" w:rsidRDefault="00AF0FDB" w:rsidP="002C4F7C">
            <w:pPr>
              <w:snapToGrid w:val="0"/>
              <w:spacing w:before="0" w:after="0" w:line="240" w:lineRule="auto"/>
              <w:jc w:val="center"/>
              <w:rPr>
                <w:b/>
                <w:bCs/>
                <w:sz w:val="20"/>
                <w:szCs w:val="20"/>
              </w:rPr>
            </w:pPr>
          </w:p>
          <w:p w:rsidR="00AF0FDB" w:rsidRPr="002C4F7C" w:rsidRDefault="00AF0FDB" w:rsidP="002C4F7C">
            <w:pPr>
              <w:spacing w:before="0" w:after="0" w:line="240" w:lineRule="auto"/>
              <w:jc w:val="center"/>
              <w:rPr>
                <w:b/>
                <w:bCs/>
                <w:sz w:val="20"/>
                <w:szCs w:val="20"/>
              </w:rPr>
            </w:pPr>
            <w:r w:rsidRPr="002C4F7C">
              <w:rPr>
                <w:b/>
                <w:bCs/>
                <w:sz w:val="20"/>
                <w:szCs w:val="20"/>
              </w:rPr>
              <w:t>Wiek</w:t>
            </w:r>
          </w:p>
        </w:tc>
        <w:tc>
          <w:tcPr>
            <w:tcW w:w="2249" w:type="dxa"/>
            <w:gridSpan w:val="2"/>
            <w:vMerge w:val="restart"/>
            <w:shd w:val="clear" w:color="auto" w:fill="E8E8E8"/>
          </w:tcPr>
          <w:p w:rsidR="00AF0FDB" w:rsidRPr="002C4F7C" w:rsidRDefault="00AF0FDB" w:rsidP="002C4F7C">
            <w:pPr>
              <w:snapToGrid w:val="0"/>
              <w:spacing w:before="0" w:after="0" w:line="240" w:lineRule="auto"/>
              <w:jc w:val="center"/>
              <w:rPr>
                <w:b/>
                <w:bCs/>
                <w:sz w:val="20"/>
                <w:szCs w:val="20"/>
              </w:rPr>
            </w:pPr>
          </w:p>
          <w:p w:rsidR="00AF0FDB" w:rsidRPr="002C4F7C" w:rsidRDefault="00AF0FDB" w:rsidP="002C4F7C">
            <w:pPr>
              <w:spacing w:before="0" w:after="0" w:line="240" w:lineRule="auto"/>
              <w:jc w:val="center"/>
              <w:rPr>
                <w:b/>
                <w:bCs/>
                <w:sz w:val="20"/>
                <w:szCs w:val="20"/>
              </w:rPr>
            </w:pPr>
            <w:r w:rsidRPr="002C4F7C">
              <w:rPr>
                <w:b/>
                <w:bCs/>
                <w:sz w:val="20"/>
                <w:szCs w:val="20"/>
              </w:rPr>
              <w:t>Płeć</w:t>
            </w:r>
          </w:p>
          <w:p w:rsidR="00AF0FDB" w:rsidRPr="002C4F7C" w:rsidRDefault="00AF0FDB" w:rsidP="002C4F7C">
            <w:pPr>
              <w:spacing w:before="0" w:after="0" w:line="240" w:lineRule="auto"/>
              <w:jc w:val="center"/>
              <w:rPr>
                <w:b/>
                <w:bCs/>
                <w:sz w:val="20"/>
                <w:szCs w:val="20"/>
              </w:rPr>
            </w:pPr>
          </w:p>
        </w:tc>
        <w:tc>
          <w:tcPr>
            <w:tcW w:w="2240" w:type="dxa"/>
            <w:gridSpan w:val="2"/>
            <w:vMerge w:val="restart"/>
            <w:shd w:val="clear" w:color="auto" w:fill="E8E8E8"/>
          </w:tcPr>
          <w:p w:rsidR="00AF0FDB" w:rsidRPr="002C4F7C" w:rsidRDefault="00AF0FDB" w:rsidP="002C4F7C">
            <w:pPr>
              <w:tabs>
                <w:tab w:val="center" w:pos="1012"/>
              </w:tabs>
              <w:spacing w:before="0" w:after="0" w:line="240" w:lineRule="auto"/>
              <w:rPr>
                <w:b/>
                <w:bCs/>
                <w:sz w:val="20"/>
                <w:szCs w:val="20"/>
              </w:rPr>
            </w:pPr>
            <w:r w:rsidRPr="002C4F7C">
              <w:rPr>
                <w:b/>
                <w:bCs/>
                <w:sz w:val="20"/>
                <w:szCs w:val="20"/>
              </w:rPr>
              <w:tab/>
            </w:r>
          </w:p>
          <w:p w:rsidR="00AF0FDB" w:rsidRPr="002C4F7C" w:rsidRDefault="00AF0FDB" w:rsidP="002C4F7C">
            <w:pPr>
              <w:tabs>
                <w:tab w:val="center" w:pos="1012"/>
              </w:tabs>
              <w:spacing w:before="0" w:after="0" w:line="240" w:lineRule="auto"/>
              <w:rPr>
                <w:b/>
                <w:bCs/>
                <w:sz w:val="20"/>
                <w:szCs w:val="20"/>
              </w:rPr>
            </w:pPr>
            <w:r w:rsidRPr="002C4F7C">
              <w:rPr>
                <w:b/>
                <w:bCs/>
                <w:sz w:val="20"/>
                <w:szCs w:val="20"/>
              </w:rPr>
              <w:t>Miejsce zamieszkania</w:t>
            </w:r>
          </w:p>
        </w:tc>
        <w:tc>
          <w:tcPr>
            <w:tcW w:w="1322" w:type="dxa"/>
            <w:vMerge w:val="restart"/>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Liczba zachorowań ogółem</w:t>
            </w:r>
          </w:p>
        </w:tc>
        <w:tc>
          <w:tcPr>
            <w:tcW w:w="1134" w:type="dxa"/>
            <w:vMerge w:val="restart"/>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Narażenie zawodowe</w:t>
            </w:r>
          </w:p>
        </w:tc>
        <w:tc>
          <w:tcPr>
            <w:tcW w:w="1094" w:type="dxa"/>
            <w:gridSpan w:val="2"/>
            <w:shd w:val="clear" w:color="auto" w:fill="E8E8E8"/>
          </w:tcPr>
          <w:p w:rsidR="00AF0FDB" w:rsidRPr="002C4F7C" w:rsidRDefault="00AF0FDB" w:rsidP="002C4F7C">
            <w:pPr>
              <w:spacing w:before="0" w:after="0" w:line="240" w:lineRule="auto"/>
              <w:jc w:val="center"/>
              <w:rPr>
                <w:sz w:val="22"/>
                <w:szCs w:val="22"/>
              </w:rPr>
            </w:pPr>
            <w:r w:rsidRPr="002C4F7C">
              <w:rPr>
                <w:b/>
                <w:bCs/>
                <w:sz w:val="20"/>
                <w:szCs w:val="20"/>
              </w:rPr>
              <w:t>Leczenie</w:t>
            </w:r>
          </w:p>
        </w:tc>
      </w:tr>
      <w:tr w:rsidR="00AF0FDB" w:rsidRPr="00020FE2">
        <w:trPr>
          <w:trHeight w:val="517"/>
        </w:trPr>
        <w:tc>
          <w:tcPr>
            <w:tcW w:w="960" w:type="dxa"/>
            <w:vMerge/>
          </w:tcPr>
          <w:p w:rsidR="00AF0FDB" w:rsidRPr="002C4F7C" w:rsidRDefault="00AF0FDB" w:rsidP="002C4F7C">
            <w:pPr>
              <w:spacing w:before="0" w:after="0" w:line="240" w:lineRule="auto"/>
              <w:rPr>
                <w:b/>
                <w:bCs/>
                <w:sz w:val="20"/>
                <w:szCs w:val="20"/>
              </w:rPr>
            </w:pPr>
          </w:p>
        </w:tc>
        <w:tc>
          <w:tcPr>
            <w:tcW w:w="2249" w:type="dxa"/>
            <w:gridSpan w:val="2"/>
            <w:vMerge/>
          </w:tcPr>
          <w:p w:rsidR="00AF0FDB" w:rsidRPr="002C4F7C" w:rsidRDefault="00AF0FDB" w:rsidP="002C4F7C">
            <w:pPr>
              <w:spacing w:before="0" w:after="0" w:line="240" w:lineRule="auto"/>
              <w:rPr>
                <w:b/>
                <w:bCs/>
                <w:sz w:val="20"/>
                <w:szCs w:val="20"/>
              </w:rPr>
            </w:pPr>
          </w:p>
        </w:tc>
        <w:tc>
          <w:tcPr>
            <w:tcW w:w="2240" w:type="dxa"/>
            <w:gridSpan w:val="2"/>
            <w:vMerge/>
          </w:tcPr>
          <w:p w:rsidR="00AF0FDB" w:rsidRPr="002C4F7C" w:rsidRDefault="00AF0FDB" w:rsidP="002C4F7C">
            <w:pPr>
              <w:spacing w:before="0" w:after="0" w:line="240" w:lineRule="auto"/>
              <w:rPr>
                <w:b/>
                <w:bCs/>
                <w:sz w:val="20"/>
                <w:szCs w:val="20"/>
              </w:rPr>
            </w:pPr>
          </w:p>
        </w:tc>
        <w:tc>
          <w:tcPr>
            <w:tcW w:w="1322" w:type="dxa"/>
            <w:vMerge/>
          </w:tcPr>
          <w:p w:rsidR="00AF0FDB" w:rsidRPr="002C4F7C" w:rsidRDefault="00AF0FDB" w:rsidP="002C4F7C">
            <w:pPr>
              <w:spacing w:before="0" w:after="0" w:line="240" w:lineRule="auto"/>
              <w:rPr>
                <w:b/>
                <w:bCs/>
                <w:sz w:val="20"/>
                <w:szCs w:val="20"/>
              </w:rPr>
            </w:pPr>
          </w:p>
        </w:tc>
        <w:tc>
          <w:tcPr>
            <w:tcW w:w="1134" w:type="dxa"/>
            <w:vMerge/>
          </w:tcPr>
          <w:p w:rsidR="00AF0FDB" w:rsidRPr="002C4F7C" w:rsidRDefault="00AF0FDB" w:rsidP="002C4F7C">
            <w:pPr>
              <w:spacing w:before="0" w:after="0" w:line="240" w:lineRule="auto"/>
              <w:rPr>
                <w:b/>
                <w:bCs/>
                <w:sz w:val="20"/>
                <w:szCs w:val="20"/>
              </w:rPr>
            </w:pPr>
          </w:p>
        </w:tc>
        <w:tc>
          <w:tcPr>
            <w:tcW w:w="425" w:type="dxa"/>
            <w:vMerge w:val="restart"/>
          </w:tcPr>
          <w:p w:rsidR="00AF0FDB" w:rsidRPr="002C4F7C" w:rsidRDefault="00AF0FDB" w:rsidP="002C4F7C">
            <w:pPr>
              <w:spacing w:before="0" w:after="0" w:line="240" w:lineRule="auto"/>
              <w:jc w:val="center"/>
              <w:rPr>
                <w:b/>
                <w:bCs/>
                <w:sz w:val="20"/>
                <w:szCs w:val="20"/>
              </w:rPr>
            </w:pPr>
            <w:r w:rsidRPr="002C4F7C">
              <w:rPr>
                <w:b/>
                <w:bCs/>
                <w:sz w:val="20"/>
                <w:szCs w:val="20"/>
              </w:rPr>
              <w:t>H</w:t>
            </w:r>
          </w:p>
        </w:tc>
        <w:tc>
          <w:tcPr>
            <w:tcW w:w="669" w:type="dxa"/>
            <w:vMerge w:val="restart"/>
          </w:tcPr>
          <w:p w:rsidR="00AF0FDB" w:rsidRPr="002C4F7C" w:rsidRDefault="00AF0FDB" w:rsidP="002C4F7C">
            <w:pPr>
              <w:spacing w:before="0" w:after="0" w:line="240" w:lineRule="auto"/>
              <w:jc w:val="center"/>
              <w:rPr>
                <w:sz w:val="22"/>
                <w:szCs w:val="22"/>
              </w:rPr>
            </w:pPr>
            <w:r w:rsidRPr="002C4F7C">
              <w:rPr>
                <w:b/>
                <w:bCs/>
                <w:sz w:val="20"/>
                <w:szCs w:val="20"/>
              </w:rPr>
              <w:t>A</w:t>
            </w:r>
          </w:p>
        </w:tc>
      </w:tr>
      <w:tr w:rsidR="00AF0FDB" w:rsidRPr="00020FE2">
        <w:trPr>
          <w:trHeight w:val="270"/>
        </w:trPr>
        <w:tc>
          <w:tcPr>
            <w:tcW w:w="960" w:type="dxa"/>
            <w:vMerge/>
            <w:shd w:val="clear" w:color="auto" w:fill="E8E8E8"/>
          </w:tcPr>
          <w:p w:rsidR="00AF0FDB" w:rsidRPr="002C4F7C" w:rsidRDefault="00AF0FDB" w:rsidP="002C4F7C">
            <w:pPr>
              <w:spacing w:before="0" w:after="0" w:line="240" w:lineRule="auto"/>
              <w:rPr>
                <w:b/>
                <w:bCs/>
                <w:sz w:val="20"/>
                <w:szCs w:val="20"/>
              </w:rPr>
            </w:pPr>
          </w:p>
        </w:tc>
        <w:tc>
          <w:tcPr>
            <w:tcW w:w="1140"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M</w:t>
            </w:r>
          </w:p>
        </w:tc>
        <w:tc>
          <w:tcPr>
            <w:tcW w:w="1109"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K</w:t>
            </w:r>
          </w:p>
        </w:tc>
        <w:tc>
          <w:tcPr>
            <w:tcW w:w="1083"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M</w:t>
            </w:r>
          </w:p>
        </w:tc>
        <w:tc>
          <w:tcPr>
            <w:tcW w:w="1157"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W</w:t>
            </w:r>
          </w:p>
        </w:tc>
        <w:tc>
          <w:tcPr>
            <w:tcW w:w="1322" w:type="dxa"/>
            <w:vMerge/>
            <w:shd w:val="clear" w:color="auto" w:fill="E8E8E8"/>
          </w:tcPr>
          <w:p w:rsidR="00AF0FDB" w:rsidRPr="002C4F7C" w:rsidRDefault="00AF0FDB" w:rsidP="002C4F7C">
            <w:pPr>
              <w:spacing w:before="0" w:after="0" w:line="240" w:lineRule="auto"/>
              <w:rPr>
                <w:b/>
                <w:bCs/>
                <w:sz w:val="20"/>
                <w:szCs w:val="20"/>
              </w:rPr>
            </w:pPr>
          </w:p>
        </w:tc>
        <w:tc>
          <w:tcPr>
            <w:tcW w:w="1134" w:type="dxa"/>
            <w:vMerge/>
            <w:shd w:val="clear" w:color="auto" w:fill="E8E8E8"/>
          </w:tcPr>
          <w:p w:rsidR="00AF0FDB" w:rsidRPr="002C4F7C" w:rsidRDefault="00AF0FDB" w:rsidP="002C4F7C">
            <w:pPr>
              <w:spacing w:before="0" w:after="0" w:line="240" w:lineRule="auto"/>
              <w:rPr>
                <w:b/>
                <w:bCs/>
                <w:sz w:val="20"/>
                <w:szCs w:val="20"/>
              </w:rPr>
            </w:pPr>
          </w:p>
        </w:tc>
        <w:tc>
          <w:tcPr>
            <w:tcW w:w="425" w:type="dxa"/>
            <w:vMerge/>
            <w:shd w:val="clear" w:color="auto" w:fill="E8E8E8"/>
          </w:tcPr>
          <w:p w:rsidR="00AF0FDB" w:rsidRPr="002C4F7C" w:rsidRDefault="00AF0FDB" w:rsidP="002C4F7C">
            <w:pPr>
              <w:spacing w:before="0" w:after="0" w:line="240" w:lineRule="auto"/>
              <w:rPr>
                <w:b/>
                <w:bCs/>
                <w:sz w:val="20"/>
                <w:szCs w:val="20"/>
              </w:rPr>
            </w:pPr>
          </w:p>
        </w:tc>
        <w:tc>
          <w:tcPr>
            <w:tcW w:w="669" w:type="dxa"/>
            <w:vMerge/>
            <w:shd w:val="clear" w:color="auto" w:fill="E8E8E8"/>
          </w:tcPr>
          <w:p w:rsidR="00AF0FDB" w:rsidRPr="002C4F7C" w:rsidRDefault="00AF0FDB" w:rsidP="002C4F7C">
            <w:pPr>
              <w:spacing w:before="0" w:after="0" w:line="240" w:lineRule="auto"/>
              <w:rPr>
                <w:sz w:val="22"/>
                <w:szCs w:val="22"/>
              </w:rPr>
            </w:pPr>
          </w:p>
        </w:tc>
      </w:tr>
      <w:tr w:rsidR="00AF0FDB" w:rsidRPr="00020FE2">
        <w:trPr>
          <w:trHeight w:val="270"/>
        </w:trPr>
        <w:tc>
          <w:tcPr>
            <w:tcW w:w="960" w:type="dxa"/>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0-4</w:t>
            </w:r>
          </w:p>
        </w:tc>
        <w:tc>
          <w:tcPr>
            <w:tcW w:w="1140" w:type="dxa"/>
          </w:tcPr>
          <w:p w:rsidR="00AF0FDB" w:rsidRPr="002C4F7C" w:rsidRDefault="00AF0FDB" w:rsidP="002C4F7C">
            <w:pPr>
              <w:snapToGrid w:val="0"/>
              <w:spacing w:before="0" w:after="0" w:line="240" w:lineRule="auto"/>
              <w:jc w:val="center"/>
              <w:rPr>
                <w:sz w:val="20"/>
                <w:szCs w:val="20"/>
              </w:rPr>
            </w:pPr>
            <w:r w:rsidRPr="002C4F7C">
              <w:rPr>
                <w:sz w:val="20"/>
                <w:szCs w:val="20"/>
              </w:rPr>
              <w:t>3</w:t>
            </w:r>
          </w:p>
        </w:tc>
        <w:tc>
          <w:tcPr>
            <w:tcW w:w="1109" w:type="dxa"/>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1083" w:type="dxa"/>
          </w:tcPr>
          <w:p w:rsidR="00AF0FDB" w:rsidRPr="002C4F7C" w:rsidRDefault="00AF0FDB" w:rsidP="002C4F7C">
            <w:pPr>
              <w:snapToGrid w:val="0"/>
              <w:spacing w:before="0" w:after="0" w:line="240" w:lineRule="auto"/>
              <w:jc w:val="center"/>
              <w:rPr>
                <w:sz w:val="20"/>
                <w:szCs w:val="20"/>
              </w:rPr>
            </w:pPr>
            <w:r w:rsidRPr="002C4F7C">
              <w:rPr>
                <w:sz w:val="20"/>
                <w:szCs w:val="20"/>
              </w:rPr>
              <w:t>3</w:t>
            </w:r>
          </w:p>
        </w:tc>
        <w:tc>
          <w:tcPr>
            <w:tcW w:w="1157" w:type="dxa"/>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1322" w:type="dxa"/>
          </w:tcPr>
          <w:p w:rsidR="00AF0FDB" w:rsidRPr="002C4F7C" w:rsidRDefault="00AF0FDB" w:rsidP="002C4F7C">
            <w:pPr>
              <w:snapToGrid w:val="0"/>
              <w:spacing w:before="0" w:after="0" w:line="240" w:lineRule="auto"/>
              <w:jc w:val="center"/>
              <w:rPr>
                <w:sz w:val="20"/>
                <w:szCs w:val="20"/>
              </w:rPr>
            </w:pPr>
            <w:r w:rsidRPr="002C4F7C">
              <w:rPr>
                <w:sz w:val="20"/>
                <w:szCs w:val="20"/>
              </w:rPr>
              <w:t>5</w:t>
            </w:r>
          </w:p>
        </w:tc>
        <w:tc>
          <w:tcPr>
            <w:tcW w:w="1134"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425"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669" w:type="dxa"/>
          </w:tcPr>
          <w:p w:rsidR="00AF0FDB" w:rsidRPr="002C4F7C" w:rsidRDefault="00AF0FDB" w:rsidP="002C4F7C">
            <w:pPr>
              <w:snapToGrid w:val="0"/>
              <w:spacing w:before="0" w:after="0" w:line="240" w:lineRule="auto"/>
              <w:jc w:val="center"/>
              <w:rPr>
                <w:sz w:val="20"/>
                <w:szCs w:val="20"/>
              </w:rPr>
            </w:pPr>
            <w:r w:rsidRPr="002C4F7C">
              <w:rPr>
                <w:sz w:val="20"/>
                <w:szCs w:val="20"/>
              </w:rPr>
              <w:t>5</w:t>
            </w:r>
          </w:p>
        </w:tc>
      </w:tr>
      <w:tr w:rsidR="00AF0FDB" w:rsidRPr="00020FE2">
        <w:trPr>
          <w:trHeight w:val="270"/>
        </w:trPr>
        <w:tc>
          <w:tcPr>
            <w:tcW w:w="960" w:type="dxa"/>
            <w:shd w:val="clear" w:color="auto" w:fill="E8E8E8"/>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5-9</w:t>
            </w:r>
          </w:p>
        </w:tc>
        <w:tc>
          <w:tcPr>
            <w:tcW w:w="1140"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12</w:t>
            </w:r>
          </w:p>
        </w:tc>
        <w:tc>
          <w:tcPr>
            <w:tcW w:w="110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8</w:t>
            </w:r>
          </w:p>
        </w:tc>
        <w:tc>
          <w:tcPr>
            <w:tcW w:w="1083"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10</w:t>
            </w:r>
          </w:p>
        </w:tc>
        <w:tc>
          <w:tcPr>
            <w:tcW w:w="1157"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10</w:t>
            </w:r>
          </w:p>
        </w:tc>
        <w:tc>
          <w:tcPr>
            <w:tcW w:w="1322"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20</w:t>
            </w:r>
          </w:p>
        </w:tc>
        <w:tc>
          <w:tcPr>
            <w:tcW w:w="1134"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42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12</w:t>
            </w:r>
          </w:p>
        </w:tc>
        <w:tc>
          <w:tcPr>
            <w:tcW w:w="66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8</w:t>
            </w:r>
          </w:p>
        </w:tc>
      </w:tr>
      <w:tr w:rsidR="00AF0FDB" w:rsidRPr="00020FE2">
        <w:trPr>
          <w:trHeight w:val="270"/>
        </w:trPr>
        <w:tc>
          <w:tcPr>
            <w:tcW w:w="960" w:type="dxa"/>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10-14</w:t>
            </w:r>
          </w:p>
        </w:tc>
        <w:tc>
          <w:tcPr>
            <w:tcW w:w="1140" w:type="dxa"/>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1109" w:type="dxa"/>
          </w:tcPr>
          <w:p w:rsidR="00AF0FDB" w:rsidRPr="002C4F7C" w:rsidRDefault="00AF0FDB" w:rsidP="002C4F7C">
            <w:pPr>
              <w:snapToGrid w:val="0"/>
              <w:spacing w:before="0" w:after="0" w:line="240" w:lineRule="auto"/>
              <w:jc w:val="center"/>
              <w:rPr>
                <w:sz w:val="20"/>
                <w:szCs w:val="20"/>
              </w:rPr>
            </w:pPr>
            <w:r w:rsidRPr="002C4F7C">
              <w:rPr>
                <w:sz w:val="20"/>
                <w:szCs w:val="20"/>
              </w:rPr>
              <w:t>3</w:t>
            </w:r>
          </w:p>
        </w:tc>
        <w:tc>
          <w:tcPr>
            <w:tcW w:w="1083" w:type="dxa"/>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1157" w:type="dxa"/>
          </w:tcPr>
          <w:p w:rsidR="00AF0FDB" w:rsidRPr="002C4F7C" w:rsidRDefault="00AF0FDB" w:rsidP="002C4F7C">
            <w:pPr>
              <w:snapToGrid w:val="0"/>
              <w:spacing w:before="0" w:after="0" w:line="240" w:lineRule="auto"/>
              <w:jc w:val="center"/>
              <w:rPr>
                <w:sz w:val="20"/>
                <w:szCs w:val="20"/>
              </w:rPr>
            </w:pPr>
            <w:r w:rsidRPr="002C4F7C">
              <w:rPr>
                <w:sz w:val="20"/>
                <w:szCs w:val="20"/>
              </w:rPr>
              <w:t>4</w:t>
            </w:r>
          </w:p>
        </w:tc>
        <w:tc>
          <w:tcPr>
            <w:tcW w:w="1322" w:type="dxa"/>
          </w:tcPr>
          <w:p w:rsidR="00AF0FDB" w:rsidRPr="002C4F7C" w:rsidRDefault="00AF0FDB" w:rsidP="002C4F7C">
            <w:pPr>
              <w:snapToGrid w:val="0"/>
              <w:spacing w:before="0" w:after="0" w:line="240" w:lineRule="auto"/>
              <w:jc w:val="center"/>
              <w:rPr>
                <w:sz w:val="20"/>
                <w:szCs w:val="20"/>
              </w:rPr>
            </w:pPr>
            <w:r w:rsidRPr="002C4F7C">
              <w:rPr>
                <w:sz w:val="20"/>
                <w:szCs w:val="20"/>
              </w:rPr>
              <w:t>5</w:t>
            </w:r>
          </w:p>
        </w:tc>
        <w:tc>
          <w:tcPr>
            <w:tcW w:w="1134"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425"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669" w:type="dxa"/>
          </w:tcPr>
          <w:p w:rsidR="00AF0FDB" w:rsidRPr="002C4F7C" w:rsidRDefault="00AF0FDB" w:rsidP="002C4F7C">
            <w:pPr>
              <w:snapToGrid w:val="0"/>
              <w:spacing w:before="0" w:after="0" w:line="240" w:lineRule="auto"/>
              <w:jc w:val="center"/>
              <w:rPr>
                <w:sz w:val="20"/>
                <w:szCs w:val="20"/>
              </w:rPr>
            </w:pPr>
            <w:r w:rsidRPr="002C4F7C">
              <w:rPr>
                <w:sz w:val="20"/>
                <w:szCs w:val="20"/>
              </w:rPr>
              <w:t>5</w:t>
            </w:r>
          </w:p>
        </w:tc>
      </w:tr>
      <w:tr w:rsidR="00AF0FDB" w:rsidRPr="00020FE2">
        <w:trPr>
          <w:trHeight w:val="270"/>
        </w:trPr>
        <w:tc>
          <w:tcPr>
            <w:tcW w:w="960" w:type="dxa"/>
            <w:shd w:val="clear" w:color="auto" w:fill="E8E8E8"/>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15-19</w:t>
            </w:r>
          </w:p>
        </w:tc>
        <w:tc>
          <w:tcPr>
            <w:tcW w:w="1140"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6</w:t>
            </w:r>
          </w:p>
        </w:tc>
        <w:tc>
          <w:tcPr>
            <w:tcW w:w="110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1083"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5</w:t>
            </w:r>
          </w:p>
        </w:tc>
        <w:tc>
          <w:tcPr>
            <w:tcW w:w="1157"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1322"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7</w:t>
            </w:r>
          </w:p>
        </w:tc>
        <w:tc>
          <w:tcPr>
            <w:tcW w:w="1134"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42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66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5</w:t>
            </w:r>
          </w:p>
        </w:tc>
      </w:tr>
      <w:tr w:rsidR="00AF0FDB" w:rsidRPr="00020FE2">
        <w:trPr>
          <w:trHeight w:val="270"/>
        </w:trPr>
        <w:tc>
          <w:tcPr>
            <w:tcW w:w="960" w:type="dxa"/>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20-29</w:t>
            </w:r>
          </w:p>
        </w:tc>
        <w:tc>
          <w:tcPr>
            <w:tcW w:w="1140" w:type="dxa"/>
          </w:tcPr>
          <w:p w:rsidR="00AF0FDB" w:rsidRPr="002C4F7C" w:rsidRDefault="00AF0FDB" w:rsidP="002C4F7C">
            <w:pPr>
              <w:snapToGrid w:val="0"/>
              <w:spacing w:before="0" w:after="0" w:line="240" w:lineRule="auto"/>
              <w:jc w:val="center"/>
              <w:rPr>
                <w:sz w:val="20"/>
                <w:szCs w:val="20"/>
              </w:rPr>
            </w:pPr>
            <w:r w:rsidRPr="002C4F7C">
              <w:rPr>
                <w:sz w:val="20"/>
                <w:szCs w:val="20"/>
              </w:rPr>
              <w:t>8</w:t>
            </w:r>
          </w:p>
        </w:tc>
        <w:tc>
          <w:tcPr>
            <w:tcW w:w="1109" w:type="dxa"/>
          </w:tcPr>
          <w:p w:rsidR="00AF0FDB" w:rsidRPr="002C4F7C" w:rsidRDefault="00AF0FDB" w:rsidP="002C4F7C">
            <w:pPr>
              <w:snapToGrid w:val="0"/>
              <w:spacing w:before="0" w:after="0" w:line="240" w:lineRule="auto"/>
              <w:jc w:val="center"/>
              <w:rPr>
                <w:sz w:val="20"/>
                <w:szCs w:val="20"/>
              </w:rPr>
            </w:pPr>
            <w:r w:rsidRPr="002C4F7C">
              <w:rPr>
                <w:sz w:val="20"/>
                <w:szCs w:val="20"/>
              </w:rPr>
              <w:t>6</w:t>
            </w:r>
          </w:p>
        </w:tc>
        <w:tc>
          <w:tcPr>
            <w:tcW w:w="1083" w:type="dxa"/>
          </w:tcPr>
          <w:p w:rsidR="00AF0FDB" w:rsidRPr="002C4F7C" w:rsidRDefault="00AF0FDB" w:rsidP="002C4F7C">
            <w:pPr>
              <w:snapToGrid w:val="0"/>
              <w:spacing w:before="0" w:after="0" w:line="240" w:lineRule="auto"/>
              <w:jc w:val="center"/>
              <w:rPr>
                <w:sz w:val="20"/>
                <w:szCs w:val="20"/>
              </w:rPr>
            </w:pPr>
            <w:r w:rsidRPr="002C4F7C">
              <w:rPr>
                <w:sz w:val="20"/>
                <w:szCs w:val="20"/>
              </w:rPr>
              <w:t>12</w:t>
            </w:r>
          </w:p>
        </w:tc>
        <w:tc>
          <w:tcPr>
            <w:tcW w:w="1157" w:type="dxa"/>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1322" w:type="dxa"/>
          </w:tcPr>
          <w:p w:rsidR="00AF0FDB" w:rsidRPr="002C4F7C" w:rsidRDefault="00AF0FDB" w:rsidP="002C4F7C">
            <w:pPr>
              <w:snapToGrid w:val="0"/>
              <w:spacing w:before="0" w:after="0" w:line="240" w:lineRule="auto"/>
              <w:jc w:val="center"/>
              <w:rPr>
                <w:sz w:val="20"/>
                <w:szCs w:val="20"/>
              </w:rPr>
            </w:pPr>
            <w:r w:rsidRPr="002C4F7C">
              <w:rPr>
                <w:sz w:val="20"/>
                <w:szCs w:val="20"/>
              </w:rPr>
              <w:t>14</w:t>
            </w:r>
          </w:p>
        </w:tc>
        <w:tc>
          <w:tcPr>
            <w:tcW w:w="1134"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425" w:type="dxa"/>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669" w:type="dxa"/>
          </w:tcPr>
          <w:p w:rsidR="00AF0FDB" w:rsidRPr="002C4F7C" w:rsidRDefault="00AF0FDB" w:rsidP="002C4F7C">
            <w:pPr>
              <w:snapToGrid w:val="0"/>
              <w:spacing w:before="0" w:after="0" w:line="240" w:lineRule="auto"/>
              <w:jc w:val="center"/>
              <w:rPr>
                <w:sz w:val="20"/>
                <w:szCs w:val="20"/>
              </w:rPr>
            </w:pPr>
            <w:r w:rsidRPr="002C4F7C">
              <w:rPr>
                <w:sz w:val="20"/>
                <w:szCs w:val="20"/>
              </w:rPr>
              <w:t>14</w:t>
            </w:r>
          </w:p>
        </w:tc>
      </w:tr>
      <w:tr w:rsidR="00AF0FDB" w:rsidRPr="00020FE2">
        <w:trPr>
          <w:trHeight w:val="270"/>
        </w:trPr>
        <w:tc>
          <w:tcPr>
            <w:tcW w:w="960" w:type="dxa"/>
            <w:shd w:val="clear" w:color="auto" w:fill="E8E8E8"/>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30-39</w:t>
            </w:r>
          </w:p>
        </w:tc>
        <w:tc>
          <w:tcPr>
            <w:tcW w:w="1140"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24</w:t>
            </w:r>
          </w:p>
        </w:tc>
        <w:tc>
          <w:tcPr>
            <w:tcW w:w="110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10</w:t>
            </w:r>
          </w:p>
        </w:tc>
        <w:tc>
          <w:tcPr>
            <w:tcW w:w="1083"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24</w:t>
            </w:r>
          </w:p>
        </w:tc>
        <w:tc>
          <w:tcPr>
            <w:tcW w:w="1157"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10</w:t>
            </w:r>
          </w:p>
        </w:tc>
        <w:tc>
          <w:tcPr>
            <w:tcW w:w="1322"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34</w:t>
            </w:r>
          </w:p>
        </w:tc>
        <w:tc>
          <w:tcPr>
            <w:tcW w:w="1134"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w:t>
            </w:r>
          </w:p>
        </w:tc>
        <w:tc>
          <w:tcPr>
            <w:tcW w:w="42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66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32</w:t>
            </w:r>
          </w:p>
        </w:tc>
      </w:tr>
      <w:tr w:rsidR="00AF0FDB" w:rsidRPr="00020FE2">
        <w:trPr>
          <w:trHeight w:val="270"/>
        </w:trPr>
        <w:tc>
          <w:tcPr>
            <w:tcW w:w="960" w:type="dxa"/>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40-49</w:t>
            </w:r>
          </w:p>
        </w:tc>
        <w:tc>
          <w:tcPr>
            <w:tcW w:w="1140" w:type="dxa"/>
          </w:tcPr>
          <w:p w:rsidR="00AF0FDB" w:rsidRPr="002C4F7C" w:rsidRDefault="00AF0FDB" w:rsidP="002C4F7C">
            <w:pPr>
              <w:snapToGrid w:val="0"/>
              <w:spacing w:before="0" w:after="0" w:line="240" w:lineRule="auto"/>
              <w:jc w:val="center"/>
              <w:rPr>
                <w:sz w:val="20"/>
                <w:szCs w:val="20"/>
              </w:rPr>
            </w:pPr>
            <w:r w:rsidRPr="002C4F7C">
              <w:rPr>
                <w:sz w:val="20"/>
                <w:szCs w:val="20"/>
              </w:rPr>
              <w:t>15</w:t>
            </w:r>
          </w:p>
        </w:tc>
        <w:tc>
          <w:tcPr>
            <w:tcW w:w="1109" w:type="dxa"/>
          </w:tcPr>
          <w:p w:rsidR="00AF0FDB" w:rsidRPr="002C4F7C" w:rsidRDefault="00AF0FDB" w:rsidP="002C4F7C">
            <w:pPr>
              <w:snapToGrid w:val="0"/>
              <w:spacing w:before="0" w:after="0" w:line="240" w:lineRule="auto"/>
              <w:jc w:val="center"/>
              <w:rPr>
                <w:sz w:val="20"/>
                <w:szCs w:val="20"/>
              </w:rPr>
            </w:pPr>
            <w:r w:rsidRPr="002C4F7C">
              <w:rPr>
                <w:sz w:val="20"/>
                <w:szCs w:val="20"/>
              </w:rPr>
              <w:t>10</w:t>
            </w:r>
          </w:p>
        </w:tc>
        <w:tc>
          <w:tcPr>
            <w:tcW w:w="1083" w:type="dxa"/>
          </w:tcPr>
          <w:p w:rsidR="00AF0FDB" w:rsidRPr="002C4F7C" w:rsidRDefault="00AF0FDB" w:rsidP="002C4F7C">
            <w:pPr>
              <w:snapToGrid w:val="0"/>
              <w:spacing w:before="0" w:after="0" w:line="240" w:lineRule="auto"/>
              <w:jc w:val="center"/>
              <w:rPr>
                <w:sz w:val="20"/>
                <w:szCs w:val="20"/>
              </w:rPr>
            </w:pPr>
            <w:r w:rsidRPr="002C4F7C">
              <w:rPr>
                <w:sz w:val="20"/>
                <w:szCs w:val="20"/>
              </w:rPr>
              <w:t>14</w:t>
            </w:r>
          </w:p>
        </w:tc>
        <w:tc>
          <w:tcPr>
            <w:tcW w:w="1157" w:type="dxa"/>
          </w:tcPr>
          <w:p w:rsidR="00AF0FDB" w:rsidRPr="002C4F7C" w:rsidRDefault="00AF0FDB" w:rsidP="002C4F7C">
            <w:pPr>
              <w:snapToGrid w:val="0"/>
              <w:spacing w:before="0" w:after="0" w:line="240" w:lineRule="auto"/>
              <w:jc w:val="center"/>
              <w:rPr>
                <w:sz w:val="20"/>
                <w:szCs w:val="20"/>
              </w:rPr>
            </w:pPr>
            <w:r w:rsidRPr="002C4F7C">
              <w:rPr>
                <w:sz w:val="20"/>
                <w:szCs w:val="20"/>
              </w:rPr>
              <w:t>11</w:t>
            </w:r>
          </w:p>
        </w:tc>
        <w:tc>
          <w:tcPr>
            <w:tcW w:w="1322" w:type="dxa"/>
          </w:tcPr>
          <w:p w:rsidR="00AF0FDB" w:rsidRPr="002C4F7C" w:rsidRDefault="00AF0FDB" w:rsidP="002C4F7C">
            <w:pPr>
              <w:snapToGrid w:val="0"/>
              <w:spacing w:before="0" w:after="0" w:line="240" w:lineRule="auto"/>
              <w:jc w:val="center"/>
              <w:rPr>
                <w:sz w:val="20"/>
                <w:szCs w:val="20"/>
              </w:rPr>
            </w:pPr>
            <w:r w:rsidRPr="002C4F7C">
              <w:rPr>
                <w:sz w:val="20"/>
                <w:szCs w:val="20"/>
              </w:rPr>
              <w:t>25</w:t>
            </w:r>
          </w:p>
        </w:tc>
        <w:tc>
          <w:tcPr>
            <w:tcW w:w="1134" w:type="dxa"/>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425" w:type="dxa"/>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669" w:type="dxa"/>
          </w:tcPr>
          <w:p w:rsidR="00AF0FDB" w:rsidRPr="002C4F7C" w:rsidRDefault="00AF0FDB" w:rsidP="002C4F7C">
            <w:pPr>
              <w:snapToGrid w:val="0"/>
              <w:spacing w:before="0" w:after="0" w:line="240" w:lineRule="auto"/>
              <w:jc w:val="center"/>
              <w:rPr>
                <w:sz w:val="20"/>
                <w:szCs w:val="20"/>
              </w:rPr>
            </w:pPr>
            <w:r w:rsidRPr="002C4F7C">
              <w:rPr>
                <w:sz w:val="20"/>
                <w:szCs w:val="20"/>
              </w:rPr>
              <w:t>23</w:t>
            </w:r>
          </w:p>
        </w:tc>
      </w:tr>
      <w:tr w:rsidR="00AF0FDB" w:rsidRPr="00020FE2">
        <w:trPr>
          <w:trHeight w:val="270"/>
        </w:trPr>
        <w:tc>
          <w:tcPr>
            <w:tcW w:w="960" w:type="dxa"/>
            <w:shd w:val="clear" w:color="auto" w:fill="E8E8E8"/>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50-59</w:t>
            </w:r>
          </w:p>
        </w:tc>
        <w:tc>
          <w:tcPr>
            <w:tcW w:w="1140"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19</w:t>
            </w:r>
          </w:p>
        </w:tc>
        <w:tc>
          <w:tcPr>
            <w:tcW w:w="110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14</w:t>
            </w:r>
          </w:p>
        </w:tc>
        <w:tc>
          <w:tcPr>
            <w:tcW w:w="1083"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22</w:t>
            </w:r>
          </w:p>
        </w:tc>
        <w:tc>
          <w:tcPr>
            <w:tcW w:w="1157"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11</w:t>
            </w:r>
          </w:p>
        </w:tc>
        <w:tc>
          <w:tcPr>
            <w:tcW w:w="1322"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33</w:t>
            </w:r>
          </w:p>
        </w:tc>
        <w:tc>
          <w:tcPr>
            <w:tcW w:w="1134"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 xml:space="preserve">- </w:t>
            </w:r>
          </w:p>
        </w:tc>
        <w:tc>
          <w:tcPr>
            <w:tcW w:w="425"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2</w:t>
            </w:r>
          </w:p>
        </w:tc>
        <w:tc>
          <w:tcPr>
            <w:tcW w:w="669" w:type="dxa"/>
            <w:shd w:val="clear" w:color="auto" w:fill="E8E8E8"/>
          </w:tcPr>
          <w:p w:rsidR="00AF0FDB" w:rsidRPr="002C4F7C" w:rsidRDefault="00AF0FDB" w:rsidP="002C4F7C">
            <w:pPr>
              <w:snapToGrid w:val="0"/>
              <w:spacing w:before="0" w:after="0" w:line="240" w:lineRule="auto"/>
              <w:jc w:val="center"/>
              <w:rPr>
                <w:sz w:val="20"/>
                <w:szCs w:val="20"/>
              </w:rPr>
            </w:pPr>
            <w:r w:rsidRPr="002C4F7C">
              <w:rPr>
                <w:sz w:val="20"/>
                <w:szCs w:val="20"/>
              </w:rPr>
              <w:t>31</w:t>
            </w:r>
          </w:p>
        </w:tc>
      </w:tr>
      <w:tr w:rsidR="00AF0FDB" w:rsidRPr="00020FE2">
        <w:trPr>
          <w:trHeight w:val="270"/>
        </w:trPr>
        <w:tc>
          <w:tcPr>
            <w:tcW w:w="960" w:type="dxa"/>
          </w:tcPr>
          <w:p w:rsidR="00AF0FDB" w:rsidRPr="002C4F7C" w:rsidRDefault="00AF0FDB" w:rsidP="002C4F7C">
            <w:pPr>
              <w:shd w:val="clear" w:color="auto" w:fill="DDDDDD"/>
              <w:spacing w:before="0" w:after="0" w:line="240" w:lineRule="auto"/>
              <w:jc w:val="center"/>
              <w:rPr>
                <w:b/>
                <w:bCs/>
                <w:sz w:val="20"/>
                <w:szCs w:val="20"/>
              </w:rPr>
            </w:pPr>
            <w:r w:rsidRPr="002C4F7C">
              <w:rPr>
                <w:b/>
                <w:bCs/>
                <w:sz w:val="20"/>
                <w:szCs w:val="20"/>
              </w:rPr>
              <w:t xml:space="preserve">&gt; 60 </w:t>
            </w:r>
          </w:p>
        </w:tc>
        <w:tc>
          <w:tcPr>
            <w:tcW w:w="1140" w:type="dxa"/>
          </w:tcPr>
          <w:p w:rsidR="00AF0FDB" w:rsidRPr="002C4F7C" w:rsidRDefault="00AF0FDB" w:rsidP="002C4F7C">
            <w:pPr>
              <w:snapToGrid w:val="0"/>
              <w:spacing w:before="0" w:after="0" w:line="240" w:lineRule="auto"/>
              <w:jc w:val="center"/>
              <w:rPr>
                <w:sz w:val="20"/>
                <w:szCs w:val="20"/>
              </w:rPr>
            </w:pPr>
            <w:r w:rsidRPr="002C4F7C">
              <w:rPr>
                <w:sz w:val="20"/>
                <w:szCs w:val="20"/>
              </w:rPr>
              <w:t>25</w:t>
            </w:r>
          </w:p>
        </w:tc>
        <w:tc>
          <w:tcPr>
            <w:tcW w:w="1109" w:type="dxa"/>
          </w:tcPr>
          <w:p w:rsidR="00AF0FDB" w:rsidRPr="002C4F7C" w:rsidRDefault="00AF0FDB" w:rsidP="002C4F7C">
            <w:pPr>
              <w:snapToGrid w:val="0"/>
              <w:spacing w:before="0" w:after="0" w:line="240" w:lineRule="auto"/>
              <w:jc w:val="center"/>
              <w:rPr>
                <w:sz w:val="20"/>
                <w:szCs w:val="20"/>
              </w:rPr>
            </w:pPr>
            <w:r w:rsidRPr="002C4F7C">
              <w:rPr>
                <w:sz w:val="20"/>
                <w:szCs w:val="20"/>
              </w:rPr>
              <w:t>31</w:t>
            </w:r>
          </w:p>
        </w:tc>
        <w:tc>
          <w:tcPr>
            <w:tcW w:w="1083" w:type="dxa"/>
          </w:tcPr>
          <w:p w:rsidR="00AF0FDB" w:rsidRPr="002C4F7C" w:rsidRDefault="00AF0FDB" w:rsidP="002C4F7C">
            <w:pPr>
              <w:snapToGrid w:val="0"/>
              <w:spacing w:before="0" w:after="0" w:line="240" w:lineRule="auto"/>
              <w:jc w:val="center"/>
              <w:rPr>
                <w:sz w:val="20"/>
                <w:szCs w:val="20"/>
              </w:rPr>
            </w:pPr>
            <w:r w:rsidRPr="002C4F7C">
              <w:rPr>
                <w:sz w:val="20"/>
                <w:szCs w:val="20"/>
              </w:rPr>
              <w:t>42</w:t>
            </w:r>
          </w:p>
        </w:tc>
        <w:tc>
          <w:tcPr>
            <w:tcW w:w="1157" w:type="dxa"/>
          </w:tcPr>
          <w:p w:rsidR="00AF0FDB" w:rsidRPr="002C4F7C" w:rsidRDefault="00AF0FDB" w:rsidP="002C4F7C">
            <w:pPr>
              <w:snapToGrid w:val="0"/>
              <w:spacing w:before="0" w:after="0" w:line="240" w:lineRule="auto"/>
              <w:jc w:val="center"/>
              <w:rPr>
                <w:sz w:val="20"/>
                <w:szCs w:val="20"/>
              </w:rPr>
            </w:pPr>
            <w:r w:rsidRPr="002C4F7C">
              <w:rPr>
                <w:sz w:val="20"/>
                <w:szCs w:val="20"/>
              </w:rPr>
              <w:t>14</w:t>
            </w:r>
          </w:p>
        </w:tc>
        <w:tc>
          <w:tcPr>
            <w:tcW w:w="1322" w:type="dxa"/>
          </w:tcPr>
          <w:p w:rsidR="00AF0FDB" w:rsidRPr="002C4F7C" w:rsidRDefault="00AF0FDB" w:rsidP="002C4F7C">
            <w:pPr>
              <w:snapToGrid w:val="0"/>
              <w:spacing w:before="0" w:after="0" w:line="240" w:lineRule="auto"/>
              <w:jc w:val="center"/>
              <w:rPr>
                <w:sz w:val="20"/>
                <w:szCs w:val="20"/>
              </w:rPr>
            </w:pPr>
            <w:r w:rsidRPr="002C4F7C">
              <w:rPr>
                <w:sz w:val="20"/>
                <w:szCs w:val="20"/>
              </w:rPr>
              <w:t>56</w:t>
            </w:r>
          </w:p>
        </w:tc>
        <w:tc>
          <w:tcPr>
            <w:tcW w:w="1134" w:type="dxa"/>
          </w:tcPr>
          <w:p w:rsidR="00AF0FDB" w:rsidRPr="002C4F7C" w:rsidRDefault="00AF0FDB" w:rsidP="002C4F7C">
            <w:pPr>
              <w:snapToGrid w:val="0"/>
              <w:spacing w:before="0" w:after="0" w:line="240" w:lineRule="auto"/>
              <w:jc w:val="center"/>
              <w:rPr>
                <w:sz w:val="20"/>
                <w:szCs w:val="20"/>
              </w:rPr>
            </w:pPr>
            <w:r w:rsidRPr="002C4F7C">
              <w:rPr>
                <w:sz w:val="20"/>
                <w:szCs w:val="20"/>
              </w:rPr>
              <w:t>1</w:t>
            </w:r>
          </w:p>
        </w:tc>
        <w:tc>
          <w:tcPr>
            <w:tcW w:w="425" w:type="dxa"/>
          </w:tcPr>
          <w:p w:rsidR="00AF0FDB" w:rsidRPr="002C4F7C" w:rsidRDefault="00AF0FDB" w:rsidP="002C4F7C">
            <w:pPr>
              <w:snapToGrid w:val="0"/>
              <w:spacing w:before="0" w:after="0" w:line="240" w:lineRule="auto"/>
              <w:jc w:val="center"/>
              <w:rPr>
                <w:sz w:val="20"/>
                <w:szCs w:val="20"/>
              </w:rPr>
            </w:pPr>
            <w:r w:rsidRPr="002C4F7C">
              <w:rPr>
                <w:sz w:val="20"/>
                <w:szCs w:val="20"/>
              </w:rPr>
              <w:t>6</w:t>
            </w:r>
          </w:p>
        </w:tc>
        <w:tc>
          <w:tcPr>
            <w:tcW w:w="669" w:type="dxa"/>
          </w:tcPr>
          <w:p w:rsidR="00AF0FDB" w:rsidRPr="002C4F7C" w:rsidRDefault="00AF0FDB" w:rsidP="002C4F7C">
            <w:pPr>
              <w:snapToGrid w:val="0"/>
              <w:spacing w:before="0" w:after="0" w:line="240" w:lineRule="auto"/>
              <w:jc w:val="center"/>
              <w:rPr>
                <w:sz w:val="20"/>
                <w:szCs w:val="20"/>
              </w:rPr>
            </w:pPr>
            <w:r w:rsidRPr="002C4F7C">
              <w:rPr>
                <w:sz w:val="20"/>
                <w:szCs w:val="20"/>
              </w:rPr>
              <w:t>50</w:t>
            </w:r>
          </w:p>
        </w:tc>
      </w:tr>
      <w:tr w:rsidR="00AF0FDB" w:rsidRPr="00020FE2">
        <w:trPr>
          <w:trHeight w:val="358"/>
        </w:trPr>
        <w:tc>
          <w:tcPr>
            <w:tcW w:w="960" w:type="dxa"/>
            <w:shd w:val="clear" w:color="auto" w:fill="E8E8E8"/>
          </w:tcPr>
          <w:p w:rsidR="00AF0FDB" w:rsidRPr="002C4F7C" w:rsidRDefault="00AF0FDB" w:rsidP="002C4F7C">
            <w:pPr>
              <w:spacing w:before="0" w:after="0" w:line="240" w:lineRule="auto"/>
              <w:jc w:val="center"/>
              <w:rPr>
                <w:b/>
                <w:bCs/>
                <w:sz w:val="20"/>
                <w:szCs w:val="20"/>
              </w:rPr>
            </w:pPr>
            <w:r w:rsidRPr="002C4F7C">
              <w:rPr>
                <w:b/>
                <w:bCs/>
                <w:sz w:val="20"/>
                <w:szCs w:val="20"/>
              </w:rPr>
              <w:t>Razem</w:t>
            </w:r>
          </w:p>
        </w:tc>
        <w:tc>
          <w:tcPr>
            <w:tcW w:w="1140"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114</w:t>
            </w:r>
          </w:p>
        </w:tc>
        <w:tc>
          <w:tcPr>
            <w:tcW w:w="1109"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85</w:t>
            </w:r>
          </w:p>
        </w:tc>
        <w:tc>
          <w:tcPr>
            <w:tcW w:w="1083"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133</w:t>
            </w:r>
          </w:p>
        </w:tc>
        <w:tc>
          <w:tcPr>
            <w:tcW w:w="1157"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66</w:t>
            </w:r>
          </w:p>
        </w:tc>
        <w:tc>
          <w:tcPr>
            <w:tcW w:w="1322"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199</w:t>
            </w:r>
          </w:p>
        </w:tc>
        <w:tc>
          <w:tcPr>
            <w:tcW w:w="1134"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2</w:t>
            </w:r>
          </w:p>
        </w:tc>
        <w:tc>
          <w:tcPr>
            <w:tcW w:w="425"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26</w:t>
            </w:r>
          </w:p>
        </w:tc>
        <w:tc>
          <w:tcPr>
            <w:tcW w:w="669" w:type="dxa"/>
            <w:shd w:val="clear" w:color="auto" w:fill="E8E8E8"/>
          </w:tcPr>
          <w:p w:rsidR="00AF0FDB" w:rsidRPr="002C4F7C" w:rsidRDefault="00AF0FDB" w:rsidP="002C4F7C">
            <w:pPr>
              <w:snapToGrid w:val="0"/>
              <w:spacing w:before="0" w:after="0" w:line="240" w:lineRule="auto"/>
              <w:jc w:val="center"/>
              <w:rPr>
                <w:b/>
                <w:bCs/>
                <w:sz w:val="20"/>
                <w:szCs w:val="20"/>
              </w:rPr>
            </w:pPr>
            <w:r w:rsidRPr="002C4F7C">
              <w:rPr>
                <w:b/>
                <w:bCs/>
                <w:sz w:val="20"/>
                <w:szCs w:val="20"/>
              </w:rPr>
              <w:t>173</w:t>
            </w:r>
          </w:p>
        </w:tc>
      </w:tr>
    </w:tbl>
    <w:p w:rsidR="00AF0FDB" w:rsidRPr="00493534" w:rsidRDefault="00AF0FDB" w:rsidP="00642C07">
      <w:pPr>
        <w:jc w:val="both"/>
        <w:rPr>
          <w:b/>
          <w:bCs/>
        </w:rPr>
      </w:pPr>
    </w:p>
    <w:p w:rsidR="00AF0FDB" w:rsidRPr="0071136B" w:rsidRDefault="00AF0FDB" w:rsidP="00A457E4">
      <w:pPr>
        <w:spacing w:after="0"/>
        <w:jc w:val="both"/>
      </w:pPr>
      <w:r w:rsidRPr="0071136B">
        <w:t>W 2018 r. zarejestrowano 199 zachorow</w:t>
      </w:r>
      <w:r>
        <w:t>ań na boreliozę (wsp. zap. 21,5</w:t>
      </w:r>
      <w:r w:rsidRPr="0071136B">
        <w:t>/100000), co stanowi 16% spadek zachorowań w porównaniu do 2017 r., w którym zarejestrowano 237 przypadków (wsp. zap. 25,8/100000). Wś</w:t>
      </w:r>
      <w:r>
        <w:t xml:space="preserve">ród ogółu zachorowań </w:t>
      </w:r>
      <w:r w:rsidRPr="0071136B">
        <w:t xml:space="preserve">26 osób </w:t>
      </w:r>
      <w:r>
        <w:t xml:space="preserve">wymagało </w:t>
      </w:r>
      <w:r w:rsidRPr="0071136B">
        <w:t>hospitali</w:t>
      </w:r>
      <w:r>
        <w:t>zacji</w:t>
      </w:r>
      <w:r w:rsidRPr="0071136B">
        <w:t>.</w:t>
      </w:r>
      <w:r w:rsidRPr="0071136B">
        <w:br/>
        <w:t>Z przeprowadzonych wywiadów epidemiologicznych wynika, że narażenie zawodowe zachorowania na boreliozę stwierdzono jedynie u 2 osób (rolnik i leśnik).</w:t>
      </w:r>
      <w:r w:rsidRPr="0071136B">
        <w:rPr>
          <w:color w:val="FF0000"/>
        </w:rPr>
        <w:t xml:space="preserve"> </w:t>
      </w:r>
      <w:r w:rsidRPr="0071136B">
        <w:t xml:space="preserve">Do kontaktu </w:t>
      </w:r>
      <w:r w:rsidRPr="0071136B">
        <w:br/>
        <w:t>z kleszczami najczęściej dochodziło w lesie, parku</w:t>
      </w:r>
      <w:r>
        <w:t>,</w:t>
      </w:r>
      <w:r w:rsidRPr="0071136B">
        <w:t xml:space="preserve"> na działkach i ogródkach przydomowych. </w:t>
      </w:r>
    </w:p>
    <w:p w:rsidR="00AF0FDB" w:rsidRPr="008C4C44" w:rsidRDefault="00AF0FDB" w:rsidP="00A457E4">
      <w:pPr>
        <w:spacing w:after="0"/>
        <w:jc w:val="both"/>
      </w:pPr>
      <w:r w:rsidRPr="0071136B">
        <w:t xml:space="preserve">W 18 przypadkach stwierdzono neuroboreliozę, w tym </w:t>
      </w:r>
      <w:r>
        <w:t xml:space="preserve">w </w:t>
      </w:r>
      <w:r w:rsidRPr="0071136B">
        <w:t>14 przypadk</w:t>
      </w:r>
      <w:r>
        <w:t>ach</w:t>
      </w:r>
      <w:r w:rsidRPr="0071136B">
        <w:t xml:space="preserve"> posta</w:t>
      </w:r>
      <w:r>
        <w:t>ć</w:t>
      </w:r>
      <w:r w:rsidRPr="0071136B">
        <w:t xml:space="preserve"> zapalenia opon mózgowo-rdzeniowych</w:t>
      </w:r>
      <w:r>
        <w:t>, a</w:t>
      </w:r>
      <w:r w:rsidRPr="0071136B">
        <w:t xml:space="preserve"> </w:t>
      </w:r>
      <w:r>
        <w:t xml:space="preserve">w </w:t>
      </w:r>
      <w:r w:rsidRPr="0071136B">
        <w:t>4 porażenia nerwu twarzowego. W 12 przypadkach</w:t>
      </w:r>
      <w:r>
        <w:t xml:space="preserve"> rozpozna</w:t>
      </w:r>
      <w:r w:rsidRPr="0071136B">
        <w:t>no posta</w:t>
      </w:r>
      <w:r>
        <w:t>ć</w:t>
      </w:r>
      <w:r w:rsidRPr="0071136B">
        <w:t xml:space="preserve"> kostno-stawową </w:t>
      </w:r>
      <w:r>
        <w:t>boreliozy</w:t>
      </w:r>
      <w:r w:rsidRPr="008C4C44">
        <w:t xml:space="preserve">. </w:t>
      </w:r>
    </w:p>
    <w:p w:rsidR="00AF0FDB" w:rsidRPr="0071136B" w:rsidRDefault="00AF0FDB" w:rsidP="00A457E4">
      <w:pPr>
        <w:spacing w:after="0"/>
        <w:jc w:val="both"/>
      </w:pPr>
      <w:r w:rsidRPr="008A7405">
        <w:t>Zachorowało 114 mężczyzn i 85 kobiet</w:t>
      </w:r>
      <w:r>
        <w:t>.</w:t>
      </w:r>
      <w:r w:rsidRPr="008A7405">
        <w:t xml:space="preserve"> </w:t>
      </w:r>
      <w:r>
        <w:t>Ponad 2-krotnie w</w:t>
      </w:r>
      <w:r w:rsidRPr="008A7405">
        <w:t>ięcej zachorowań odnotowano wśród osób</w:t>
      </w:r>
      <w:r w:rsidRPr="0071136B">
        <w:t xml:space="preserve"> mieszkających w miastach – 133, niż na wsi – 66.</w:t>
      </w:r>
    </w:p>
    <w:p w:rsidR="00AF0FDB" w:rsidRPr="00493534" w:rsidRDefault="00AF0FDB" w:rsidP="00642C07">
      <w:pPr>
        <w:spacing w:after="0"/>
        <w:jc w:val="both"/>
      </w:pPr>
      <w:r w:rsidRPr="00493534">
        <w:rPr>
          <w:b/>
          <w:bCs/>
        </w:rPr>
        <w:t>Kampylobakterioza</w:t>
      </w:r>
    </w:p>
    <w:p w:rsidR="00AF0FDB" w:rsidRPr="00165C88" w:rsidRDefault="00AF0FDB" w:rsidP="001F6B48">
      <w:pPr>
        <w:spacing w:after="0"/>
        <w:jc w:val="both"/>
      </w:pPr>
      <w:bookmarkStart w:id="331" w:name="_Hlk103693"/>
      <w:r w:rsidRPr="008739E3">
        <w:t xml:space="preserve">W 2018 r. odnotowano 49 przypadków zachorowań (w tym 5 przypadków prawdopodobnych) na kampylobakteriozę (wsp. zap. 5,3/100000), co stanowi spadek w porównaniu do roku 2017, kiedy zarejestrowano 55 przypadków (wsp. </w:t>
      </w:r>
      <w:r w:rsidRPr="00705049">
        <w:t>zap. 6,0/100000</w:t>
      </w:r>
      <w:r w:rsidRPr="008739E3">
        <w:t>). Większość zachorowań wystąpiła u dzieci w przedziale wiekowym od 0-4 lat tj. 32 zachorowania (65,3% wszystkich zachorowań)</w:t>
      </w:r>
      <w:r>
        <w:t>.</w:t>
      </w:r>
      <w:r w:rsidRPr="008739E3">
        <w:t xml:space="preserve"> Spośród potwierdzonych badania</w:t>
      </w:r>
      <w:r>
        <w:t>mi bakteriologicznymi</w:t>
      </w:r>
      <w:r w:rsidRPr="008739E3">
        <w:t xml:space="preserve"> kału </w:t>
      </w:r>
      <w:r>
        <w:t xml:space="preserve">przypadków, </w:t>
      </w:r>
      <w:r w:rsidRPr="008739E3">
        <w:t>w</w:t>
      </w:r>
      <w:r>
        <w:t xml:space="preserve"> 40 wyizolowano </w:t>
      </w:r>
      <w:r w:rsidRPr="008739E3">
        <w:rPr>
          <w:i/>
          <w:iCs/>
        </w:rPr>
        <w:t>Camylobacter</w:t>
      </w:r>
      <w:r w:rsidRPr="008739E3">
        <w:t xml:space="preserve"> </w:t>
      </w:r>
      <w:r w:rsidRPr="00165C88">
        <w:rPr>
          <w:i/>
          <w:iCs/>
        </w:rPr>
        <w:t>jejuni</w:t>
      </w:r>
      <w:r>
        <w:t xml:space="preserve">, </w:t>
      </w:r>
      <w:r w:rsidRPr="008739E3">
        <w:t xml:space="preserve">w 4 </w:t>
      </w:r>
      <w:r>
        <w:t xml:space="preserve">zaś </w:t>
      </w:r>
      <w:r w:rsidRPr="008739E3">
        <w:t xml:space="preserve">– </w:t>
      </w:r>
      <w:r w:rsidRPr="008739E3">
        <w:rPr>
          <w:i/>
          <w:iCs/>
        </w:rPr>
        <w:t>Campylobacter coli</w:t>
      </w:r>
      <w:r>
        <w:t>.</w:t>
      </w:r>
      <w:r w:rsidRPr="008739E3">
        <w:t xml:space="preserve"> Wśród </w:t>
      </w:r>
      <w:r>
        <w:t>wszystkich</w:t>
      </w:r>
      <w:r w:rsidRPr="008739E3">
        <w:t xml:space="preserve"> przypadków odnotowano </w:t>
      </w:r>
      <w:r>
        <w:t xml:space="preserve">35 </w:t>
      </w:r>
      <w:r w:rsidRPr="008739E3">
        <w:t xml:space="preserve">hospitalizacji. </w:t>
      </w:r>
      <w:r w:rsidRPr="009142B2">
        <w:rPr>
          <w:lang w:eastAsia="ar-SA"/>
        </w:rPr>
        <w:t xml:space="preserve">Najwięcej zachorowań odnotowano u mężczyzn </w:t>
      </w:r>
      <w:r>
        <w:rPr>
          <w:lang w:eastAsia="ar-SA"/>
        </w:rPr>
        <w:t>(</w:t>
      </w:r>
      <w:r w:rsidRPr="009142B2">
        <w:rPr>
          <w:lang w:eastAsia="ar-SA"/>
        </w:rPr>
        <w:t>30 przypadków</w:t>
      </w:r>
      <w:r>
        <w:rPr>
          <w:lang w:eastAsia="ar-SA"/>
        </w:rPr>
        <w:t>)</w:t>
      </w:r>
      <w:r w:rsidRPr="009142B2">
        <w:rPr>
          <w:lang w:eastAsia="ar-SA"/>
        </w:rPr>
        <w:t>. Większość chorych to mieszkańcy miasta - 31 przypadków.</w:t>
      </w:r>
      <w:r>
        <w:rPr>
          <w:lang w:eastAsia="ar-SA"/>
        </w:rPr>
        <w:t xml:space="preserve"> Spośród wszystkich zgłoszonych zachorowań </w:t>
      </w:r>
      <w:r>
        <w:t>7 wystąpiło w ognisku</w:t>
      </w:r>
      <w:r w:rsidRPr="001467B7">
        <w:t xml:space="preserve"> </w:t>
      </w:r>
      <w:r w:rsidRPr="008739E3">
        <w:t>u dzieci uczęszczających do tej samej placówki oświatowej</w:t>
      </w:r>
      <w:r>
        <w:t xml:space="preserve">. </w:t>
      </w:r>
      <w:r w:rsidRPr="008739E3">
        <w:t xml:space="preserve">W ognisku zarejestrowano 5 przypadków prawdopodobnych oraz 2 potwierdzone. </w:t>
      </w:r>
    </w:p>
    <w:bookmarkEnd w:id="331"/>
    <w:p w:rsidR="00AF0FDB" w:rsidRPr="00493534" w:rsidRDefault="00AF0FDB" w:rsidP="00642C07">
      <w:pPr>
        <w:spacing w:after="0"/>
        <w:jc w:val="both"/>
      </w:pPr>
      <w:r w:rsidRPr="00493534">
        <w:rPr>
          <w:b/>
          <w:bCs/>
        </w:rPr>
        <w:t xml:space="preserve">Zakażenia enterokrwotocznymi szczepami </w:t>
      </w:r>
      <w:r w:rsidRPr="00493534">
        <w:rPr>
          <w:b/>
          <w:bCs/>
          <w:i/>
          <w:iCs/>
        </w:rPr>
        <w:t>Escherichia coli</w:t>
      </w:r>
    </w:p>
    <w:p w:rsidR="00AF0FDB" w:rsidRPr="008739E3" w:rsidRDefault="00AF0FDB" w:rsidP="00A457E4">
      <w:pPr>
        <w:tabs>
          <w:tab w:val="left" w:pos="5040"/>
        </w:tabs>
        <w:spacing w:after="0"/>
        <w:jc w:val="both"/>
        <w:rPr>
          <w:color w:val="000000"/>
        </w:rPr>
      </w:pPr>
      <w:r w:rsidRPr="008739E3">
        <w:rPr>
          <w:color w:val="000000"/>
        </w:rPr>
        <w:t xml:space="preserve">W 2018 r. zarejestrowano jeden przypadek bakteryjnego zakażenia jelitowego wywołanego przez </w:t>
      </w:r>
      <w:r w:rsidRPr="008739E3">
        <w:rPr>
          <w:i/>
          <w:iCs/>
          <w:color w:val="000000"/>
        </w:rPr>
        <w:t>Escherichia coli</w:t>
      </w:r>
      <w:r w:rsidRPr="008739E3">
        <w:rPr>
          <w:color w:val="000000"/>
        </w:rPr>
        <w:t xml:space="preserve"> enterokrwotoczną. Przypadek dotyczył dziecka w wieku 12 lat, hospitalizowanego. Czynnikiem chorobotwórczym był </w:t>
      </w:r>
      <w:r w:rsidRPr="008739E3">
        <w:t xml:space="preserve">drobnoustrój </w:t>
      </w:r>
      <w:r w:rsidRPr="008739E3">
        <w:rPr>
          <w:i/>
          <w:iCs/>
        </w:rPr>
        <w:t xml:space="preserve">Escherichia coli </w:t>
      </w:r>
      <w:r w:rsidRPr="008739E3">
        <w:t>O</w:t>
      </w:r>
      <w:r w:rsidRPr="008739E3">
        <w:rPr>
          <w:vertAlign w:val="subscript"/>
        </w:rPr>
        <w:t>157</w:t>
      </w:r>
      <w:r w:rsidRPr="008739E3">
        <w:rPr>
          <w:color w:val="000000"/>
        </w:rPr>
        <w:t xml:space="preserve"> </w:t>
      </w:r>
      <w:r>
        <w:rPr>
          <w:color w:val="000000"/>
        </w:rPr>
        <w:t>(szczep nie</w:t>
      </w:r>
      <w:r w:rsidRPr="008739E3">
        <w:rPr>
          <w:color w:val="000000"/>
        </w:rPr>
        <w:t>fermentujący sorbitolu</w:t>
      </w:r>
      <w:r>
        <w:rPr>
          <w:color w:val="000000"/>
        </w:rPr>
        <w:t>)</w:t>
      </w:r>
      <w:r w:rsidRPr="008739E3">
        <w:rPr>
          <w:color w:val="000000"/>
        </w:rPr>
        <w:t xml:space="preserve">. </w:t>
      </w:r>
    </w:p>
    <w:p w:rsidR="00AF0FDB" w:rsidRPr="008739E3" w:rsidRDefault="00AF0FDB" w:rsidP="00A457E4">
      <w:pPr>
        <w:spacing w:after="0"/>
        <w:jc w:val="both"/>
      </w:pPr>
      <w:r w:rsidRPr="008739E3">
        <w:t xml:space="preserve">W 2017 roku nie zarejestrowano zakażeń enterokrwotocznymi szczepami </w:t>
      </w:r>
      <w:r w:rsidRPr="008739E3">
        <w:rPr>
          <w:i/>
          <w:iCs/>
        </w:rPr>
        <w:t xml:space="preserve">Escherichia coli. </w:t>
      </w:r>
    </w:p>
    <w:p w:rsidR="00AF0FDB" w:rsidRPr="00493534" w:rsidRDefault="00AF0FDB" w:rsidP="00642C07">
      <w:pPr>
        <w:spacing w:after="0"/>
        <w:jc w:val="both"/>
      </w:pPr>
      <w:r w:rsidRPr="00493534">
        <w:rPr>
          <w:b/>
          <w:bCs/>
        </w:rPr>
        <w:t>Malaria</w:t>
      </w:r>
    </w:p>
    <w:p w:rsidR="00AF0FDB" w:rsidRPr="00780890" w:rsidRDefault="00AF0FDB" w:rsidP="00A457E4">
      <w:pPr>
        <w:spacing w:after="0"/>
        <w:jc w:val="both"/>
      </w:pPr>
      <w:r w:rsidRPr="00780890">
        <w:t>W roku 2018 odnotowano 2 przypadki zachorowania na malarię (wsp. zap. 0,2/100000),</w:t>
      </w:r>
      <w:r w:rsidRPr="00780890">
        <w:rPr>
          <w:color w:val="2F5496"/>
        </w:rPr>
        <w:t xml:space="preserve"> </w:t>
      </w:r>
      <w:r w:rsidRPr="00780890">
        <w:t>zawleczone z terenów środkowej Afryki tj. Nigerii i Kamerunu. Chorzy to mężczyzna lat 32, pochodzący z Nigerii, mieszkający i pracujący w Polsce oraz kobieta lat 45 obywatelka Polski.</w:t>
      </w:r>
    </w:p>
    <w:p w:rsidR="00AF0FDB" w:rsidRPr="00780890" w:rsidRDefault="00AF0FDB" w:rsidP="008C62BE">
      <w:pPr>
        <w:spacing w:before="0" w:after="0"/>
        <w:jc w:val="both"/>
        <w:rPr>
          <w:strike/>
          <w:color w:val="FF0000"/>
        </w:rPr>
      </w:pPr>
      <w:r w:rsidRPr="00780890">
        <w:t xml:space="preserve">Mężczyzna hospitalizowany w Oddziale Chorób Tropikalnych i Pasożytniczych Szpitala Klinicznego im. Heliodora Święcickiego w Poznaniu  z powodu wystąpienia objawów klinicznych: gorączka, dreszcze, bóle mięśniowo-stawowe. </w:t>
      </w:r>
      <w:r>
        <w:t>U kobiety stwierdzono utratę</w:t>
      </w:r>
      <w:r w:rsidRPr="00780890">
        <w:t xml:space="preserve"> przytomności </w:t>
      </w:r>
      <w:r>
        <w:t>(</w:t>
      </w:r>
      <w:r w:rsidRPr="00780890">
        <w:t xml:space="preserve">przyjęta </w:t>
      </w:r>
      <w:r>
        <w:t xml:space="preserve">do oddziału intensywnej opieki medycznej </w:t>
      </w:r>
      <w:r w:rsidRPr="00780890">
        <w:t>Wielospecjalistycznego Szpitala Miejskiego w Poznaniu</w:t>
      </w:r>
      <w:r>
        <w:t>)</w:t>
      </w:r>
      <w:r w:rsidRPr="00780890">
        <w:t>. Dodatkowo pojawiły się gorączka, upośledzenie funkcji nerek i zaburzenia świadomości oraz sztywność karku.</w:t>
      </w:r>
    </w:p>
    <w:p w:rsidR="00AF0FDB" w:rsidRPr="00780890" w:rsidRDefault="00AF0FDB" w:rsidP="008C62BE">
      <w:pPr>
        <w:spacing w:before="0" w:after="0"/>
        <w:jc w:val="both"/>
      </w:pPr>
      <w:r w:rsidRPr="00780890">
        <w:t>Badania parazytologiczne wykonane u pacjentów</w:t>
      </w:r>
      <w:r>
        <w:t xml:space="preserve"> potwierdziły</w:t>
      </w:r>
      <w:r w:rsidRPr="00780890">
        <w:t xml:space="preserve"> obecność zarodźca sierpowatego (</w:t>
      </w:r>
      <w:r w:rsidRPr="00780890">
        <w:rPr>
          <w:i/>
          <w:iCs/>
        </w:rPr>
        <w:t>Plasmodium falciparum</w:t>
      </w:r>
      <w:r>
        <w:t xml:space="preserve">), </w:t>
      </w:r>
      <w:r w:rsidRPr="00780890">
        <w:t xml:space="preserve">pobrany materiał diagnostyczny opracowany techniką „gruba kropla cienki rozmaz” wykazał obecność pojedynczych trofozoitów i schizontów oraz gametocytów </w:t>
      </w:r>
      <w:r w:rsidRPr="00780890">
        <w:rPr>
          <w:i/>
          <w:iCs/>
        </w:rPr>
        <w:t>Plasmodium falciparum</w:t>
      </w:r>
      <w:r w:rsidRPr="00780890">
        <w:t xml:space="preserve">.  Materiałem diagnostycznym była krew obwodowa. </w:t>
      </w:r>
    </w:p>
    <w:p w:rsidR="00AF0FDB" w:rsidRPr="00780890" w:rsidRDefault="00AF0FDB" w:rsidP="008C62BE">
      <w:pPr>
        <w:spacing w:before="0" w:after="0"/>
        <w:jc w:val="both"/>
      </w:pPr>
      <w:r w:rsidRPr="00780890">
        <w:t>W trakcie leczenia swoistego w kierunku malarii stwierdzono zdecydowaną poprawę stanu klinicznego u pacjentów, których wypisano ze szpitala w  stanie ogólnym dobrym.</w:t>
      </w:r>
    </w:p>
    <w:p w:rsidR="00AF0FDB" w:rsidRDefault="00AF0FDB" w:rsidP="008C62BE">
      <w:pPr>
        <w:spacing w:before="0" w:after="0"/>
        <w:jc w:val="both"/>
      </w:pPr>
      <w:r w:rsidRPr="00780890">
        <w:t>W 2017 roku odnotowano 1 przypadek zachorowania na malarię (wsp. zap. 0,1/100000).</w:t>
      </w:r>
    </w:p>
    <w:p w:rsidR="00AF0FDB" w:rsidRPr="005265CE" w:rsidRDefault="00AF0FDB" w:rsidP="005265CE">
      <w:pPr>
        <w:spacing w:before="120" w:after="0"/>
        <w:jc w:val="both"/>
        <w:rPr>
          <w:b/>
          <w:bCs/>
        </w:rPr>
      </w:pPr>
      <w:r w:rsidRPr="005265CE">
        <w:rPr>
          <w:b/>
          <w:bCs/>
        </w:rPr>
        <w:t xml:space="preserve">Legioneloza </w:t>
      </w:r>
    </w:p>
    <w:p w:rsidR="00AF0FDB" w:rsidRPr="008739E3" w:rsidRDefault="00AF0FDB" w:rsidP="008C62BE">
      <w:pPr>
        <w:spacing w:after="0"/>
        <w:jc w:val="both"/>
        <w:rPr>
          <w:color w:val="92D050"/>
        </w:rPr>
      </w:pPr>
      <w:r w:rsidRPr="00B4792D">
        <w:t>W 2018 roku odnotowano 2 przypadki zachorowania na legionelozę (wsp. zap. 0,2/100000) co stanowi wzrost zachorowań w porównaniu z rokiem 2017, kiedy zarejestrowano 1 zachorowanie (wsp. zap. 0,1/100000). Zarejestrowane przypadki były niepowiązane epidemiologicznie, hospitalizowane</w:t>
      </w:r>
      <w:r>
        <w:t>.</w:t>
      </w:r>
      <w:r w:rsidRPr="00B4792D">
        <w:t xml:space="preserve"> </w:t>
      </w:r>
      <w:r w:rsidRPr="00B4792D">
        <w:rPr>
          <w:color w:val="000000"/>
        </w:rPr>
        <w:t>Jeden z przypadków dotyczył</w:t>
      </w:r>
      <w:r>
        <w:rPr>
          <w:color w:val="000000"/>
        </w:rPr>
        <w:t xml:space="preserve"> kobiety w wieku 66 lat</w:t>
      </w:r>
      <w:r w:rsidRPr="00B4792D">
        <w:rPr>
          <w:color w:val="000000"/>
        </w:rPr>
        <w:t xml:space="preserve">. Zachorowanie </w:t>
      </w:r>
      <w:r>
        <w:rPr>
          <w:color w:val="000000"/>
        </w:rPr>
        <w:t xml:space="preserve">zakończone zgonem </w:t>
      </w:r>
      <w:r w:rsidRPr="00B4792D">
        <w:rPr>
          <w:color w:val="000000"/>
        </w:rPr>
        <w:t>zarejestrowano jako zakażenie szpitalne w trakcie radioterapii zaawansowanego raka trzonu języka. Drugie zachorowanie dotyczyło 51-letniego mężczyzny, który przebywał w kl</w:t>
      </w:r>
      <w:r>
        <w:rPr>
          <w:color w:val="000000"/>
        </w:rPr>
        <w:t xml:space="preserve">imatyzowanej kwaterze prywatnej </w:t>
      </w:r>
      <w:r w:rsidRPr="00B4792D">
        <w:rPr>
          <w:color w:val="000000"/>
        </w:rPr>
        <w:t>w Chorwacji, podróżował również klimatyzowanym, prywatnym samochodem.</w:t>
      </w:r>
    </w:p>
    <w:p w:rsidR="00AF0FDB" w:rsidRDefault="00AF0FDB" w:rsidP="00A457E4">
      <w:pPr>
        <w:pStyle w:val="ListParagraph"/>
        <w:spacing w:line="360" w:lineRule="auto"/>
        <w:ind w:left="0"/>
        <w:jc w:val="both"/>
        <w:rPr>
          <w:rFonts w:ascii="Times New Roman" w:hAnsi="Times New Roman" w:cs="Times New Roman"/>
          <w:sz w:val="24"/>
          <w:szCs w:val="24"/>
          <w:lang w:eastAsia="pl-PL"/>
        </w:rPr>
      </w:pPr>
    </w:p>
    <w:p w:rsidR="00AF0FDB" w:rsidRPr="00493534" w:rsidRDefault="00AF0FDB" w:rsidP="00A457E4">
      <w:pPr>
        <w:pStyle w:val="ListParagraph"/>
        <w:spacing w:line="360" w:lineRule="auto"/>
        <w:ind w:left="0"/>
        <w:jc w:val="both"/>
        <w:rPr>
          <w:rFonts w:ascii="Times New Roman" w:hAnsi="Times New Roman" w:cs="Times New Roman"/>
          <w:b/>
          <w:bCs/>
          <w:sz w:val="24"/>
          <w:szCs w:val="24"/>
        </w:rPr>
      </w:pPr>
      <w:r w:rsidRPr="00493534">
        <w:rPr>
          <w:rFonts w:ascii="Times New Roman" w:hAnsi="Times New Roman" w:cs="Times New Roman"/>
          <w:b/>
          <w:bCs/>
        </w:rPr>
        <w:t>Gruźlica</w:t>
      </w:r>
    </w:p>
    <w:p w:rsidR="00AF0FDB" w:rsidRDefault="00AF0FDB" w:rsidP="005265CE">
      <w:pPr>
        <w:spacing w:after="0"/>
        <w:jc w:val="both"/>
      </w:pPr>
      <w:r>
        <w:t xml:space="preserve">W 2018 roku zarejestrowano ogółem 73 przypadki zachorowań na gruźlicę (wsp. zap. 7,9/100000 ludności), co stanowi niewielki wzrost liczby zachorowań w porównaniu </w:t>
      </w:r>
      <w:r>
        <w:br/>
        <w:t xml:space="preserve">do 2017 r. o 3 przypadki (wsp. zap. 7,6/100000). </w:t>
      </w:r>
    </w:p>
    <w:p w:rsidR="00AF0FDB" w:rsidRDefault="00AF0FDB" w:rsidP="003927A2">
      <w:pPr>
        <w:spacing w:after="0"/>
        <w:jc w:val="both"/>
      </w:pPr>
      <w:r>
        <w:t xml:space="preserve">Większość zarejestrowanych przypadków dotyczyła obywateli narodowości polskiej, natomiast odnotowano również przypadki gruźlicy u obywateli Ukrainy (5 przypadków) oraz po 1 przypadku u obywateli Bangladeszu, Rumunii i Indonezji. </w:t>
      </w:r>
    </w:p>
    <w:p w:rsidR="00AF0FDB" w:rsidRDefault="00AF0FDB" w:rsidP="0099731A">
      <w:pPr>
        <w:spacing w:after="0"/>
        <w:jc w:val="both"/>
      </w:pPr>
      <w:r>
        <w:t xml:space="preserve">Analizując sytuację epidemiologiczną w 2018 roku najwięcej zachorowań rejestrowano </w:t>
      </w:r>
      <w:r>
        <w:br/>
        <w:t>w przedziałach wiekowych 45-64 lata</w:t>
      </w:r>
      <w:r>
        <w:rPr>
          <w:b/>
          <w:bCs/>
        </w:rPr>
        <w:t xml:space="preserve"> </w:t>
      </w:r>
      <w:r>
        <w:t>(32 przypadki) oraz 20-44 lata</w:t>
      </w:r>
      <w:r>
        <w:rPr>
          <w:b/>
          <w:bCs/>
        </w:rPr>
        <w:t xml:space="preserve"> </w:t>
      </w:r>
      <w:r>
        <w:t>(25 przypadków)</w:t>
      </w:r>
      <w:r>
        <w:rPr>
          <w:b/>
          <w:bCs/>
        </w:rPr>
        <w:t xml:space="preserve">, </w:t>
      </w:r>
      <w:r>
        <w:t xml:space="preserve">najmniejszą liczbę zachorowań  odnotowano w przedziale 65 lat i powyżej (16 przypadków). </w:t>
      </w:r>
    </w:p>
    <w:p w:rsidR="00AF0FDB" w:rsidRDefault="00AF0FDB" w:rsidP="009F6A19">
      <w:pPr>
        <w:spacing w:after="0"/>
        <w:jc w:val="both"/>
      </w:pPr>
      <w:r>
        <w:t>Analizując zachorowania według płci spośród ogółu wszystkich zachorowań, 68,5% stanowili mężczyźni (50 zachorowań), natomiast 31,5% to kobiety (23 zachorowania).</w:t>
      </w:r>
    </w:p>
    <w:p w:rsidR="00AF0FDB" w:rsidRDefault="00AF0FDB" w:rsidP="009F6A19">
      <w:pPr>
        <w:spacing w:after="0"/>
        <w:jc w:val="both"/>
      </w:pPr>
      <w:r>
        <w:t>W 2018 r. odnotowano zachorowania na gruźlicę płuc potwierdzoną mikroskopowo oraz gruźlicę płuc potwierdzoną wyłącznie posiewem, zarejestrowano również przypadki gruźliczego zapalenia układu moczowego, gruźlicy jelit, otrzewnej i węzłów chłonnych, gruźlicy skóry oraz gruźlicy innych narządów. Rozpoznano także przypadki gruźlicy wielolekoopornej.</w:t>
      </w:r>
    </w:p>
    <w:p w:rsidR="00AF0FDB" w:rsidRDefault="00AF0FDB" w:rsidP="009F6A19">
      <w:pPr>
        <w:spacing w:after="0"/>
        <w:jc w:val="both"/>
        <w:rPr>
          <w:b/>
          <w:bCs/>
        </w:rPr>
      </w:pPr>
      <w:r w:rsidRPr="00493534">
        <w:rPr>
          <w:b/>
          <w:bCs/>
        </w:rPr>
        <w:t>Zatrucia chem</w:t>
      </w:r>
      <w:r>
        <w:rPr>
          <w:b/>
          <w:bCs/>
        </w:rPr>
        <w:t xml:space="preserve">icznymi środkami ochrony roślin </w:t>
      </w:r>
    </w:p>
    <w:p w:rsidR="00AF0FDB" w:rsidRPr="00D60D85" w:rsidRDefault="00AF0FDB" w:rsidP="009F6A19">
      <w:pPr>
        <w:spacing w:after="0"/>
        <w:jc w:val="both"/>
        <w:rPr>
          <w:b/>
          <w:bCs/>
        </w:rPr>
      </w:pPr>
      <w:r w:rsidRPr="008739E3">
        <w:t>W 2018 roku nie odnotowa</w:t>
      </w:r>
      <w:r>
        <w:t>no zatruć</w:t>
      </w:r>
      <w:r w:rsidRPr="008739E3">
        <w:t xml:space="preserve"> chemicznymi środkami ochrony roślin, po</w:t>
      </w:r>
      <w:r>
        <w:t>dobnie jak</w:t>
      </w:r>
      <w:r>
        <w:br/>
        <w:t xml:space="preserve"> w latach ubiegłych.</w:t>
      </w:r>
    </w:p>
    <w:p w:rsidR="00AF0FDB" w:rsidRPr="00493534" w:rsidRDefault="00AF0FDB" w:rsidP="009F6A19">
      <w:pPr>
        <w:tabs>
          <w:tab w:val="left" w:pos="426"/>
        </w:tabs>
        <w:spacing w:after="0"/>
        <w:jc w:val="both"/>
        <w:rPr>
          <w:b/>
          <w:bCs/>
        </w:rPr>
      </w:pPr>
      <w:r w:rsidRPr="00493534">
        <w:rPr>
          <w:b/>
          <w:bCs/>
        </w:rPr>
        <w:t>Zapobieganie wściekliźnie</w:t>
      </w:r>
    </w:p>
    <w:p w:rsidR="00AF0FDB" w:rsidRPr="008739E3" w:rsidRDefault="00AF0FDB" w:rsidP="006B1D8D">
      <w:pPr>
        <w:spacing w:after="0"/>
        <w:jc w:val="both"/>
      </w:pPr>
      <w:r>
        <w:t xml:space="preserve">W roku sprawozdawczym </w:t>
      </w:r>
      <w:r w:rsidRPr="008739E3">
        <w:t xml:space="preserve">zgłoszono 155 przypadków styczności i narażenia na wściekliznę, u których podjęto szczepienia p/wściekliźnie, co stanowiło o 8 przypadków mniej niż w roku  2017. </w:t>
      </w:r>
    </w:p>
    <w:p w:rsidR="00AF0FDB" w:rsidRDefault="00AF0FDB" w:rsidP="00642C07">
      <w:pPr>
        <w:rPr>
          <w:sz w:val="18"/>
          <w:szCs w:val="18"/>
        </w:rPr>
      </w:pPr>
      <w:r>
        <w:rPr>
          <w:b/>
          <w:bCs/>
          <w:sz w:val="18"/>
          <w:szCs w:val="18"/>
        </w:rPr>
        <w:t xml:space="preserve">Tab. 5. </w:t>
      </w:r>
      <w:r>
        <w:rPr>
          <w:sz w:val="18"/>
          <w:szCs w:val="18"/>
        </w:rPr>
        <w:t xml:space="preserve">Szczepienia przeciwko wściekliźnie w 2018  r.  </w:t>
      </w:r>
    </w:p>
    <w:tbl>
      <w:tblPr>
        <w:tblW w:w="9651"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000"/>
      </w:tblPr>
      <w:tblGrid>
        <w:gridCol w:w="950"/>
        <w:gridCol w:w="498"/>
        <w:gridCol w:w="470"/>
        <w:gridCol w:w="613"/>
        <w:gridCol w:w="533"/>
        <w:gridCol w:w="1039"/>
        <w:gridCol w:w="555"/>
        <w:gridCol w:w="555"/>
        <w:gridCol w:w="512"/>
        <w:gridCol w:w="561"/>
        <w:gridCol w:w="609"/>
        <w:gridCol w:w="563"/>
        <w:gridCol w:w="559"/>
        <w:gridCol w:w="1634"/>
      </w:tblGrid>
      <w:tr w:rsidR="00AF0FDB" w:rsidRPr="008739E3">
        <w:trPr>
          <w:trHeight w:val="615"/>
          <w:tblHeader/>
        </w:trPr>
        <w:tc>
          <w:tcPr>
            <w:tcW w:w="0" w:type="auto"/>
            <w:vMerge w:val="restart"/>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Grupy wiekowe</w:t>
            </w:r>
          </w:p>
        </w:tc>
        <w:tc>
          <w:tcPr>
            <w:tcW w:w="975" w:type="dxa"/>
            <w:gridSpan w:val="2"/>
          </w:tcPr>
          <w:p w:rsidR="00AF0FDB" w:rsidRPr="002C4F7C" w:rsidRDefault="00AF0FDB" w:rsidP="002C4F7C">
            <w:pPr>
              <w:spacing w:after="0" w:line="240" w:lineRule="auto"/>
              <w:jc w:val="center"/>
              <w:rPr>
                <w:b/>
                <w:bCs/>
                <w:sz w:val="20"/>
                <w:szCs w:val="20"/>
              </w:rPr>
            </w:pPr>
            <w:r w:rsidRPr="002C4F7C">
              <w:rPr>
                <w:b/>
                <w:bCs/>
                <w:sz w:val="20"/>
                <w:szCs w:val="20"/>
              </w:rPr>
              <w:t>Płeć</w:t>
            </w:r>
          </w:p>
        </w:tc>
        <w:tc>
          <w:tcPr>
            <w:tcW w:w="1059" w:type="dxa"/>
            <w:gridSpan w:val="2"/>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 xml:space="preserve">Miejsce </w:t>
            </w:r>
            <w:r w:rsidRPr="002C4F7C">
              <w:rPr>
                <w:b/>
                <w:bCs/>
                <w:sz w:val="20"/>
                <w:szCs w:val="20"/>
                <w:u w:val="single"/>
              </w:rPr>
              <w:t>narażenia!</w:t>
            </w:r>
          </w:p>
        </w:tc>
        <w:tc>
          <w:tcPr>
            <w:tcW w:w="3276" w:type="dxa"/>
            <w:gridSpan w:val="5"/>
          </w:tcPr>
          <w:p w:rsidR="00AF0FDB" w:rsidRPr="002C4F7C" w:rsidRDefault="00AF0FDB" w:rsidP="002C4F7C">
            <w:pPr>
              <w:spacing w:after="0" w:line="240" w:lineRule="auto"/>
              <w:jc w:val="center"/>
              <w:rPr>
                <w:b/>
                <w:bCs/>
                <w:sz w:val="20"/>
                <w:szCs w:val="20"/>
              </w:rPr>
            </w:pPr>
            <w:r w:rsidRPr="002C4F7C">
              <w:rPr>
                <w:b/>
                <w:bCs/>
                <w:sz w:val="20"/>
                <w:szCs w:val="20"/>
              </w:rPr>
              <w:t>Podjęte szczepienia</w:t>
            </w:r>
          </w:p>
        </w:tc>
        <w:tc>
          <w:tcPr>
            <w:tcW w:w="3407" w:type="dxa"/>
            <w:gridSpan w:val="4"/>
            <w:shd w:val="clear" w:color="auto" w:fill="E8E8E8"/>
          </w:tcPr>
          <w:p w:rsidR="00AF0FDB" w:rsidRPr="002C4F7C" w:rsidRDefault="00AF0FDB" w:rsidP="002C4F7C">
            <w:pPr>
              <w:spacing w:after="0" w:line="240" w:lineRule="auto"/>
              <w:jc w:val="center"/>
              <w:rPr>
                <w:sz w:val="22"/>
                <w:szCs w:val="22"/>
              </w:rPr>
            </w:pPr>
            <w:r w:rsidRPr="002C4F7C">
              <w:rPr>
                <w:b/>
                <w:bCs/>
                <w:sz w:val="20"/>
                <w:szCs w:val="20"/>
              </w:rPr>
              <w:t>Kontakt ze zwierzęciem</w:t>
            </w:r>
          </w:p>
        </w:tc>
      </w:tr>
      <w:tr w:rsidR="00AF0FDB" w:rsidRPr="008739E3">
        <w:trPr>
          <w:trHeight w:val="750"/>
          <w:tblHeader/>
        </w:trPr>
        <w:tc>
          <w:tcPr>
            <w:tcW w:w="0" w:type="auto"/>
            <w:vMerge/>
            <w:shd w:val="clear" w:color="auto" w:fill="E8E8E8"/>
          </w:tcPr>
          <w:p w:rsidR="00AF0FDB" w:rsidRPr="002C4F7C" w:rsidRDefault="00AF0FDB" w:rsidP="002C4F7C">
            <w:pPr>
              <w:snapToGrid w:val="0"/>
              <w:spacing w:after="0" w:line="240" w:lineRule="auto"/>
              <w:jc w:val="center"/>
              <w:rPr>
                <w:b/>
                <w:bCs/>
                <w:color w:val="FF0000"/>
                <w:sz w:val="20"/>
                <w:szCs w:val="20"/>
              </w:rPr>
            </w:pPr>
          </w:p>
        </w:tc>
        <w:tc>
          <w:tcPr>
            <w:tcW w:w="502" w:type="dxa"/>
            <w:vMerge w:val="restart"/>
          </w:tcPr>
          <w:p w:rsidR="00AF0FDB" w:rsidRPr="002C4F7C" w:rsidRDefault="00AF0FDB" w:rsidP="002C4F7C">
            <w:pPr>
              <w:spacing w:after="0" w:line="240" w:lineRule="auto"/>
              <w:jc w:val="center"/>
              <w:rPr>
                <w:b/>
                <w:bCs/>
                <w:sz w:val="20"/>
                <w:szCs w:val="20"/>
              </w:rPr>
            </w:pPr>
            <w:r w:rsidRPr="002C4F7C">
              <w:rPr>
                <w:b/>
                <w:bCs/>
                <w:sz w:val="20"/>
                <w:szCs w:val="20"/>
              </w:rPr>
              <w:t>M</w:t>
            </w:r>
          </w:p>
        </w:tc>
        <w:tc>
          <w:tcPr>
            <w:tcW w:w="473" w:type="dxa"/>
            <w:vMerge w:val="restart"/>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K</w:t>
            </w:r>
          </w:p>
        </w:tc>
        <w:tc>
          <w:tcPr>
            <w:tcW w:w="525" w:type="dxa"/>
            <w:vMerge w:val="restart"/>
          </w:tcPr>
          <w:p w:rsidR="00AF0FDB" w:rsidRPr="002C4F7C" w:rsidRDefault="00AF0FDB" w:rsidP="002C4F7C">
            <w:pPr>
              <w:spacing w:after="0" w:line="240" w:lineRule="auto"/>
              <w:jc w:val="center"/>
              <w:rPr>
                <w:b/>
                <w:bCs/>
                <w:sz w:val="20"/>
                <w:szCs w:val="20"/>
              </w:rPr>
            </w:pPr>
            <w:r w:rsidRPr="002C4F7C">
              <w:rPr>
                <w:b/>
                <w:bCs/>
                <w:sz w:val="20"/>
                <w:szCs w:val="20"/>
              </w:rPr>
              <w:t>M</w:t>
            </w:r>
          </w:p>
        </w:tc>
        <w:tc>
          <w:tcPr>
            <w:tcW w:w="534" w:type="dxa"/>
            <w:vMerge w:val="restart"/>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W</w:t>
            </w:r>
          </w:p>
        </w:tc>
        <w:tc>
          <w:tcPr>
            <w:tcW w:w="1053" w:type="dxa"/>
          </w:tcPr>
          <w:p w:rsidR="00AF0FDB" w:rsidRPr="002C4F7C" w:rsidRDefault="00AF0FDB" w:rsidP="002C4F7C">
            <w:pPr>
              <w:spacing w:after="0" w:line="240" w:lineRule="auto"/>
              <w:jc w:val="center"/>
              <w:rPr>
                <w:b/>
                <w:bCs/>
                <w:sz w:val="20"/>
                <w:szCs w:val="20"/>
              </w:rPr>
            </w:pPr>
            <w:r w:rsidRPr="002C4F7C">
              <w:rPr>
                <w:b/>
                <w:bCs/>
                <w:sz w:val="20"/>
                <w:szCs w:val="20"/>
              </w:rPr>
              <w:t>Pełen cykl</w:t>
            </w:r>
          </w:p>
        </w:tc>
        <w:tc>
          <w:tcPr>
            <w:tcW w:w="2223" w:type="dxa"/>
            <w:gridSpan w:val="4"/>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Niepełen cykl</w:t>
            </w:r>
            <w:r w:rsidRPr="002C4F7C">
              <w:rPr>
                <w:b/>
                <w:bCs/>
                <w:sz w:val="20"/>
                <w:szCs w:val="20"/>
              </w:rPr>
              <w:br/>
              <w:t xml:space="preserve"> (liczba dawek)</w:t>
            </w:r>
          </w:p>
        </w:tc>
        <w:tc>
          <w:tcPr>
            <w:tcW w:w="612" w:type="dxa"/>
            <w:vMerge w:val="restart"/>
          </w:tcPr>
          <w:p w:rsidR="00AF0FDB" w:rsidRPr="002C4F7C" w:rsidRDefault="00AF0FDB" w:rsidP="002C4F7C">
            <w:pPr>
              <w:spacing w:after="0" w:line="240" w:lineRule="auto"/>
              <w:jc w:val="center"/>
              <w:rPr>
                <w:b/>
                <w:bCs/>
                <w:sz w:val="20"/>
                <w:szCs w:val="20"/>
              </w:rPr>
            </w:pPr>
            <w:r w:rsidRPr="002C4F7C">
              <w:rPr>
                <w:b/>
                <w:bCs/>
                <w:sz w:val="20"/>
                <w:szCs w:val="20"/>
              </w:rPr>
              <w:t>pies</w:t>
            </w:r>
          </w:p>
        </w:tc>
        <w:tc>
          <w:tcPr>
            <w:tcW w:w="567" w:type="dxa"/>
            <w:vMerge w:val="restart"/>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kot</w:t>
            </w:r>
          </w:p>
        </w:tc>
        <w:tc>
          <w:tcPr>
            <w:tcW w:w="567" w:type="dxa"/>
            <w:vMerge w:val="restart"/>
          </w:tcPr>
          <w:p w:rsidR="00AF0FDB" w:rsidRPr="002C4F7C" w:rsidRDefault="00AF0FDB" w:rsidP="002C4F7C">
            <w:pPr>
              <w:spacing w:after="0" w:line="240" w:lineRule="auto"/>
              <w:jc w:val="center"/>
              <w:rPr>
                <w:b/>
                <w:bCs/>
                <w:sz w:val="20"/>
                <w:szCs w:val="20"/>
              </w:rPr>
            </w:pPr>
            <w:r w:rsidRPr="002C4F7C">
              <w:rPr>
                <w:b/>
                <w:bCs/>
                <w:sz w:val="20"/>
                <w:szCs w:val="20"/>
              </w:rPr>
              <w:t>lis</w:t>
            </w:r>
          </w:p>
        </w:tc>
        <w:tc>
          <w:tcPr>
            <w:tcW w:w="1661" w:type="dxa"/>
            <w:vMerge w:val="restart"/>
            <w:shd w:val="clear" w:color="auto" w:fill="E8E8E8"/>
          </w:tcPr>
          <w:p w:rsidR="00AF0FDB" w:rsidRPr="002C4F7C" w:rsidRDefault="00AF0FDB" w:rsidP="002C4F7C">
            <w:pPr>
              <w:spacing w:after="0" w:line="240" w:lineRule="auto"/>
              <w:jc w:val="center"/>
              <w:rPr>
                <w:sz w:val="22"/>
                <w:szCs w:val="22"/>
              </w:rPr>
            </w:pPr>
            <w:r w:rsidRPr="002C4F7C">
              <w:rPr>
                <w:b/>
                <w:bCs/>
                <w:sz w:val="20"/>
                <w:szCs w:val="20"/>
              </w:rPr>
              <w:t>Inne</w:t>
            </w:r>
          </w:p>
        </w:tc>
      </w:tr>
      <w:tr w:rsidR="00AF0FDB" w:rsidRPr="008739E3">
        <w:trPr>
          <w:trHeight w:val="270"/>
          <w:tblHeader/>
        </w:trPr>
        <w:tc>
          <w:tcPr>
            <w:tcW w:w="0" w:type="auto"/>
            <w:vMerge/>
            <w:shd w:val="clear" w:color="auto" w:fill="E8E8E8"/>
          </w:tcPr>
          <w:p w:rsidR="00AF0FDB" w:rsidRPr="002C4F7C" w:rsidRDefault="00AF0FDB" w:rsidP="002C4F7C">
            <w:pPr>
              <w:snapToGrid w:val="0"/>
              <w:spacing w:after="0" w:line="240" w:lineRule="auto"/>
              <w:jc w:val="center"/>
              <w:rPr>
                <w:color w:val="FF0000"/>
                <w:sz w:val="20"/>
                <w:szCs w:val="20"/>
              </w:rPr>
            </w:pPr>
          </w:p>
        </w:tc>
        <w:tc>
          <w:tcPr>
            <w:tcW w:w="502" w:type="dxa"/>
            <w:vMerge/>
          </w:tcPr>
          <w:p w:rsidR="00AF0FDB" w:rsidRPr="002C4F7C" w:rsidRDefault="00AF0FDB" w:rsidP="002C4F7C">
            <w:pPr>
              <w:snapToGrid w:val="0"/>
              <w:spacing w:after="0" w:line="240" w:lineRule="auto"/>
              <w:jc w:val="center"/>
              <w:rPr>
                <w:b/>
                <w:bCs/>
                <w:sz w:val="20"/>
                <w:szCs w:val="20"/>
              </w:rPr>
            </w:pPr>
          </w:p>
        </w:tc>
        <w:tc>
          <w:tcPr>
            <w:tcW w:w="473" w:type="dxa"/>
            <w:vMerge/>
            <w:shd w:val="clear" w:color="auto" w:fill="E8E8E8"/>
          </w:tcPr>
          <w:p w:rsidR="00AF0FDB" w:rsidRPr="002C4F7C" w:rsidRDefault="00AF0FDB" w:rsidP="002C4F7C">
            <w:pPr>
              <w:snapToGrid w:val="0"/>
              <w:spacing w:after="0" w:line="240" w:lineRule="auto"/>
              <w:jc w:val="center"/>
              <w:rPr>
                <w:sz w:val="20"/>
                <w:szCs w:val="20"/>
              </w:rPr>
            </w:pPr>
          </w:p>
        </w:tc>
        <w:tc>
          <w:tcPr>
            <w:tcW w:w="525" w:type="dxa"/>
            <w:vMerge/>
          </w:tcPr>
          <w:p w:rsidR="00AF0FDB" w:rsidRPr="002C4F7C" w:rsidRDefault="00AF0FDB" w:rsidP="002C4F7C">
            <w:pPr>
              <w:snapToGrid w:val="0"/>
              <w:spacing w:after="0" w:line="240" w:lineRule="auto"/>
              <w:jc w:val="center"/>
              <w:rPr>
                <w:b/>
                <w:bCs/>
                <w:sz w:val="20"/>
                <w:szCs w:val="20"/>
              </w:rPr>
            </w:pPr>
          </w:p>
        </w:tc>
        <w:tc>
          <w:tcPr>
            <w:tcW w:w="534" w:type="dxa"/>
            <w:vMerge/>
            <w:shd w:val="clear" w:color="auto" w:fill="E8E8E8"/>
          </w:tcPr>
          <w:p w:rsidR="00AF0FDB" w:rsidRPr="002C4F7C" w:rsidRDefault="00AF0FDB" w:rsidP="002C4F7C">
            <w:pPr>
              <w:snapToGrid w:val="0"/>
              <w:spacing w:after="0" w:line="240" w:lineRule="auto"/>
              <w:jc w:val="center"/>
              <w:rPr>
                <w:sz w:val="20"/>
                <w:szCs w:val="20"/>
              </w:rPr>
            </w:pPr>
          </w:p>
        </w:tc>
        <w:tc>
          <w:tcPr>
            <w:tcW w:w="1053" w:type="dxa"/>
          </w:tcPr>
          <w:p w:rsidR="00AF0FDB" w:rsidRPr="002C4F7C" w:rsidRDefault="00AF0FDB" w:rsidP="002C4F7C">
            <w:pPr>
              <w:spacing w:after="0" w:line="240" w:lineRule="auto"/>
              <w:jc w:val="center"/>
              <w:rPr>
                <w:b/>
                <w:bCs/>
                <w:sz w:val="20"/>
                <w:szCs w:val="20"/>
              </w:rPr>
            </w:pPr>
            <w:r w:rsidRPr="002C4F7C">
              <w:rPr>
                <w:b/>
                <w:bCs/>
                <w:sz w:val="20"/>
                <w:szCs w:val="20"/>
              </w:rPr>
              <w:t>5 dawek</w:t>
            </w:r>
          </w:p>
        </w:tc>
        <w:tc>
          <w:tcPr>
            <w:tcW w:w="567" w:type="dxa"/>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1</w:t>
            </w:r>
          </w:p>
        </w:tc>
        <w:tc>
          <w:tcPr>
            <w:tcW w:w="567" w:type="dxa"/>
          </w:tcPr>
          <w:p w:rsidR="00AF0FDB" w:rsidRPr="002C4F7C" w:rsidRDefault="00AF0FDB" w:rsidP="002C4F7C">
            <w:pPr>
              <w:spacing w:after="0" w:line="240" w:lineRule="auto"/>
              <w:jc w:val="center"/>
              <w:rPr>
                <w:b/>
                <w:bCs/>
                <w:sz w:val="20"/>
                <w:szCs w:val="20"/>
              </w:rPr>
            </w:pPr>
            <w:r w:rsidRPr="002C4F7C">
              <w:rPr>
                <w:b/>
                <w:bCs/>
                <w:sz w:val="20"/>
                <w:szCs w:val="20"/>
              </w:rPr>
              <w:t>2</w:t>
            </w:r>
          </w:p>
        </w:tc>
        <w:tc>
          <w:tcPr>
            <w:tcW w:w="522" w:type="dxa"/>
            <w:shd w:val="clear" w:color="auto" w:fill="E8E8E8"/>
          </w:tcPr>
          <w:p w:rsidR="00AF0FDB" w:rsidRPr="002C4F7C" w:rsidRDefault="00AF0FDB" w:rsidP="002C4F7C">
            <w:pPr>
              <w:spacing w:after="0" w:line="240" w:lineRule="auto"/>
              <w:jc w:val="center"/>
              <w:rPr>
                <w:b/>
                <w:bCs/>
                <w:sz w:val="20"/>
                <w:szCs w:val="20"/>
              </w:rPr>
            </w:pPr>
            <w:r w:rsidRPr="002C4F7C">
              <w:rPr>
                <w:b/>
                <w:bCs/>
                <w:sz w:val="20"/>
                <w:szCs w:val="20"/>
              </w:rPr>
              <w:t>3</w:t>
            </w:r>
          </w:p>
        </w:tc>
        <w:tc>
          <w:tcPr>
            <w:tcW w:w="567" w:type="dxa"/>
          </w:tcPr>
          <w:p w:rsidR="00AF0FDB" w:rsidRPr="002C4F7C" w:rsidRDefault="00AF0FDB" w:rsidP="002C4F7C">
            <w:pPr>
              <w:spacing w:after="0" w:line="240" w:lineRule="auto"/>
              <w:jc w:val="center"/>
              <w:rPr>
                <w:sz w:val="20"/>
                <w:szCs w:val="20"/>
              </w:rPr>
            </w:pPr>
            <w:r w:rsidRPr="002C4F7C">
              <w:rPr>
                <w:b/>
                <w:bCs/>
                <w:sz w:val="20"/>
                <w:szCs w:val="20"/>
              </w:rPr>
              <w:t>4</w:t>
            </w:r>
          </w:p>
        </w:tc>
        <w:tc>
          <w:tcPr>
            <w:tcW w:w="612" w:type="dxa"/>
            <w:vMerge/>
            <w:shd w:val="clear" w:color="auto" w:fill="E8E8E8"/>
          </w:tcPr>
          <w:p w:rsidR="00AF0FDB" w:rsidRPr="002C4F7C" w:rsidRDefault="00AF0FDB" w:rsidP="002C4F7C">
            <w:pPr>
              <w:snapToGrid w:val="0"/>
              <w:spacing w:after="0" w:line="240" w:lineRule="auto"/>
              <w:jc w:val="center"/>
              <w:rPr>
                <w:sz w:val="20"/>
                <w:szCs w:val="20"/>
              </w:rPr>
            </w:pPr>
          </w:p>
        </w:tc>
        <w:tc>
          <w:tcPr>
            <w:tcW w:w="567" w:type="dxa"/>
            <w:vMerge/>
          </w:tcPr>
          <w:p w:rsidR="00AF0FDB" w:rsidRPr="002C4F7C" w:rsidRDefault="00AF0FDB" w:rsidP="002C4F7C">
            <w:pPr>
              <w:snapToGrid w:val="0"/>
              <w:spacing w:after="0" w:line="240" w:lineRule="auto"/>
              <w:jc w:val="center"/>
              <w:rPr>
                <w:sz w:val="20"/>
                <w:szCs w:val="20"/>
              </w:rPr>
            </w:pPr>
          </w:p>
        </w:tc>
        <w:tc>
          <w:tcPr>
            <w:tcW w:w="567" w:type="dxa"/>
            <w:vMerge/>
            <w:shd w:val="clear" w:color="auto" w:fill="E8E8E8"/>
          </w:tcPr>
          <w:p w:rsidR="00AF0FDB" w:rsidRPr="002C4F7C" w:rsidRDefault="00AF0FDB" w:rsidP="002C4F7C">
            <w:pPr>
              <w:snapToGrid w:val="0"/>
              <w:spacing w:after="0" w:line="240" w:lineRule="auto"/>
              <w:jc w:val="center"/>
              <w:rPr>
                <w:sz w:val="20"/>
                <w:szCs w:val="20"/>
              </w:rPr>
            </w:pPr>
          </w:p>
        </w:tc>
        <w:tc>
          <w:tcPr>
            <w:tcW w:w="1661" w:type="dxa"/>
            <w:vMerge/>
          </w:tcPr>
          <w:p w:rsidR="00AF0FDB" w:rsidRPr="002C4F7C" w:rsidRDefault="00AF0FDB" w:rsidP="002C4F7C">
            <w:pPr>
              <w:snapToGrid w:val="0"/>
              <w:spacing w:after="0" w:line="240" w:lineRule="auto"/>
              <w:jc w:val="center"/>
              <w:rPr>
                <w:sz w:val="20"/>
                <w:szCs w:val="20"/>
              </w:rPr>
            </w:pPr>
          </w:p>
        </w:tc>
      </w:tr>
      <w:tr w:rsidR="00AF0FDB" w:rsidRPr="008739E3">
        <w:trPr>
          <w:trHeight w:val="435"/>
        </w:trPr>
        <w:tc>
          <w:tcPr>
            <w:tcW w:w="0" w:type="auto"/>
            <w:shd w:val="clear" w:color="auto" w:fill="E8E8E8"/>
          </w:tcPr>
          <w:p w:rsidR="00AF0FDB" w:rsidRPr="002C4F7C" w:rsidRDefault="00AF0FDB" w:rsidP="002C4F7C">
            <w:pPr>
              <w:shd w:val="clear" w:color="auto" w:fill="DDDDDD"/>
              <w:spacing w:after="0" w:line="240" w:lineRule="auto"/>
              <w:jc w:val="center"/>
              <w:rPr>
                <w:sz w:val="20"/>
                <w:szCs w:val="20"/>
              </w:rPr>
            </w:pPr>
            <w:r w:rsidRPr="002C4F7C">
              <w:rPr>
                <w:b/>
                <w:bCs/>
                <w:sz w:val="20"/>
                <w:szCs w:val="20"/>
              </w:rPr>
              <w:t>0-19</w:t>
            </w:r>
          </w:p>
        </w:tc>
        <w:tc>
          <w:tcPr>
            <w:tcW w:w="502" w:type="dxa"/>
            <w:shd w:val="clear" w:color="auto" w:fill="E8E8E8"/>
          </w:tcPr>
          <w:p w:rsidR="00AF0FDB" w:rsidRPr="002C4F7C" w:rsidRDefault="00AF0FDB" w:rsidP="002C4F7C">
            <w:pPr>
              <w:snapToGrid w:val="0"/>
              <w:jc w:val="center"/>
              <w:rPr>
                <w:sz w:val="20"/>
                <w:szCs w:val="20"/>
              </w:rPr>
            </w:pPr>
            <w:r w:rsidRPr="002C4F7C">
              <w:rPr>
                <w:sz w:val="20"/>
                <w:szCs w:val="20"/>
              </w:rPr>
              <w:t>30</w:t>
            </w:r>
          </w:p>
        </w:tc>
        <w:tc>
          <w:tcPr>
            <w:tcW w:w="473" w:type="dxa"/>
            <w:shd w:val="clear" w:color="auto" w:fill="E8E8E8"/>
          </w:tcPr>
          <w:p w:rsidR="00AF0FDB" w:rsidRPr="002C4F7C" w:rsidRDefault="00AF0FDB" w:rsidP="002C4F7C">
            <w:pPr>
              <w:snapToGrid w:val="0"/>
              <w:jc w:val="center"/>
              <w:rPr>
                <w:sz w:val="20"/>
                <w:szCs w:val="20"/>
              </w:rPr>
            </w:pPr>
            <w:r w:rsidRPr="002C4F7C">
              <w:rPr>
                <w:sz w:val="20"/>
                <w:szCs w:val="20"/>
              </w:rPr>
              <w:t>27</w:t>
            </w:r>
          </w:p>
        </w:tc>
        <w:tc>
          <w:tcPr>
            <w:tcW w:w="525" w:type="dxa"/>
            <w:shd w:val="clear" w:color="auto" w:fill="E8E8E8"/>
          </w:tcPr>
          <w:p w:rsidR="00AF0FDB" w:rsidRPr="002C4F7C" w:rsidRDefault="00AF0FDB" w:rsidP="002C4F7C">
            <w:pPr>
              <w:snapToGrid w:val="0"/>
              <w:jc w:val="center"/>
              <w:rPr>
                <w:sz w:val="20"/>
                <w:szCs w:val="20"/>
              </w:rPr>
            </w:pPr>
            <w:r w:rsidRPr="002C4F7C">
              <w:rPr>
                <w:sz w:val="20"/>
                <w:szCs w:val="20"/>
              </w:rPr>
              <w:t>39</w:t>
            </w:r>
          </w:p>
        </w:tc>
        <w:tc>
          <w:tcPr>
            <w:tcW w:w="534" w:type="dxa"/>
            <w:shd w:val="clear" w:color="auto" w:fill="E8E8E8"/>
          </w:tcPr>
          <w:p w:rsidR="00AF0FDB" w:rsidRPr="002C4F7C" w:rsidRDefault="00AF0FDB" w:rsidP="002C4F7C">
            <w:pPr>
              <w:snapToGrid w:val="0"/>
              <w:jc w:val="center"/>
              <w:rPr>
                <w:sz w:val="20"/>
                <w:szCs w:val="20"/>
              </w:rPr>
            </w:pPr>
            <w:r w:rsidRPr="002C4F7C">
              <w:rPr>
                <w:sz w:val="20"/>
                <w:szCs w:val="20"/>
              </w:rPr>
              <w:t>18</w:t>
            </w:r>
          </w:p>
        </w:tc>
        <w:tc>
          <w:tcPr>
            <w:tcW w:w="1053" w:type="dxa"/>
            <w:shd w:val="clear" w:color="auto" w:fill="E8E8E8"/>
          </w:tcPr>
          <w:p w:rsidR="00AF0FDB" w:rsidRPr="002C4F7C" w:rsidRDefault="00AF0FDB" w:rsidP="002C4F7C">
            <w:pPr>
              <w:snapToGrid w:val="0"/>
              <w:jc w:val="center"/>
              <w:rPr>
                <w:sz w:val="20"/>
                <w:szCs w:val="20"/>
              </w:rPr>
            </w:pPr>
            <w:r w:rsidRPr="002C4F7C">
              <w:rPr>
                <w:sz w:val="20"/>
                <w:szCs w:val="20"/>
              </w:rPr>
              <w:t>47</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2</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1</w:t>
            </w:r>
          </w:p>
        </w:tc>
        <w:tc>
          <w:tcPr>
            <w:tcW w:w="522" w:type="dxa"/>
            <w:shd w:val="clear" w:color="auto" w:fill="E8E8E8"/>
          </w:tcPr>
          <w:p w:rsidR="00AF0FDB" w:rsidRPr="002C4F7C" w:rsidRDefault="00AF0FDB" w:rsidP="002C4F7C">
            <w:pPr>
              <w:snapToGrid w:val="0"/>
              <w:jc w:val="center"/>
              <w:rPr>
                <w:sz w:val="20"/>
                <w:szCs w:val="20"/>
              </w:rPr>
            </w:pPr>
            <w:r w:rsidRPr="002C4F7C">
              <w:rPr>
                <w:sz w:val="20"/>
                <w:szCs w:val="20"/>
              </w:rPr>
              <w:t>4</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1</w:t>
            </w:r>
          </w:p>
        </w:tc>
        <w:tc>
          <w:tcPr>
            <w:tcW w:w="612" w:type="dxa"/>
            <w:shd w:val="clear" w:color="auto" w:fill="E8E8E8"/>
          </w:tcPr>
          <w:p w:rsidR="00AF0FDB" w:rsidRPr="002C4F7C" w:rsidRDefault="00AF0FDB" w:rsidP="002C4F7C">
            <w:pPr>
              <w:snapToGrid w:val="0"/>
              <w:jc w:val="center"/>
              <w:rPr>
                <w:sz w:val="20"/>
                <w:szCs w:val="20"/>
              </w:rPr>
            </w:pPr>
            <w:r w:rsidRPr="002C4F7C">
              <w:rPr>
                <w:sz w:val="20"/>
                <w:szCs w:val="20"/>
              </w:rPr>
              <w:t>39</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8</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0</w:t>
            </w:r>
          </w:p>
        </w:tc>
        <w:tc>
          <w:tcPr>
            <w:tcW w:w="1661" w:type="dxa"/>
            <w:shd w:val="clear" w:color="auto" w:fill="E8E8E8"/>
          </w:tcPr>
          <w:p w:rsidR="00AF0FDB" w:rsidRPr="002C4F7C" w:rsidRDefault="00AF0FDB" w:rsidP="002C4F7C">
            <w:pPr>
              <w:snapToGrid w:val="0"/>
              <w:spacing w:after="0" w:line="240" w:lineRule="auto"/>
              <w:rPr>
                <w:sz w:val="20"/>
                <w:szCs w:val="20"/>
              </w:rPr>
            </w:pPr>
            <w:r w:rsidRPr="002C4F7C">
              <w:rPr>
                <w:sz w:val="20"/>
                <w:szCs w:val="20"/>
              </w:rPr>
              <w:t xml:space="preserve">3 szczury, po 1 - dzik, jeż, koń, mysz, nietoperz, wiewiórka, świnia </w:t>
            </w:r>
          </w:p>
        </w:tc>
      </w:tr>
      <w:tr w:rsidR="00AF0FDB" w:rsidRPr="008739E3">
        <w:trPr>
          <w:trHeight w:val="427"/>
        </w:trPr>
        <w:tc>
          <w:tcPr>
            <w:tcW w:w="0" w:type="auto"/>
            <w:shd w:val="clear" w:color="auto" w:fill="E8E8E8"/>
          </w:tcPr>
          <w:p w:rsidR="00AF0FDB" w:rsidRPr="002C4F7C" w:rsidRDefault="00AF0FDB" w:rsidP="002C4F7C">
            <w:pPr>
              <w:shd w:val="clear" w:color="auto" w:fill="DDDDDD"/>
              <w:spacing w:after="0" w:line="240" w:lineRule="auto"/>
              <w:jc w:val="center"/>
              <w:rPr>
                <w:sz w:val="20"/>
                <w:szCs w:val="20"/>
              </w:rPr>
            </w:pPr>
            <w:r w:rsidRPr="002C4F7C">
              <w:rPr>
                <w:b/>
                <w:bCs/>
                <w:sz w:val="20"/>
                <w:szCs w:val="20"/>
              </w:rPr>
              <w:t>≥20</w:t>
            </w:r>
          </w:p>
        </w:tc>
        <w:tc>
          <w:tcPr>
            <w:tcW w:w="502" w:type="dxa"/>
          </w:tcPr>
          <w:p w:rsidR="00AF0FDB" w:rsidRPr="002C4F7C" w:rsidRDefault="00AF0FDB" w:rsidP="002C4F7C">
            <w:pPr>
              <w:snapToGrid w:val="0"/>
              <w:jc w:val="center"/>
              <w:rPr>
                <w:sz w:val="20"/>
                <w:szCs w:val="20"/>
              </w:rPr>
            </w:pPr>
            <w:r w:rsidRPr="002C4F7C">
              <w:rPr>
                <w:sz w:val="20"/>
                <w:szCs w:val="20"/>
              </w:rPr>
              <w:t>47</w:t>
            </w:r>
          </w:p>
        </w:tc>
        <w:tc>
          <w:tcPr>
            <w:tcW w:w="473" w:type="dxa"/>
            <w:shd w:val="clear" w:color="auto" w:fill="E8E8E8"/>
          </w:tcPr>
          <w:p w:rsidR="00AF0FDB" w:rsidRPr="002C4F7C" w:rsidRDefault="00AF0FDB" w:rsidP="002C4F7C">
            <w:pPr>
              <w:snapToGrid w:val="0"/>
              <w:jc w:val="center"/>
              <w:rPr>
                <w:sz w:val="20"/>
                <w:szCs w:val="20"/>
              </w:rPr>
            </w:pPr>
            <w:r w:rsidRPr="002C4F7C">
              <w:rPr>
                <w:sz w:val="20"/>
                <w:szCs w:val="20"/>
              </w:rPr>
              <w:t>51</w:t>
            </w:r>
          </w:p>
        </w:tc>
        <w:tc>
          <w:tcPr>
            <w:tcW w:w="525" w:type="dxa"/>
          </w:tcPr>
          <w:p w:rsidR="00AF0FDB" w:rsidRPr="002C4F7C" w:rsidRDefault="00AF0FDB" w:rsidP="002C4F7C">
            <w:pPr>
              <w:snapToGrid w:val="0"/>
              <w:jc w:val="center"/>
              <w:rPr>
                <w:sz w:val="20"/>
                <w:szCs w:val="20"/>
              </w:rPr>
            </w:pPr>
            <w:r w:rsidRPr="002C4F7C">
              <w:rPr>
                <w:sz w:val="20"/>
                <w:szCs w:val="20"/>
              </w:rPr>
              <w:t>61</w:t>
            </w:r>
          </w:p>
        </w:tc>
        <w:tc>
          <w:tcPr>
            <w:tcW w:w="534" w:type="dxa"/>
            <w:shd w:val="clear" w:color="auto" w:fill="E8E8E8"/>
          </w:tcPr>
          <w:p w:rsidR="00AF0FDB" w:rsidRPr="002C4F7C" w:rsidRDefault="00AF0FDB" w:rsidP="002C4F7C">
            <w:pPr>
              <w:snapToGrid w:val="0"/>
              <w:jc w:val="center"/>
              <w:rPr>
                <w:sz w:val="20"/>
                <w:szCs w:val="20"/>
              </w:rPr>
            </w:pPr>
            <w:r w:rsidRPr="002C4F7C">
              <w:rPr>
                <w:sz w:val="20"/>
                <w:szCs w:val="20"/>
              </w:rPr>
              <w:t>37</w:t>
            </w:r>
          </w:p>
        </w:tc>
        <w:tc>
          <w:tcPr>
            <w:tcW w:w="1053" w:type="dxa"/>
          </w:tcPr>
          <w:p w:rsidR="00AF0FDB" w:rsidRPr="002C4F7C" w:rsidRDefault="00AF0FDB" w:rsidP="002C4F7C">
            <w:pPr>
              <w:snapToGrid w:val="0"/>
              <w:jc w:val="center"/>
              <w:rPr>
                <w:sz w:val="20"/>
                <w:szCs w:val="20"/>
                <w:vertAlign w:val="superscript"/>
              </w:rPr>
            </w:pPr>
            <w:r w:rsidRPr="002C4F7C">
              <w:rPr>
                <w:sz w:val="20"/>
                <w:szCs w:val="20"/>
              </w:rPr>
              <w:t>82</w:t>
            </w:r>
            <w:r w:rsidRPr="002C4F7C">
              <w:rPr>
                <w:sz w:val="20"/>
                <w:szCs w:val="20"/>
                <w:vertAlign w:val="superscript"/>
              </w:rPr>
              <w:t>*</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4</w:t>
            </w:r>
          </w:p>
        </w:tc>
        <w:tc>
          <w:tcPr>
            <w:tcW w:w="567" w:type="dxa"/>
          </w:tcPr>
          <w:p w:rsidR="00AF0FDB" w:rsidRPr="002C4F7C" w:rsidRDefault="00AF0FDB" w:rsidP="002C4F7C">
            <w:pPr>
              <w:snapToGrid w:val="0"/>
              <w:jc w:val="center"/>
              <w:rPr>
                <w:sz w:val="20"/>
                <w:szCs w:val="20"/>
              </w:rPr>
            </w:pPr>
            <w:r w:rsidRPr="002C4F7C">
              <w:rPr>
                <w:sz w:val="20"/>
                <w:szCs w:val="20"/>
              </w:rPr>
              <w:t>2</w:t>
            </w:r>
          </w:p>
        </w:tc>
        <w:tc>
          <w:tcPr>
            <w:tcW w:w="522" w:type="dxa"/>
            <w:shd w:val="clear" w:color="auto" w:fill="E8E8E8"/>
          </w:tcPr>
          <w:p w:rsidR="00AF0FDB" w:rsidRPr="002C4F7C" w:rsidRDefault="00AF0FDB" w:rsidP="002C4F7C">
            <w:pPr>
              <w:snapToGrid w:val="0"/>
              <w:jc w:val="center"/>
              <w:rPr>
                <w:sz w:val="20"/>
                <w:szCs w:val="20"/>
              </w:rPr>
            </w:pPr>
            <w:r w:rsidRPr="002C4F7C">
              <w:rPr>
                <w:sz w:val="20"/>
                <w:szCs w:val="20"/>
              </w:rPr>
              <w:t>2</w:t>
            </w:r>
          </w:p>
        </w:tc>
        <w:tc>
          <w:tcPr>
            <w:tcW w:w="567" w:type="dxa"/>
          </w:tcPr>
          <w:p w:rsidR="00AF0FDB" w:rsidRPr="002C4F7C" w:rsidRDefault="00AF0FDB" w:rsidP="002C4F7C">
            <w:pPr>
              <w:snapToGrid w:val="0"/>
              <w:jc w:val="center"/>
              <w:rPr>
                <w:sz w:val="20"/>
                <w:szCs w:val="20"/>
                <w:vertAlign w:val="superscript"/>
              </w:rPr>
            </w:pPr>
            <w:r w:rsidRPr="002C4F7C">
              <w:rPr>
                <w:sz w:val="20"/>
                <w:szCs w:val="20"/>
              </w:rPr>
              <w:t>8</w:t>
            </w:r>
            <w:r w:rsidRPr="002C4F7C">
              <w:rPr>
                <w:sz w:val="20"/>
                <w:szCs w:val="20"/>
                <w:vertAlign w:val="superscript"/>
              </w:rPr>
              <w:t>**</w:t>
            </w:r>
          </w:p>
        </w:tc>
        <w:tc>
          <w:tcPr>
            <w:tcW w:w="612" w:type="dxa"/>
            <w:shd w:val="clear" w:color="auto" w:fill="E8E8E8"/>
          </w:tcPr>
          <w:p w:rsidR="00AF0FDB" w:rsidRPr="002C4F7C" w:rsidRDefault="00AF0FDB" w:rsidP="002C4F7C">
            <w:pPr>
              <w:snapToGrid w:val="0"/>
              <w:jc w:val="center"/>
              <w:rPr>
                <w:sz w:val="20"/>
                <w:szCs w:val="20"/>
              </w:rPr>
            </w:pPr>
            <w:r w:rsidRPr="002C4F7C">
              <w:rPr>
                <w:sz w:val="20"/>
                <w:szCs w:val="20"/>
              </w:rPr>
              <w:t>53</w:t>
            </w:r>
          </w:p>
        </w:tc>
        <w:tc>
          <w:tcPr>
            <w:tcW w:w="567" w:type="dxa"/>
          </w:tcPr>
          <w:p w:rsidR="00AF0FDB" w:rsidRPr="002C4F7C" w:rsidRDefault="00AF0FDB" w:rsidP="002C4F7C">
            <w:pPr>
              <w:snapToGrid w:val="0"/>
              <w:jc w:val="center"/>
              <w:rPr>
                <w:sz w:val="20"/>
                <w:szCs w:val="20"/>
              </w:rPr>
            </w:pPr>
            <w:r w:rsidRPr="002C4F7C">
              <w:rPr>
                <w:sz w:val="20"/>
                <w:szCs w:val="20"/>
              </w:rPr>
              <w:t>39</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0</w:t>
            </w:r>
          </w:p>
        </w:tc>
        <w:tc>
          <w:tcPr>
            <w:tcW w:w="1661" w:type="dxa"/>
          </w:tcPr>
          <w:p w:rsidR="00AF0FDB" w:rsidRPr="002C4F7C" w:rsidRDefault="00AF0FDB" w:rsidP="002C4F7C">
            <w:pPr>
              <w:snapToGrid w:val="0"/>
              <w:spacing w:after="0" w:line="240" w:lineRule="auto"/>
              <w:rPr>
                <w:sz w:val="20"/>
                <w:szCs w:val="20"/>
              </w:rPr>
            </w:pPr>
            <w:r w:rsidRPr="002C4F7C">
              <w:rPr>
                <w:sz w:val="20"/>
                <w:szCs w:val="20"/>
              </w:rPr>
              <w:t>po 1 - dzik, kuna, królik, szczur, mysz,  nietoperz</w:t>
            </w:r>
          </w:p>
        </w:tc>
      </w:tr>
      <w:tr w:rsidR="00AF0FDB" w:rsidRPr="008739E3">
        <w:trPr>
          <w:trHeight w:hRule="exact" w:val="536"/>
        </w:trPr>
        <w:tc>
          <w:tcPr>
            <w:tcW w:w="0" w:type="auto"/>
            <w:shd w:val="clear" w:color="auto" w:fill="E8E8E8"/>
          </w:tcPr>
          <w:p w:rsidR="00AF0FDB" w:rsidRPr="002C4F7C" w:rsidRDefault="00AF0FDB" w:rsidP="002C4F7C">
            <w:pPr>
              <w:shd w:val="clear" w:color="auto" w:fill="DDDDDD"/>
              <w:spacing w:after="0" w:line="240" w:lineRule="auto"/>
              <w:jc w:val="right"/>
              <w:rPr>
                <w:sz w:val="20"/>
                <w:szCs w:val="20"/>
              </w:rPr>
            </w:pPr>
            <w:r w:rsidRPr="002C4F7C">
              <w:rPr>
                <w:sz w:val="20"/>
                <w:szCs w:val="20"/>
              </w:rPr>
              <w:t>SUMA</w:t>
            </w:r>
          </w:p>
        </w:tc>
        <w:tc>
          <w:tcPr>
            <w:tcW w:w="502" w:type="dxa"/>
            <w:shd w:val="clear" w:color="auto" w:fill="E8E8E8"/>
          </w:tcPr>
          <w:p w:rsidR="00AF0FDB" w:rsidRPr="002C4F7C" w:rsidRDefault="00AF0FDB" w:rsidP="002C4F7C">
            <w:pPr>
              <w:snapToGrid w:val="0"/>
              <w:jc w:val="center"/>
              <w:rPr>
                <w:sz w:val="20"/>
                <w:szCs w:val="20"/>
              </w:rPr>
            </w:pPr>
            <w:r w:rsidRPr="002C4F7C">
              <w:rPr>
                <w:sz w:val="20"/>
                <w:szCs w:val="20"/>
              </w:rPr>
              <w:t>77</w:t>
            </w:r>
          </w:p>
        </w:tc>
        <w:tc>
          <w:tcPr>
            <w:tcW w:w="473" w:type="dxa"/>
            <w:shd w:val="clear" w:color="auto" w:fill="E8E8E8"/>
          </w:tcPr>
          <w:p w:rsidR="00AF0FDB" w:rsidRPr="002C4F7C" w:rsidRDefault="00AF0FDB" w:rsidP="002C4F7C">
            <w:pPr>
              <w:snapToGrid w:val="0"/>
              <w:jc w:val="center"/>
              <w:rPr>
                <w:sz w:val="20"/>
                <w:szCs w:val="20"/>
              </w:rPr>
            </w:pPr>
            <w:r w:rsidRPr="002C4F7C">
              <w:rPr>
                <w:sz w:val="20"/>
                <w:szCs w:val="20"/>
              </w:rPr>
              <w:t>78</w:t>
            </w:r>
          </w:p>
        </w:tc>
        <w:tc>
          <w:tcPr>
            <w:tcW w:w="525" w:type="dxa"/>
            <w:shd w:val="clear" w:color="auto" w:fill="E8E8E8"/>
          </w:tcPr>
          <w:p w:rsidR="00AF0FDB" w:rsidRPr="002C4F7C" w:rsidRDefault="00AF0FDB" w:rsidP="002C4F7C">
            <w:pPr>
              <w:snapToGrid w:val="0"/>
              <w:jc w:val="center"/>
              <w:rPr>
                <w:sz w:val="20"/>
                <w:szCs w:val="20"/>
              </w:rPr>
            </w:pPr>
            <w:r w:rsidRPr="002C4F7C">
              <w:rPr>
                <w:sz w:val="20"/>
                <w:szCs w:val="20"/>
              </w:rPr>
              <w:t>100</w:t>
            </w:r>
          </w:p>
        </w:tc>
        <w:tc>
          <w:tcPr>
            <w:tcW w:w="534" w:type="dxa"/>
            <w:shd w:val="clear" w:color="auto" w:fill="E8E8E8"/>
          </w:tcPr>
          <w:p w:rsidR="00AF0FDB" w:rsidRPr="002C4F7C" w:rsidRDefault="00AF0FDB" w:rsidP="002C4F7C">
            <w:pPr>
              <w:snapToGrid w:val="0"/>
              <w:jc w:val="center"/>
              <w:rPr>
                <w:sz w:val="20"/>
                <w:szCs w:val="20"/>
              </w:rPr>
            </w:pPr>
            <w:r w:rsidRPr="002C4F7C">
              <w:rPr>
                <w:sz w:val="20"/>
                <w:szCs w:val="20"/>
              </w:rPr>
              <w:t>55</w:t>
            </w:r>
          </w:p>
        </w:tc>
        <w:tc>
          <w:tcPr>
            <w:tcW w:w="1053" w:type="dxa"/>
            <w:shd w:val="clear" w:color="auto" w:fill="E8E8E8"/>
          </w:tcPr>
          <w:p w:rsidR="00AF0FDB" w:rsidRPr="002C4F7C" w:rsidRDefault="00AF0FDB" w:rsidP="002C4F7C">
            <w:pPr>
              <w:snapToGrid w:val="0"/>
              <w:jc w:val="center"/>
              <w:rPr>
                <w:sz w:val="20"/>
                <w:szCs w:val="20"/>
              </w:rPr>
            </w:pPr>
            <w:r w:rsidRPr="002C4F7C">
              <w:rPr>
                <w:sz w:val="20"/>
                <w:szCs w:val="20"/>
              </w:rPr>
              <w:t>129</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6</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3</w:t>
            </w:r>
          </w:p>
        </w:tc>
        <w:tc>
          <w:tcPr>
            <w:tcW w:w="522" w:type="dxa"/>
            <w:shd w:val="clear" w:color="auto" w:fill="E8E8E8"/>
          </w:tcPr>
          <w:p w:rsidR="00AF0FDB" w:rsidRPr="002C4F7C" w:rsidRDefault="00AF0FDB" w:rsidP="002C4F7C">
            <w:pPr>
              <w:snapToGrid w:val="0"/>
              <w:jc w:val="center"/>
              <w:rPr>
                <w:sz w:val="20"/>
                <w:szCs w:val="20"/>
              </w:rPr>
            </w:pPr>
            <w:r w:rsidRPr="002C4F7C">
              <w:rPr>
                <w:sz w:val="20"/>
                <w:szCs w:val="20"/>
              </w:rPr>
              <w:t>6</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9</w:t>
            </w:r>
          </w:p>
        </w:tc>
        <w:tc>
          <w:tcPr>
            <w:tcW w:w="612" w:type="dxa"/>
            <w:shd w:val="clear" w:color="auto" w:fill="E8E8E8"/>
          </w:tcPr>
          <w:p w:rsidR="00AF0FDB" w:rsidRPr="002C4F7C" w:rsidRDefault="00AF0FDB" w:rsidP="002C4F7C">
            <w:pPr>
              <w:snapToGrid w:val="0"/>
              <w:jc w:val="center"/>
              <w:rPr>
                <w:sz w:val="20"/>
                <w:szCs w:val="20"/>
              </w:rPr>
            </w:pPr>
            <w:r w:rsidRPr="002C4F7C">
              <w:rPr>
                <w:sz w:val="20"/>
                <w:szCs w:val="20"/>
              </w:rPr>
              <w:t>92</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47</w:t>
            </w:r>
          </w:p>
        </w:tc>
        <w:tc>
          <w:tcPr>
            <w:tcW w:w="567" w:type="dxa"/>
            <w:shd w:val="clear" w:color="auto" w:fill="E8E8E8"/>
          </w:tcPr>
          <w:p w:rsidR="00AF0FDB" w:rsidRPr="002C4F7C" w:rsidRDefault="00AF0FDB" w:rsidP="002C4F7C">
            <w:pPr>
              <w:snapToGrid w:val="0"/>
              <w:jc w:val="center"/>
              <w:rPr>
                <w:sz w:val="20"/>
                <w:szCs w:val="20"/>
              </w:rPr>
            </w:pPr>
            <w:r w:rsidRPr="002C4F7C">
              <w:rPr>
                <w:sz w:val="20"/>
                <w:szCs w:val="20"/>
              </w:rPr>
              <w:t>0</w:t>
            </w:r>
          </w:p>
        </w:tc>
        <w:tc>
          <w:tcPr>
            <w:tcW w:w="1661" w:type="dxa"/>
            <w:shd w:val="clear" w:color="auto" w:fill="E8E8E8"/>
          </w:tcPr>
          <w:p w:rsidR="00AF0FDB" w:rsidRPr="002C4F7C" w:rsidRDefault="00AF0FDB" w:rsidP="002C4F7C">
            <w:pPr>
              <w:snapToGrid w:val="0"/>
              <w:jc w:val="center"/>
              <w:rPr>
                <w:sz w:val="20"/>
                <w:szCs w:val="20"/>
              </w:rPr>
            </w:pPr>
            <w:r w:rsidRPr="002C4F7C">
              <w:rPr>
                <w:sz w:val="20"/>
                <w:szCs w:val="20"/>
              </w:rPr>
              <w:t>16</w:t>
            </w:r>
          </w:p>
        </w:tc>
      </w:tr>
      <w:tr w:rsidR="00AF0FDB" w:rsidRPr="008739E3">
        <w:trPr>
          <w:trHeight w:hRule="exact" w:val="572"/>
        </w:trPr>
        <w:tc>
          <w:tcPr>
            <w:tcW w:w="0" w:type="auto"/>
            <w:shd w:val="clear" w:color="auto" w:fill="E8E8E8"/>
          </w:tcPr>
          <w:p w:rsidR="00AF0FDB" w:rsidRPr="002C4F7C" w:rsidRDefault="00AF0FDB" w:rsidP="002C4F7C">
            <w:pPr>
              <w:shd w:val="clear" w:color="auto" w:fill="DDDDDD"/>
              <w:spacing w:after="0" w:line="240" w:lineRule="auto"/>
              <w:jc w:val="center"/>
              <w:rPr>
                <w:sz w:val="20"/>
                <w:szCs w:val="20"/>
              </w:rPr>
            </w:pPr>
            <w:r w:rsidRPr="002C4F7C">
              <w:rPr>
                <w:b/>
                <w:bCs/>
                <w:sz w:val="20"/>
                <w:szCs w:val="20"/>
              </w:rPr>
              <w:t>Razem</w:t>
            </w:r>
          </w:p>
        </w:tc>
        <w:tc>
          <w:tcPr>
            <w:tcW w:w="975" w:type="dxa"/>
            <w:gridSpan w:val="2"/>
          </w:tcPr>
          <w:p w:rsidR="00AF0FDB" w:rsidRPr="002C4F7C" w:rsidRDefault="00AF0FDB" w:rsidP="002C4F7C">
            <w:pPr>
              <w:snapToGrid w:val="0"/>
              <w:jc w:val="center"/>
              <w:rPr>
                <w:sz w:val="20"/>
                <w:szCs w:val="20"/>
              </w:rPr>
            </w:pPr>
            <w:r w:rsidRPr="002C4F7C">
              <w:rPr>
                <w:sz w:val="20"/>
                <w:szCs w:val="20"/>
              </w:rPr>
              <w:t>155</w:t>
            </w:r>
          </w:p>
        </w:tc>
        <w:tc>
          <w:tcPr>
            <w:tcW w:w="1059" w:type="dxa"/>
            <w:gridSpan w:val="2"/>
            <w:shd w:val="clear" w:color="auto" w:fill="E8E8E8"/>
          </w:tcPr>
          <w:p w:rsidR="00AF0FDB" w:rsidRPr="002C4F7C" w:rsidRDefault="00AF0FDB" w:rsidP="002C4F7C">
            <w:pPr>
              <w:snapToGrid w:val="0"/>
              <w:jc w:val="center"/>
              <w:rPr>
                <w:sz w:val="20"/>
                <w:szCs w:val="20"/>
              </w:rPr>
            </w:pPr>
            <w:r w:rsidRPr="002C4F7C">
              <w:rPr>
                <w:sz w:val="20"/>
                <w:szCs w:val="20"/>
              </w:rPr>
              <w:t>155</w:t>
            </w:r>
          </w:p>
        </w:tc>
        <w:tc>
          <w:tcPr>
            <w:tcW w:w="3276" w:type="dxa"/>
            <w:gridSpan w:val="5"/>
          </w:tcPr>
          <w:p w:rsidR="00AF0FDB" w:rsidRPr="002C4F7C" w:rsidRDefault="00AF0FDB" w:rsidP="002C4F7C">
            <w:pPr>
              <w:snapToGrid w:val="0"/>
              <w:jc w:val="center"/>
              <w:rPr>
                <w:sz w:val="20"/>
                <w:szCs w:val="20"/>
                <w:vertAlign w:val="superscript"/>
              </w:rPr>
            </w:pPr>
            <w:r w:rsidRPr="002C4F7C">
              <w:rPr>
                <w:sz w:val="20"/>
                <w:szCs w:val="20"/>
              </w:rPr>
              <w:t>153</w:t>
            </w:r>
            <w:r w:rsidRPr="002C4F7C">
              <w:rPr>
                <w:sz w:val="20"/>
                <w:szCs w:val="20"/>
                <w:vertAlign w:val="superscript"/>
              </w:rPr>
              <w:t>***</w:t>
            </w:r>
          </w:p>
        </w:tc>
        <w:tc>
          <w:tcPr>
            <w:tcW w:w="3407" w:type="dxa"/>
            <w:gridSpan w:val="4"/>
            <w:shd w:val="clear" w:color="auto" w:fill="E8E8E8"/>
          </w:tcPr>
          <w:p w:rsidR="00AF0FDB" w:rsidRPr="002C4F7C" w:rsidRDefault="00AF0FDB" w:rsidP="002C4F7C">
            <w:pPr>
              <w:snapToGrid w:val="0"/>
              <w:jc w:val="center"/>
              <w:rPr>
                <w:sz w:val="20"/>
                <w:szCs w:val="20"/>
              </w:rPr>
            </w:pPr>
            <w:r w:rsidRPr="002C4F7C">
              <w:rPr>
                <w:sz w:val="20"/>
                <w:szCs w:val="20"/>
              </w:rPr>
              <w:t>155</w:t>
            </w:r>
          </w:p>
        </w:tc>
      </w:tr>
    </w:tbl>
    <w:p w:rsidR="00AF0FDB" w:rsidRPr="001656C2" w:rsidRDefault="00AF0FDB" w:rsidP="00D60D85">
      <w:pPr>
        <w:spacing w:before="0" w:after="0" w:line="240" w:lineRule="auto"/>
        <w:rPr>
          <w:b/>
          <w:bCs/>
          <w:sz w:val="20"/>
          <w:szCs w:val="20"/>
        </w:rPr>
      </w:pPr>
      <w:r>
        <w:rPr>
          <w:sz w:val="20"/>
          <w:szCs w:val="20"/>
        </w:rPr>
        <w:t xml:space="preserve">*- </w:t>
      </w:r>
      <w:r w:rsidRPr="00B4792D">
        <w:rPr>
          <w:sz w:val="20"/>
          <w:szCs w:val="20"/>
        </w:rPr>
        <w:t>jedna osoba otrzymała 6 dawek szczepienia</w:t>
      </w:r>
    </w:p>
    <w:p w:rsidR="00AF0FDB" w:rsidRPr="00B4792D" w:rsidRDefault="00AF0FDB" w:rsidP="00D60D85">
      <w:pPr>
        <w:spacing w:before="0" w:after="0" w:line="240" w:lineRule="auto"/>
        <w:rPr>
          <w:sz w:val="20"/>
          <w:szCs w:val="20"/>
        </w:rPr>
      </w:pPr>
      <w:r>
        <w:rPr>
          <w:sz w:val="20"/>
          <w:szCs w:val="20"/>
          <w:vertAlign w:val="superscript"/>
        </w:rPr>
        <w:t>** -</w:t>
      </w:r>
      <w:r w:rsidRPr="00B4792D">
        <w:rPr>
          <w:sz w:val="20"/>
          <w:szCs w:val="20"/>
          <w:vertAlign w:val="superscript"/>
        </w:rPr>
        <w:t xml:space="preserve"> </w:t>
      </w:r>
      <w:r w:rsidRPr="00B4792D">
        <w:rPr>
          <w:sz w:val="20"/>
          <w:szCs w:val="20"/>
        </w:rPr>
        <w:t>osiem osób otrzymało pełen cykl szczepienia</w:t>
      </w:r>
    </w:p>
    <w:p w:rsidR="00AF0FDB" w:rsidRPr="00B4792D" w:rsidRDefault="00AF0FDB" w:rsidP="00D60D85">
      <w:pPr>
        <w:spacing w:before="0" w:after="0" w:line="240" w:lineRule="auto"/>
        <w:rPr>
          <w:sz w:val="20"/>
          <w:szCs w:val="20"/>
        </w:rPr>
      </w:pPr>
      <w:r>
        <w:rPr>
          <w:sz w:val="20"/>
          <w:szCs w:val="20"/>
          <w:vertAlign w:val="superscript"/>
        </w:rPr>
        <w:t>***</w:t>
      </w:r>
      <w:r w:rsidRPr="00B4792D">
        <w:rPr>
          <w:sz w:val="20"/>
          <w:szCs w:val="20"/>
          <w:vertAlign w:val="superscript"/>
        </w:rPr>
        <w:t xml:space="preserve">  </w:t>
      </w:r>
      <w:r>
        <w:rPr>
          <w:sz w:val="20"/>
          <w:szCs w:val="20"/>
        </w:rPr>
        <w:t>- dwie</w:t>
      </w:r>
      <w:r w:rsidRPr="00B4792D">
        <w:rPr>
          <w:sz w:val="20"/>
          <w:szCs w:val="20"/>
        </w:rPr>
        <w:t xml:space="preserve"> osoby są w trakcie szczepienia</w:t>
      </w:r>
    </w:p>
    <w:p w:rsidR="00AF0FDB" w:rsidRDefault="00AF0FDB" w:rsidP="007739BF">
      <w:pPr>
        <w:spacing w:before="0" w:after="120"/>
        <w:rPr>
          <w:rFonts w:ascii="Arial" w:hAnsi="Arial" w:cs="Arial"/>
          <w:b/>
          <w:bCs/>
          <w:sz w:val="28"/>
          <w:szCs w:val="28"/>
          <w:lang w:eastAsia="ar-SA"/>
        </w:rPr>
      </w:pPr>
    </w:p>
    <w:p w:rsidR="00AF0FDB" w:rsidRPr="001C2774" w:rsidRDefault="00AF0FDB" w:rsidP="001C2774">
      <w:pPr>
        <w:pStyle w:val="Heading1"/>
        <w:rPr>
          <w:rFonts w:ascii="Times New Roman" w:hAnsi="Times New Roman" w:cs="Times New Roman"/>
          <w:sz w:val="24"/>
          <w:szCs w:val="24"/>
          <w:lang w:eastAsia="ar-SA"/>
        </w:rPr>
      </w:pPr>
      <w:bookmarkStart w:id="332" w:name="_Toc938870"/>
      <w:r w:rsidRPr="001C2774">
        <w:rPr>
          <w:rFonts w:ascii="Times New Roman" w:hAnsi="Times New Roman" w:cs="Times New Roman"/>
          <w:sz w:val="24"/>
          <w:szCs w:val="24"/>
          <w:lang w:eastAsia="ar-SA"/>
        </w:rPr>
        <w:t>Zakażenia szpitalne</w:t>
      </w:r>
      <w:bookmarkEnd w:id="332"/>
    </w:p>
    <w:p w:rsidR="00AF0FDB" w:rsidRPr="007739BF" w:rsidRDefault="00AF0FDB" w:rsidP="00642C07">
      <w:pPr>
        <w:suppressAutoHyphens/>
        <w:jc w:val="both"/>
        <w:rPr>
          <w:lang w:eastAsia="ar-SA"/>
        </w:rPr>
      </w:pPr>
      <w:r w:rsidRPr="007739BF">
        <w:rPr>
          <w:b/>
          <w:bCs/>
          <w:lang w:eastAsia="ar-SA"/>
        </w:rPr>
        <w:t>Raporty o zakażeniach szpitalnych</w:t>
      </w:r>
      <w:r>
        <w:rPr>
          <w:b/>
          <w:bCs/>
          <w:lang w:eastAsia="ar-SA"/>
        </w:rPr>
        <w:t xml:space="preserve"> i drobnoustrojach alarmowych</w:t>
      </w:r>
    </w:p>
    <w:p w:rsidR="00AF0FDB" w:rsidRPr="002E4C65" w:rsidRDefault="00AF0FDB" w:rsidP="00A553DC">
      <w:pPr>
        <w:jc w:val="both"/>
      </w:pPr>
      <w:r w:rsidRPr="002E4C65">
        <w:t>Raporty okresowe za okres od 01.01.2017 r. do 31</w:t>
      </w:r>
      <w:r>
        <w:t xml:space="preserve">.12.2017 r. o bieżącej sytuacji </w:t>
      </w:r>
      <w:r w:rsidRPr="002E4C65">
        <w:t>epidemiologicznej otrzymano z 34 podmiotów leczniczych wykonujących działalność leczniczą w rodzaju świadczenia szpitalne oraz 3</w:t>
      </w:r>
      <w:r>
        <w:t>-ch</w:t>
      </w:r>
      <w:r w:rsidRPr="002E4C65">
        <w:t xml:space="preserve"> stacji dializ funkcjonujących jako odrębne jednostki. </w:t>
      </w:r>
    </w:p>
    <w:p w:rsidR="00AF0FDB" w:rsidRDefault="00AF0FDB" w:rsidP="00642C07">
      <w:pPr>
        <w:suppressAutoHyphens/>
        <w:ind w:left="181"/>
        <w:jc w:val="both"/>
        <w:rPr>
          <w:b/>
          <w:bCs/>
          <w:sz w:val="22"/>
          <w:szCs w:val="22"/>
          <w:lang w:eastAsia="ar-SA"/>
        </w:rPr>
      </w:pPr>
      <w:r>
        <w:rPr>
          <w:b/>
          <w:bCs/>
          <w:sz w:val="20"/>
          <w:szCs w:val="20"/>
          <w:lang w:eastAsia="ar-SA"/>
        </w:rPr>
        <w:t>Tab. 6.</w:t>
      </w:r>
      <w:r>
        <w:rPr>
          <w:sz w:val="20"/>
          <w:szCs w:val="20"/>
          <w:lang w:eastAsia="ar-SA"/>
        </w:rPr>
        <w:t xml:space="preserve">  </w:t>
      </w:r>
      <w:r w:rsidRPr="00F5750A">
        <w:rPr>
          <w:lang w:eastAsia="ar-SA"/>
        </w:rPr>
        <w:t>Raporty roczne o zakażeniach i drobnoustrojach alarmowych</w:t>
      </w:r>
      <w:r>
        <w:rPr>
          <w:sz w:val="20"/>
          <w:szCs w:val="20"/>
          <w:lang w:eastAsia="ar-SA"/>
        </w:rPr>
        <w:t xml:space="preserve"> za 2017 r.</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A0"/>
      </w:tblPr>
      <w:tblGrid>
        <w:gridCol w:w="2854"/>
        <w:gridCol w:w="2855"/>
        <w:gridCol w:w="2955"/>
      </w:tblGrid>
      <w:tr w:rsidR="00AF0FDB">
        <w:tc>
          <w:tcPr>
            <w:tcW w:w="2854" w:type="dxa"/>
            <w:tcBorders>
              <w:bottom w:val="single" w:sz="18" w:space="0" w:color="A5A5A5"/>
            </w:tcBorders>
          </w:tcPr>
          <w:p w:rsidR="00AF0FDB" w:rsidRPr="002C4F7C" w:rsidRDefault="00AF0FDB" w:rsidP="002C4F7C">
            <w:pPr>
              <w:tabs>
                <w:tab w:val="left" w:pos="0"/>
              </w:tabs>
              <w:suppressAutoHyphens/>
              <w:jc w:val="center"/>
              <w:rPr>
                <w:b/>
                <w:bCs/>
                <w:sz w:val="20"/>
                <w:szCs w:val="20"/>
                <w:lang w:eastAsia="ar-SA"/>
              </w:rPr>
            </w:pPr>
            <w:r w:rsidRPr="002C4F7C">
              <w:rPr>
                <w:b/>
                <w:bCs/>
                <w:sz w:val="20"/>
                <w:szCs w:val="20"/>
                <w:lang w:eastAsia="ar-SA"/>
              </w:rPr>
              <w:t>Liczba placówek</w:t>
            </w:r>
            <w:r w:rsidRPr="002C4F7C">
              <w:rPr>
                <w:b/>
                <w:bCs/>
                <w:sz w:val="20"/>
                <w:szCs w:val="20"/>
                <w:vertAlign w:val="superscript"/>
                <w:lang w:eastAsia="ar-SA"/>
              </w:rPr>
              <w:t>1)</w:t>
            </w:r>
            <w:r w:rsidRPr="002C4F7C">
              <w:rPr>
                <w:b/>
                <w:bCs/>
                <w:sz w:val="20"/>
                <w:szCs w:val="20"/>
                <w:lang w:eastAsia="ar-SA"/>
              </w:rPr>
              <w:t xml:space="preserve"> zobowiązanych do sporządzenia raportu</w:t>
            </w:r>
          </w:p>
        </w:tc>
        <w:tc>
          <w:tcPr>
            <w:tcW w:w="2855" w:type="dxa"/>
            <w:tcBorders>
              <w:bottom w:val="single" w:sz="18" w:space="0" w:color="A5A5A5"/>
            </w:tcBorders>
          </w:tcPr>
          <w:p w:rsidR="00AF0FDB" w:rsidRPr="002C4F7C" w:rsidRDefault="00AF0FDB" w:rsidP="002C4F7C">
            <w:pPr>
              <w:tabs>
                <w:tab w:val="left" w:pos="0"/>
              </w:tabs>
              <w:suppressAutoHyphens/>
              <w:jc w:val="center"/>
              <w:rPr>
                <w:b/>
                <w:bCs/>
                <w:sz w:val="20"/>
                <w:szCs w:val="20"/>
                <w:lang w:eastAsia="ar-SA"/>
              </w:rPr>
            </w:pPr>
            <w:r w:rsidRPr="002C4F7C">
              <w:rPr>
                <w:b/>
                <w:bCs/>
                <w:sz w:val="20"/>
                <w:szCs w:val="20"/>
                <w:lang w:eastAsia="ar-SA"/>
              </w:rPr>
              <w:t>Liczba placówek</w:t>
            </w:r>
            <w:r w:rsidRPr="002C4F7C">
              <w:rPr>
                <w:b/>
                <w:bCs/>
                <w:sz w:val="20"/>
                <w:szCs w:val="20"/>
                <w:vertAlign w:val="superscript"/>
                <w:lang w:eastAsia="ar-SA"/>
              </w:rPr>
              <w:t xml:space="preserve"> 1)</w:t>
            </w:r>
            <w:r w:rsidRPr="002C4F7C">
              <w:rPr>
                <w:b/>
                <w:bCs/>
                <w:sz w:val="20"/>
                <w:szCs w:val="20"/>
                <w:lang w:eastAsia="ar-SA"/>
              </w:rPr>
              <w:t>, które</w:t>
            </w:r>
          </w:p>
          <w:p w:rsidR="00AF0FDB" w:rsidRPr="002C4F7C" w:rsidRDefault="00AF0FDB" w:rsidP="002C4F7C">
            <w:pPr>
              <w:tabs>
                <w:tab w:val="left" w:pos="0"/>
              </w:tabs>
              <w:suppressAutoHyphens/>
              <w:jc w:val="center"/>
              <w:rPr>
                <w:b/>
                <w:bCs/>
                <w:sz w:val="20"/>
                <w:szCs w:val="20"/>
                <w:lang w:eastAsia="ar-SA"/>
              </w:rPr>
            </w:pPr>
            <w:r w:rsidRPr="002C4F7C">
              <w:rPr>
                <w:b/>
                <w:bCs/>
                <w:sz w:val="20"/>
                <w:szCs w:val="20"/>
                <w:lang w:eastAsia="ar-SA"/>
              </w:rPr>
              <w:t>przekazały raport</w:t>
            </w:r>
          </w:p>
        </w:tc>
        <w:tc>
          <w:tcPr>
            <w:tcW w:w="2955" w:type="dxa"/>
            <w:tcBorders>
              <w:bottom w:val="single" w:sz="18" w:space="0" w:color="A5A5A5"/>
            </w:tcBorders>
          </w:tcPr>
          <w:p w:rsidR="00AF0FDB" w:rsidRPr="002C4F7C" w:rsidRDefault="00AF0FDB" w:rsidP="002C4F7C">
            <w:pPr>
              <w:tabs>
                <w:tab w:val="left" w:pos="0"/>
              </w:tabs>
              <w:suppressAutoHyphens/>
              <w:jc w:val="center"/>
              <w:rPr>
                <w:b/>
                <w:bCs/>
                <w:sz w:val="20"/>
                <w:szCs w:val="20"/>
                <w:lang w:eastAsia="ar-SA"/>
              </w:rPr>
            </w:pPr>
            <w:r w:rsidRPr="002C4F7C">
              <w:rPr>
                <w:b/>
                <w:bCs/>
                <w:sz w:val="20"/>
                <w:szCs w:val="20"/>
                <w:lang w:eastAsia="ar-SA"/>
              </w:rPr>
              <w:t>Liczba placówek</w:t>
            </w:r>
            <w:r w:rsidRPr="002C4F7C">
              <w:rPr>
                <w:b/>
                <w:bCs/>
                <w:sz w:val="20"/>
                <w:szCs w:val="20"/>
                <w:vertAlign w:val="superscript"/>
                <w:lang w:eastAsia="ar-SA"/>
              </w:rPr>
              <w:t xml:space="preserve"> 1)</w:t>
            </w:r>
            <w:r w:rsidRPr="002C4F7C">
              <w:rPr>
                <w:b/>
                <w:bCs/>
                <w:sz w:val="20"/>
                <w:szCs w:val="20"/>
                <w:lang w:eastAsia="ar-SA"/>
              </w:rPr>
              <w:t>, które nie przekazały raportu</w:t>
            </w:r>
          </w:p>
          <w:p w:rsidR="00AF0FDB" w:rsidRPr="002C4F7C" w:rsidRDefault="00AF0FDB" w:rsidP="002C4F7C">
            <w:pPr>
              <w:tabs>
                <w:tab w:val="left" w:pos="0"/>
              </w:tabs>
              <w:suppressAutoHyphens/>
              <w:jc w:val="center"/>
              <w:rPr>
                <w:b/>
                <w:bCs/>
                <w:sz w:val="20"/>
                <w:szCs w:val="20"/>
                <w:lang w:eastAsia="ar-SA"/>
              </w:rPr>
            </w:pPr>
          </w:p>
        </w:tc>
      </w:tr>
      <w:tr w:rsidR="00AF0FDB">
        <w:tc>
          <w:tcPr>
            <w:tcW w:w="2854" w:type="dxa"/>
            <w:shd w:val="clear" w:color="auto" w:fill="E8E8E8"/>
          </w:tcPr>
          <w:p w:rsidR="00AF0FDB" w:rsidRPr="002C4F7C" w:rsidRDefault="00AF0FDB" w:rsidP="002C4F7C">
            <w:pPr>
              <w:tabs>
                <w:tab w:val="left" w:pos="0"/>
              </w:tabs>
              <w:suppressAutoHyphens/>
              <w:snapToGrid w:val="0"/>
              <w:jc w:val="center"/>
              <w:rPr>
                <w:b/>
                <w:bCs/>
                <w:sz w:val="20"/>
                <w:szCs w:val="20"/>
                <w:lang w:eastAsia="ar-SA"/>
              </w:rPr>
            </w:pPr>
            <w:r w:rsidRPr="002C4F7C">
              <w:rPr>
                <w:sz w:val="20"/>
                <w:szCs w:val="20"/>
                <w:lang w:eastAsia="ar-SA"/>
              </w:rPr>
              <w:t>37</w:t>
            </w:r>
          </w:p>
        </w:tc>
        <w:tc>
          <w:tcPr>
            <w:tcW w:w="2855" w:type="dxa"/>
            <w:shd w:val="clear" w:color="auto" w:fill="E8E8E8"/>
          </w:tcPr>
          <w:p w:rsidR="00AF0FDB" w:rsidRPr="002C4F7C" w:rsidRDefault="00AF0FDB" w:rsidP="002C4F7C">
            <w:pPr>
              <w:tabs>
                <w:tab w:val="left" w:pos="0"/>
              </w:tabs>
              <w:suppressAutoHyphens/>
              <w:snapToGrid w:val="0"/>
              <w:jc w:val="center"/>
              <w:rPr>
                <w:sz w:val="20"/>
                <w:szCs w:val="20"/>
                <w:lang w:eastAsia="ar-SA"/>
              </w:rPr>
            </w:pPr>
            <w:r w:rsidRPr="002C4F7C">
              <w:rPr>
                <w:sz w:val="20"/>
                <w:szCs w:val="20"/>
                <w:lang w:eastAsia="ar-SA"/>
              </w:rPr>
              <w:t>37</w:t>
            </w:r>
          </w:p>
        </w:tc>
        <w:tc>
          <w:tcPr>
            <w:tcW w:w="2955" w:type="dxa"/>
            <w:shd w:val="clear" w:color="auto" w:fill="E8E8E8"/>
          </w:tcPr>
          <w:p w:rsidR="00AF0FDB" w:rsidRPr="002C4F7C" w:rsidRDefault="00AF0FDB" w:rsidP="002C4F7C">
            <w:pPr>
              <w:tabs>
                <w:tab w:val="left" w:pos="0"/>
              </w:tabs>
              <w:suppressAutoHyphens/>
              <w:snapToGrid w:val="0"/>
              <w:jc w:val="center"/>
              <w:rPr>
                <w:sz w:val="20"/>
                <w:szCs w:val="20"/>
                <w:lang w:eastAsia="ar-SA"/>
              </w:rPr>
            </w:pPr>
            <w:r w:rsidRPr="002C4F7C">
              <w:rPr>
                <w:sz w:val="20"/>
                <w:szCs w:val="20"/>
                <w:lang w:eastAsia="ar-SA"/>
              </w:rPr>
              <w:t>0</w:t>
            </w:r>
          </w:p>
        </w:tc>
      </w:tr>
    </w:tbl>
    <w:p w:rsidR="00AF0FDB" w:rsidRDefault="00AF0FDB" w:rsidP="00AF13D8">
      <w:pPr>
        <w:tabs>
          <w:tab w:val="left" w:pos="0"/>
        </w:tabs>
        <w:jc w:val="both"/>
        <w:rPr>
          <w:sz w:val="18"/>
          <w:szCs w:val="18"/>
        </w:rPr>
      </w:pPr>
      <w:r w:rsidRPr="002E4C65">
        <w:rPr>
          <w:sz w:val="18"/>
          <w:szCs w:val="18"/>
        </w:rPr>
        <w:t xml:space="preserve">1) Podmioty lecznicze, które zostały zobowiązane na mocy ustawy z dnia 5 grudnia 2008 r. </w:t>
      </w:r>
      <w:r w:rsidRPr="002E4C65">
        <w:rPr>
          <w:i/>
          <w:iCs/>
          <w:sz w:val="18"/>
          <w:szCs w:val="18"/>
        </w:rPr>
        <w:t xml:space="preserve">o zapobieganiu </w:t>
      </w:r>
      <w:r w:rsidRPr="002E4C65">
        <w:rPr>
          <w:i/>
          <w:iCs/>
          <w:sz w:val="18"/>
          <w:szCs w:val="18"/>
        </w:rPr>
        <w:br/>
        <w:t>oraz zwalczaniu zakażeń i chorób zakaźnych u ludzi</w:t>
      </w:r>
      <w:r w:rsidRPr="002E4C65">
        <w:rPr>
          <w:sz w:val="18"/>
          <w:szCs w:val="18"/>
        </w:rPr>
        <w:t xml:space="preserve"> (Dz.</w:t>
      </w:r>
      <w:r>
        <w:rPr>
          <w:sz w:val="18"/>
          <w:szCs w:val="18"/>
        </w:rPr>
        <w:t xml:space="preserve"> </w:t>
      </w:r>
      <w:r w:rsidRPr="002E4C65">
        <w:rPr>
          <w:sz w:val="18"/>
          <w:szCs w:val="18"/>
        </w:rPr>
        <w:t xml:space="preserve">U. z 2018 r. poz. 151 z późn. zm.) do powołania zespołu oraz komitetu kontroli zakażeń szpitalnych, a tym samym do sporządzania raportów na podstawie wzoru określonego </w:t>
      </w:r>
      <w:r w:rsidRPr="002E4C65">
        <w:rPr>
          <w:sz w:val="18"/>
          <w:szCs w:val="18"/>
        </w:rPr>
        <w:br/>
        <w:t xml:space="preserve">w dotychczasowych przepisach (§ 7 rozporządzenia Ministra Zdrowia z dnia 23 grudnia 2011 r. </w:t>
      </w:r>
      <w:r w:rsidRPr="002E4C65">
        <w:rPr>
          <w:i/>
          <w:iCs/>
          <w:sz w:val="18"/>
          <w:szCs w:val="18"/>
        </w:rPr>
        <w:t xml:space="preserve">w sprawie listy czynników alarmowych, rejestrów zakażeń szpitalnych i czynników alarmowych oraz raportów o bieżącej sytuacji epidemiologicznej szpitala </w:t>
      </w:r>
      <w:r>
        <w:rPr>
          <w:i/>
          <w:iCs/>
          <w:sz w:val="18"/>
          <w:szCs w:val="18"/>
        </w:rPr>
        <w:t xml:space="preserve"> (</w:t>
      </w:r>
      <w:r w:rsidRPr="002E4C65">
        <w:rPr>
          <w:sz w:val="18"/>
          <w:szCs w:val="18"/>
        </w:rPr>
        <w:t>Dz.</w:t>
      </w:r>
      <w:r>
        <w:rPr>
          <w:sz w:val="18"/>
          <w:szCs w:val="18"/>
        </w:rPr>
        <w:t xml:space="preserve"> </w:t>
      </w:r>
      <w:r w:rsidRPr="002E4C65">
        <w:rPr>
          <w:sz w:val="18"/>
          <w:szCs w:val="18"/>
        </w:rPr>
        <w:t>U. Nr 294, poz. 1741)</w:t>
      </w:r>
      <w:r>
        <w:rPr>
          <w:sz w:val="18"/>
          <w:szCs w:val="18"/>
        </w:rPr>
        <w:t>.</w:t>
      </w:r>
    </w:p>
    <w:p w:rsidR="00AF0FDB" w:rsidRDefault="00AF0FDB" w:rsidP="00642C07">
      <w:pPr>
        <w:tabs>
          <w:tab w:val="left" w:pos="0"/>
        </w:tabs>
        <w:suppressAutoHyphens/>
        <w:jc w:val="both"/>
        <w:rPr>
          <w:b/>
          <w:bCs/>
          <w:lang w:eastAsia="ar-SA"/>
        </w:rPr>
      </w:pPr>
    </w:p>
    <w:p w:rsidR="00AF0FDB" w:rsidRPr="007739BF" w:rsidRDefault="00AF0FDB" w:rsidP="00642C07">
      <w:pPr>
        <w:tabs>
          <w:tab w:val="left" w:pos="0"/>
        </w:tabs>
        <w:suppressAutoHyphens/>
        <w:jc w:val="both"/>
        <w:rPr>
          <w:b/>
          <w:bCs/>
          <w:lang w:eastAsia="ar-SA"/>
        </w:rPr>
      </w:pPr>
      <w:r w:rsidRPr="007739BF">
        <w:rPr>
          <w:b/>
          <w:bCs/>
          <w:lang w:eastAsia="ar-SA"/>
        </w:rPr>
        <w:t>Wykorzystanie diagnostyki laboratoryjnej</w:t>
      </w:r>
    </w:p>
    <w:p w:rsidR="00AF0FDB" w:rsidRPr="009F6A19" w:rsidRDefault="00AF0FDB" w:rsidP="003927A2">
      <w:pPr>
        <w:tabs>
          <w:tab w:val="left" w:pos="0"/>
        </w:tabs>
        <w:suppressAutoHyphens/>
        <w:spacing w:after="0"/>
        <w:jc w:val="both"/>
      </w:pPr>
      <w:r w:rsidRPr="002E4C65">
        <w:t xml:space="preserve">Podstawowym parametrem pozwalającym na obiektywne porównanie danych jest wskaźnik wykonywanych badań mikrobiologicznych. W roku 2017 w dalszym ciągu wskaźniki wykorzystania diagnostyki mikrobiologicznej w powiecie poznańskim odbiegały znacząco od standardów obowiązujących w innych krajach Unii Europejskiej (gdzie w szpitalach o prawidłowym systemie monitorowania wskaźniki wykonywanych badań powinny wynosić średnio minimum </w:t>
      </w:r>
      <w:r w:rsidRPr="002E4C65">
        <w:rPr>
          <w:b/>
          <w:bCs/>
        </w:rPr>
        <w:t>50</w:t>
      </w:r>
      <w:r w:rsidRPr="002E4C65">
        <w:t xml:space="preserve"> badań/łóżko/rok lub </w:t>
      </w:r>
      <w:r w:rsidRPr="002E4C65">
        <w:rPr>
          <w:b/>
          <w:bCs/>
        </w:rPr>
        <w:t>2</w:t>
      </w:r>
      <w:r w:rsidRPr="002E4C65">
        <w:t xml:space="preserve"> badania/pacjenta)</w:t>
      </w:r>
      <w:r>
        <w:t xml:space="preserve">. </w:t>
      </w:r>
      <w:r w:rsidRPr="002E4C65">
        <w:t>W porównaniu do roku 2016 stopień wykorzystania</w:t>
      </w:r>
      <w:r>
        <w:t xml:space="preserve"> diagnostyki mikrobiologicznej </w:t>
      </w:r>
      <w:r w:rsidRPr="002E4C65">
        <w:t xml:space="preserve">na terenie powiatu poznańskiego nie uległ poprawie. W 2017 roku wskaźniki te kształtowały się na poziomie </w:t>
      </w:r>
      <w:r w:rsidRPr="002E4C65">
        <w:rPr>
          <w:b/>
          <w:bCs/>
        </w:rPr>
        <w:t>24,4</w:t>
      </w:r>
      <w:r w:rsidRPr="002E4C65">
        <w:t xml:space="preserve"> badań/łóżko/rok oraz odpowiednio </w:t>
      </w:r>
      <w:r w:rsidRPr="002E4C65">
        <w:rPr>
          <w:b/>
          <w:bCs/>
        </w:rPr>
        <w:t>0,4</w:t>
      </w:r>
      <w:r w:rsidRPr="002E4C65">
        <w:t xml:space="preserve"> badania/pacjenta.</w:t>
      </w:r>
    </w:p>
    <w:p w:rsidR="00AF0FDB" w:rsidRDefault="00AF0FDB" w:rsidP="005A2B69">
      <w:pPr>
        <w:tabs>
          <w:tab w:val="left" w:pos="0"/>
        </w:tabs>
        <w:suppressAutoHyphens/>
        <w:jc w:val="both"/>
        <w:rPr>
          <w:b/>
          <w:bCs/>
          <w:color w:val="000000"/>
          <w:sz w:val="22"/>
          <w:szCs w:val="22"/>
          <w:lang w:eastAsia="ar-SA"/>
        </w:rPr>
      </w:pPr>
      <w:r>
        <w:rPr>
          <w:b/>
          <w:bCs/>
          <w:sz w:val="20"/>
          <w:szCs w:val="20"/>
          <w:lang w:eastAsia="ar-SA"/>
        </w:rPr>
        <w:t>Tab. 6.1</w:t>
      </w:r>
      <w:r>
        <w:rPr>
          <w:lang w:eastAsia="ar-SA"/>
        </w:rPr>
        <w:t xml:space="preserve">. </w:t>
      </w:r>
      <w:r>
        <w:rPr>
          <w:color w:val="000000"/>
          <w:sz w:val="20"/>
          <w:szCs w:val="20"/>
          <w:lang w:eastAsia="ar-SA"/>
        </w:rPr>
        <w:t>Dane zbiorcze dotyczące liczby łóżek, hospitalizacji oraz badań mikrobiologicznych wykonywanych w podmiotach leczniczych powiatu poznańskiego w latach 2015-2017 wg raportów rocznych</w:t>
      </w:r>
    </w:p>
    <w:tbl>
      <w:tblPr>
        <w:tblW w:w="0" w:type="auto"/>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A0"/>
      </w:tblPr>
      <w:tblGrid>
        <w:gridCol w:w="3711"/>
        <w:gridCol w:w="2019"/>
        <w:gridCol w:w="1856"/>
        <w:gridCol w:w="1732"/>
      </w:tblGrid>
      <w:tr w:rsidR="00AF0FDB">
        <w:trPr>
          <w:trHeight w:val="290"/>
        </w:trPr>
        <w:tc>
          <w:tcPr>
            <w:tcW w:w="3711" w:type="dxa"/>
            <w:tcBorders>
              <w:bottom w:val="single" w:sz="18" w:space="0" w:color="A5A5A5"/>
            </w:tcBorders>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Ogólna  liczba</w:t>
            </w:r>
          </w:p>
        </w:tc>
        <w:tc>
          <w:tcPr>
            <w:tcW w:w="2019" w:type="dxa"/>
            <w:tcBorders>
              <w:bottom w:val="single" w:sz="18" w:space="0" w:color="A5A5A5"/>
            </w:tcBorders>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2015</w:t>
            </w:r>
          </w:p>
        </w:tc>
        <w:tc>
          <w:tcPr>
            <w:tcW w:w="1856" w:type="dxa"/>
            <w:tcBorders>
              <w:bottom w:val="single" w:sz="18" w:space="0" w:color="A5A5A5"/>
            </w:tcBorders>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2016</w:t>
            </w:r>
          </w:p>
        </w:tc>
        <w:tc>
          <w:tcPr>
            <w:tcW w:w="1732" w:type="dxa"/>
            <w:tcBorders>
              <w:bottom w:val="single" w:sz="18" w:space="0" w:color="A5A5A5"/>
            </w:tcBorders>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2017</w:t>
            </w:r>
          </w:p>
        </w:tc>
      </w:tr>
      <w:tr w:rsidR="00AF0FDB">
        <w:trPr>
          <w:trHeight w:val="290"/>
        </w:trPr>
        <w:tc>
          <w:tcPr>
            <w:tcW w:w="3711" w:type="dxa"/>
            <w:shd w:val="clear" w:color="auto" w:fill="E8E8E8"/>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łóżek</w:t>
            </w:r>
          </w:p>
        </w:tc>
        <w:tc>
          <w:tcPr>
            <w:tcW w:w="2019"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5 593</w:t>
            </w:r>
          </w:p>
        </w:tc>
        <w:tc>
          <w:tcPr>
            <w:tcW w:w="1856"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6 107</w:t>
            </w:r>
          </w:p>
        </w:tc>
        <w:tc>
          <w:tcPr>
            <w:tcW w:w="1732"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6 159</w:t>
            </w:r>
          </w:p>
        </w:tc>
      </w:tr>
      <w:tr w:rsidR="00AF0FDB">
        <w:trPr>
          <w:trHeight w:val="290"/>
        </w:trPr>
        <w:tc>
          <w:tcPr>
            <w:tcW w:w="3711" w:type="dxa"/>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hospitalizacji</w:t>
            </w:r>
          </w:p>
        </w:tc>
        <w:tc>
          <w:tcPr>
            <w:tcW w:w="2019" w:type="dxa"/>
          </w:tcPr>
          <w:p w:rsidR="00AF0FDB" w:rsidRPr="002C4F7C" w:rsidRDefault="00AF0FDB" w:rsidP="002C4F7C">
            <w:pPr>
              <w:tabs>
                <w:tab w:val="left" w:pos="360"/>
              </w:tabs>
              <w:spacing w:after="0"/>
              <w:ind w:left="360"/>
              <w:jc w:val="right"/>
              <w:rPr>
                <w:sz w:val="22"/>
                <w:szCs w:val="22"/>
              </w:rPr>
            </w:pPr>
            <w:r w:rsidRPr="002C4F7C">
              <w:rPr>
                <w:sz w:val="22"/>
                <w:szCs w:val="22"/>
              </w:rPr>
              <w:t>396 605</w:t>
            </w:r>
          </w:p>
        </w:tc>
        <w:tc>
          <w:tcPr>
            <w:tcW w:w="1856" w:type="dxa"/>
          </w:tcPr>
          <w:p w:rsidR="00AF0FDB" w:rsidRPr="002C4F7C" w:rsidRDefault="00AF0FDB" w:rsidP="002C4F7C">
            <w:pPr>
              <w:tabs>
                <w:tab w:val="left" w:pos="360"/>
              </w:tabs>
              <w:spacing w:after="0"/>
              <w:ind w:left="360"/>
              <w:jc w:val="right"/>
              <w:rPr>
                <w:sz w:val="22"/>
                <w:szCs w:val="22"/>
              </w:rPr>
            </w:pPr>
            <w:r w:rsidRPr="002C4F7C">
              <w:rPr>
                <w:sz w:val="22"/>
                <w:szCs w:val="22"/>
              </w:rPr>
              <w:t>379 787</w:t>
            </w:r>
          </w:p>
        </w:tc>
        <w:tc>
          <w:tcPr>
            <w:tcW w:w="1732" w:type="dxa"/>
          </w:tcPr>
          <w:p w:rsidR="00AF0FDB" w:rsidRPr="002C4F7C" w:rsidRDefault="00AF0FDB" w:rsidP="002C4F7C">
            <w:pPr>
              <w:tabs>
                <w:tab w:val="left" w:pos="360"/>
              </w:tabs>
              <w:spacing w:after="0"/>
              <w:ind w:left="360"/>
              <w:jc w:val="right"/>
              <w:rPr>
                <w:sz w:val="22"/>
                <w:szCs w:val="22"/>
              </w:rPr>
            </w:pPr>
            <w:r w:rsidRPr="002C4F7C">
              <w:rPr>
                <w:sz w:val="22"/>
                <w:szCs w:val="22"/>
              </w:rPr>
              <w:t>407 184</w:t>
            </w:r>
          </w:p>
        </w:tc>
      </w:tr>
      <w:tr w:rsidR="00AF0FDB">
        <w:trPr>
          <w:trHeight w:val="290"/>
        </w:trPr>
        <w:tc>
          <w:tcPr>
            <w:tcW w:w="3711" w:type="dxa"/>
            <w:shd w:val="clear" w:color="auto" w:fill="E8E8E8"/>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badań</w:t>
            </w:r>
          </w:p>
        </w:tc>
        <w:tc>
          <w:tcPr>
            <w:tcW w:w="2019"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140 815</w:t>
            </w:r>
          </w:p>
        </w:tc>
        <w:tc>
          <w:tcPr>
            <w:tcW w:w="1856"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165 322</w:t>
            </w:r>
          </w:p>
        </w:tc>
        <w:tc>
          <w:tcPr>
            <w:tcW w:w="1732"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150 132</w:t>
            </w:r>
          </w:p>
        </w:tc>
      </w:tr>
      <w:tr w:rsidR="00AF0FDB">
        <w:trPr>
          <w:trHeight w:val="290"/>
        </w:trPr>
        <w:tc>
          <w:tcPr>
            <w:tcW w:w="3711" w:type="dxa"/>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badań/łóżko/rok</w:t>
            </w:r>
          </w:p>
        </w:tc>
        <w:tc>
          <w:tcPr>
            <w:tcW w:w="2019" w:type="dxa"/>
          </w:tcPr>
          <w:p w:rsidR="00AF0FDB" w:rsidRPr="002C4F7C" w:rsidRDefault="00AF0FDB" w:rsidP="002C4F7C">
            <w:pPr>
              <w:tabs>
                <w:tab w:val="left" w:pos="360"/>
              </w:tabs>
              <w:spacing w:after="0"/>
              <w:ind w:left="360"/>
              <w:jc w:val="right"/>
              <w:rPr>
                <w:sz w:val="22"/>
                <w:szCs w:val="22"/>
              </w:rPr>
            </w:pPr>
            <w:r w:rsidRPr="002C4F7C">
              <w:rPr>
                <w:sz w:val="22"/>
                <w:szCs w:val="22"/>
              </w:rPr>
              <w:t>25,2</w:t>
            </w:r>
          </w:p>
        </w:tc>
        <w:tc>
          <w:tcPr>
            <w:tcW w:w="1856" w:type="dxa"/>
          </w:tcPr>
          <w:p w:rsidR="00AF0FDB" w:rsidRPr="002C4F7C" w:rsidRDefault="00AF0FDB" w:rsidP="002C4F7C">
            <w:pPr>
              <w:tabs>
                <w:tab w:val="left" w:pos="360"/>
              </w:tabs>
              <w:spacing w:after="0"/>
              <w:ind w:left="360"/>
              <w:jc w:val="right"/>
              <w:rPr>
                <w:sz w:val="22"/>
                <w:szCs w:val="22"/>
              </w:rPr>
            </w:pPr>
            <w:r w:rsidRPr="002C4F7C">
              <w:rPr>
                <w:sz w:val="22"/>
                <w:szCs w:val="22"/>
              </w:rPr>
              <w:t>27,1</w:t>
            </w:r>
          </w:p>
        </w:tc>
        <w:tc>
          <w:tcPr>
            <w:tcW w:w="1732" w:type="dxa"/>
          </w:tcPr>
          <w:p w:rsidR="00AF0FDB" w:rsidRPr="002C4F7C" w:rsidRDefault="00AF0FDB" w:rsidP="002C4F7C">
            <w:pPr>
              <w:tabs>
                <w:tab w:val="left" w:pos="360"/>
              </w:tabs>
              <w:spacing w:after="0"/>
              <w:ind w:left="360"/>
              <w:jc w:val="right"/>
              <w:rPr>
                <w:sz w:val="22"/>
                <w:szCs w:val="22"/>
              </w:rPr>
            </w:pPr>
            <w:r w:rsidRPr="002C4F7C">
              <w:rPr>
                <w:sz w:val="22"/>
                <w:szCs w:val="22"/>
              </w:rPr>
              <w:t>24,4</w:t>
            </w:r>
          </w:p>
        </w:tc>
      </w:tr>
      <w:tr w:rsidR="00AF0FDB">
        <w:trPr>
          <w:trHeight w:val="290"/>
        </w:trPr>
        <w:tc>
          <w:tcPr>
            <w:tcW w:w="3711" w:type="dxa"/>
            <w:shd w:val="clear" w:color="auto" w:fill="E8E8E8"/>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badań na pacjenta</w:t>
            </w:r>
          </w:p>
        </w:tc>
        <w:tc>
          <w:tcPr>
            <w:tcW w:w="2019"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0,3</w:t>
            </w:r>
          </w:p>
        </w:tc>
        <w:tc>
          <w:tcPr>
            <w:tcW w:w="1856"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0,4</w:t>
            </w:r>
          </w:p>
        </w:tc>
        <w:tc>
          <w:tcPr>
            <w:tcW w:w="1732" w:type="dxa"/>
            <w:shd w:val="clear" w:color="auto" w:fill="E8E8E8"/>
          </w:tcPr>
          <w:p w:rsidR="00AF0FDB" w:rsidRPr="002C4F7C" w:rsidRDefault="00AF0FDB" w:rsidP="002C4F7C">
            <w:pPr>
              <w:tabs>
                <w:tab w:val="left" w:pos="360"/>
              </w:tabs>
              <w:spacing w:after="0"/>
              <w:ind w:left="360"/>
              <w:jc w:val="right"/>
              <w:rPr>
                <w:sz w:val="22"/>
                <w:szCs w:val="22"/>
              </w:rPr>
            </w:pPr>
            <w:r w:rsidRPr="002C4F7C">
              <w:rPr>
                <w:sz w:val="22"/>
                <w:szCs w:val="22"/>
              </w:rPr>
              <w:t>0,4</w:t>
            </w:r>
          </w:p>
        </w:tc>
      </w:tr>
      <w:tr w:rsidR="00AF0FDB">
        <w:trPr>
          <w:trHeight w:val="72"/>
        </w:trPr>
        <w:tc>
          <w:tcPr>
            <w:tcW w:w="3711" w:type="dxa"/>
          </w:tcPr>
          <w:p w:rsidR="00AF0FDB" w:rsidRPr="002C4F7C" w:rsidRDefault="00AF0FDB" w:rsidP="002C4F7C">
            <w:pPr>
              <w:tabs>
                <w:tab w:val="left" w:pos="360"/>
              </w:tabs>
              <w:suppressAutoHyphens/>
              <w:ind w:left="360"/>
              <w:jc w:val="both"/>
              <w:rPr>
                <w:b/>
                <w:bCs/>
                <w:sz w:val="20"/>
                <w:szCs w:val="20"/>
                <w:lang w:eastAsia="ar-SA"/>
              </w:rPr>
            </w:pPr>
            <w:r w:rsidRPr="002C4F7C">
              <w:rPr>
                <w:b/>
                <w:bCs/>
                <w:sz w:val="20"/>
                <w:szCs w:val="20"/>
                <w:lang w:eastAsia="ar-SA"/>
              </w:rPr>
              <w:t>badań/ 100 hospitalizacji</w:t>
            </w:r>
          </w:p>
        </w:tc>
        <w:tc>
          <w:tcPr>
            <w:tcW w:w="2019" w:type="dxa"/>
          </w:tcPr>
          <w:p w:rsidR="00AF0FDB" w:rsidRPr="002C4F7C" w:rsidRDefault="00AF0FDB" w:rsidP="002C4F7C">
            <w:pPr>
              <w:tabs>
                <w:tab w:val="left" w:pos="360"/>
              </w:tabs>
              <w:spacing w:after="0"/>
              <w:ind w:left="360"/>
              <w:jc w:val="right"/>
              <w:rPr>
                <w:sz w:val="22"/>
                <w:szCs w:val="22"/>
              </w:rPr>
            </w:pPr>
            <w:r w:rsidRPr="002C4F7C">
              <w:rPr>
                <w:sz w:val="22"/>
                <w:szCs w:val="22"/>
              </w:rPr>
              <w:t>35,5</w:t>
            </w:r>
          </w:p>
        </w:tc>
        <w:tc>
          <w:tcPr>
            <w:tcW w:w="1856" w:type="dxa"/>
          </w:tcPr>
          <w:p w:rsidR="00AF0FDB" w:rsidRPr="002C4F7C" w:rsidRDefault="00AF0FDB" w:rsidP="002C4F7C">
            <w:pPr>
              <w:tabs>
                <w:tab w:val="left" w:pos="360"/>
              </w:tabs>
              <w:spacing w:after="0"/>
              <w:ind w:left="360"/>
              <w:jc w:val="right"/>
              <w:rPr>
                <w:sz w:val="22"/>
                <w:szCs w:val="22"/>
              </w:rPr>
            </w:pPr>
            <w:r w:rsidRPr="002C4F7C">
              <w:rPr>
                <w:sz w:val="22"/>
                <w:szCs w:val="22"/>
              </w:rPr>
              <w:t>43,5</w:t>
            </w:r>
          </w:p>
        </w:tc>
        <w:tc>
          <w:tcPr>
            <w:tcW w:w="1732" w:type="dxa"/>
          </w:tcPr>
          <w:p w:rsidR="00AF0FDB" w:rsidRPr="002C4F7C" w:rsidRDefault="00AF0FDB" w:rsidP="002C4F7C">
            <w:pPr>
              <w:tabs>
                <w:tab w:val="left" w:pos="360"/>
              </w:tabs>
              <w:spacing w:after="0"/>
              <w:ind w:left="360"/>
              <w:jc w:val="right"/>
              <w:rPr>
                <w:sz w:val="22"/>
                <w:szCs w:val="22"/>
              </w:rPr>
            </w:pPr>
            <w:r w:rsidRPr="002C4F7C">
              <w:rPr>
                <w:sz w:val="22"/>
                <w:szCs w:val="22"/>
              </w:rPr>
              <w:t>36,9</w:t>
            </w:r>
          </w:p>
        </w:tc>
      </w:tr>
    </w:tbl>
    <w:p w:rsidR="00AF0FDB" w:rsidRPr="002E4C65" w:rsidRDefault="00AF0FDB" w:rsidP="00B9052C">
      <w:pPr>
        <w:tabs>
          <w:tab w:val="left" w:pos="360"/>
        </w:tabs>
        <w:spacing w:before="120" w:after="0"/>
        <w:jc w:val="both"/>
      </w:pPr>
      <w:r w:rsidRPr="002E4C65">
        <w:t xml:space="preserve">Analizując wykorzystanie diagnostyki mikrobiologicznej w poszczególnych oddziałach szpitalnych w 2017 roku pod kątem wskaźników liczby badań </w:t>
      </w:r>
      <w:r>
        <w:t>m</w:t>
      </w:r>
      <w:r w:rsidRPr="002E4C65">
        <w:t>ikrobiologicznych/łóżko/rok oraz liczby badań mikrobiologicznych/pacjenta stwierdzono, iż uległa niewielkiej zmianie. Podobnie jak w latach poprzednich w miejscach gdzie nacisk na kontrole jest największy, wskaźniki znacznie przewyższały wskazane normy. Wskaźnik liczby badań mikrobiologicznych/łóżko/rok, podobnie jak w latach poprzednich, był najwyższy w oddziałach intensywnej terapii:</w:t>
      </w:r>
    </w:p>
    <w:p w:rsidR="00AF0FDB" w:rsidRPr="002E4C65" w:rsidRDefault="00AF0FDB" w:rsidP="009F6A19">
      <w:pPr>
        <w:tabs>
          <w:tab w:val="left" w:pos="360"/>
        </w:tabs>
        <w:spacing w:before="0" w:after="0"/>
        <w:jc w:val="both"/>
      </w:pPr>
      <w:r w:rsidRPr="002E4C65">
        <w:t>- dzieci (z wyłączeniem noworodków) – 194 badania/łóżko/rok (w 2016 roku – 222 badania),</w:t>
      </w:r>
    </w:p>
    <w:p w:rsidR="00AF0FDB" w:rsidRDefault="00AF0FDB" w:rsidP="001F6B48">
      <w:pPr>
        <w:tabs>
          <w:tab w:val="left" w:pos="360"/>
        </w:tabs>
        <w:spacing w:before="0" w:after="0"/>
        <w:jc w:val="both"/>
      </w:pPr>
      <w:r w:rsidRPr="002E4C65">
        <w:t xml:space="preserve">- dorosłych – 177 badań/łóżko/rok  (w 2016 roku – 176 badań). </w:t>
      </w:r>
    </w:p>
    <w:p w:rsidR="00AF0FDB" w:rsidRPr="002E4C65" w:rsidRDefault="00AF0FDB" w:rsidP="001F6B48">
      <w:pPr>
        <w:tabs>
          <w:tab w:val="left" w:pos="360"/>
        </w:tabs>
        <w:spacing w:before="0" w:after="0"/>
        <w:jc w:val="both"/>
      </w:pPr>
      <w:r w:rsidRPr="002E4C65">
        <w:t>Nadal najniższe wskaźniki odnotowano w zakładach opiekuńczo-leczniczych/pielęgnacyjno-opiekuńczych będących w strukturze szpitala i wynosiły 0,3 badań/łóżko/rok, jest to wartość taka sama jak w roku 2016.</w:t>
      </w:r>
    </w:p>
    <w:p w:rsidR="00AF0FDB" w:rsidRDefault="00AF0FDB" w:rsidP="00642C07">
      <w:pPr>
        <w:keepNext/>
        <w:suppressAutoHyphens/>
        <w:rPr>
          <w:sz w:val="20"/>
          <w:szCs w:val="20"/>
          <w:lang w:eastAsia="ar-SA"/>
        </w:rPr>
      </w:pPr>
      <w:r>
        <w:rPr>
          <w:b/>
          <w:bCs/>
          <w:sz w:val="20"/>
          <w:szCs w:val="20"/>
          <w:lang w:eastAsia="ar-SA"/>
        </w:rPr>
        <w:t>Tab. 6.2.</w:t>
      </w:r>
      <w:r>
        <w:rPr>
          <w:sz w:val="20"/>
          <w:szCs w:val="20"/>
          <w:lang w:eastAsia="ar-SA"/>
        </w:rPr>
        <w:t xml:space="preserve"> Liczba badań mikrobiologicznych w podmiotach leczniczych powiatu poznańskiego w  latach 2016-2017, wg typów oddziałów. Wskaźnik w przeliczeniu na łóżko szpitalne/rok. </w:t>
      </w:r>
    </w:p>
    <w:tbl>
      <w:tblPr>
        <w:tblW w:w="9235"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1E0"/>
      </w:tblPr>
      <w:tblGrid>
        <w:gridCol w:w="752"/>
        <w:gridCol w:w="5733"/>
        <w:gridCol w:w="1432"/>
        <w:gridCol w:w="1318"/>
      </w:tblGrid>
      <w:tr w:rsidR="00AF0FDB">
        <w:trPr>
          <w:trHeight w:val="654"/>
          <w:tblHeader/>
        </w:trPr>
        <w:tc>
          <w:tcPr>
            <w:tcW w:w="752" w:type="dxa"/>
            <w:vMerge w:val="restart"/>
            <w:tcBorders>
              <w:bottom w:val="single" w:sz="18" w:space="0" w:color="A5A5A5"/>
            </w:tcBorders>
          </w:tcPr>
          <w:p w:rsidR="00AF0FDB" w:rsidRPr="002C4F7C" w:rsidRDefault="00AF0FDB" w:rsidP="002C4F7C">
            <w:pPr>
              <w:tabs>
                <w:tab w:val="left" w:pos="360"/>
              </w:tabs>
              <w:suppressAutoHyphens/>
              <w:jc w:val="both"/>
              <w:rPr>
                <w:b/>
                <w:bCs/>
                <w:sz w:val="20"/>
                <w:szCs w:val="20"/>
                <w:lang w:eastAsia="ar-SA"/>
              </w:rPr>
            </w:pPr>
            <w:r w:rsidRPr="002C4F7C">
              <w:rPr>
                <w:b/>
                <w:bCs/>
                <w:sz w:val="20"/>
                <w:szCs w:val="20"/>
                <w:lang w:eastAsia="ar-SA"/>
              </w:rPr>
              <w:t>L.p.</w:t>
            </w:r>
          </w:p>
        </w:tc>
        <w:tc>
          <w:tcPr>
            <w:tcW w:w="5733" w:type="dxa"/>
            <w:vMerge w:val="restart"/>
            <w:tcBorders>
              <w:bottom w:val="single" w:sz="18" w:space="0" w:color="A5A5A5"/>
            </w:tcBorders>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b/>
                <w:bCs/>
                <w:sz w:val="20"/>
                <w:szCs w:val="20"/>
                <w:lang w:eastAsia="ar-SA"/>
              </w:rPr>
              <w:t xml:space="preserve">Kategorie oddziałów </w:t>
            </w:r>
          </w:p>
        </w:tc>
        <w:tc>
          <w:tcPr>
            <w:tcW w:w="2750" w:type="dxa"/>
            <w:gridSpan w:val="2"/>
            <w:tcBorders>
              <w:bottom w:val="single" w:sz="18"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Liczba badań / łóżko</w:t>
            </w:r>
          </w:p>
        </w:tc>
      </w:tr>
      <w:tr w:rsidR="00AF0FDB">
        <w:trPr>
          <w:trHeight w:val="143"/>
          <w:tblHeader/>
        </w:trPr>
        <w:tc>
          <w:tcPr>
            <w:tcW w:w="0" w:type="auto"/>
            <w:vMerge/>
            <w:tcBorders>
              <w:bottom w:val="single" w:sz="18" w:space="0" w:color="A5A5A5"/>
            </w:tcBorders>
          </w:tcPr>
          <w:p w:rsidR="00AF0FDB" w:rsidRPr="002C4F7C" w:rsidRDefault="00AF0FDB" w:rsidP="002C4F7C">
            <w:pPr>
              <w:spacing w:after="0" w:line="240" w:lineRule="auto"/>
              <w:rPr>
                <w:b/>
                <w:bCs/>
                <w:sz w:val="20"/>
                <w:szCs w:val="20"/>
                <w:lang w:eastAsia="ar-SA"/>
              </w:rPr>
            </w:pPr>
          </w:p>
        </w:tc>
        <w:tc>
          <w:tcPr>
            <w:tcW w:w="0" w:type="auto"/>
            <w:vMerge/>
            <w:tcBorders>
              <w:bottom w:val="single" w:sz="18" w:space="0" w:color="A5A5A5"/>
            </w:tcBorders>
            <w:shd w:val="clear" w:color="auto" w:fill="E8E8E8"/>
          </w:tcPr>
          <w:p w:rsidR="00AF0FDB" w:rsidRPr="002C4F7C" w:rsidRDefault="00AF0FDB" w:rsidP="002C4F7C">
            <w:pPr>
              <w:spacing w:after="0" w:line="240" w:lineRule="auto"/>
              <w:rPr>
                <w:b/>
                <w:bCs/>
                <w:sz w:val="20"/>
                <w:szCs w:val="20"/>
                <w:lang w:eastAsia="ar-SA"/>
              </w:rPr>
            </w:pPr>
          </w:p>
        </w:tc>
        <w:tc>
          <w:tcPr>
            <w:tcW w:w="1432" w:type="dxa"/>
            <w:tcBorders>
              <w:bottom w:val="single" w:sz="18"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2016</w:t>
            </w:r>
          </w:p>
        </w:tc>
        <w:tc>
          <w:tcPr>
            <w:tcW w:w="1317" w:type="dxa"/>
            <w:tcBorders>
              <w:bottom w:val="single" w:sz="18"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2017</w:t>
            </w:r>
          </w:p>
        </w:tc>
      </w:tr>
      <w:tr w:rsidR="00AF0FDB">
        <w:trPr>
          <w:trHeight w:val="1319"/>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w:t>
            </w:r>
          </w:p>
        </w:tc>
        <w:tc>
          <w:tcPr>
            <w:tcW w:w="5733"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OIOM/OIT i inne oddziały intensywnej terapii DZIECI DZIAŁAJĄCE JAKO WYDZIELONE JEDNOSTKI ORGANIZACYJNE z wyłączeniem oddziałów noworodkowych</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222</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194</w:t>
            </w:r>
          </w:p>
        </w:tc>
      </w:tr>
      <w:tr w:rsidR="00AF0FDB">
        <w:trPr>
          <w:trHeight w:val="1109"/>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2</w:t>
            </w:r>
          </w:p>
        </w:tc>
        <w:tc>
          <w:tcPr>
            <w:tcW w:w="5733"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OIOM/OIT i inne oddziały intensywnej terapii DOROSŁYCH DZIAŁAJĄCE JAKO WYDZIELONE JEDNOSTKI ORGANIZACYJNE</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176</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177</w:t>
            </w:r>
          </w:p>
        </w:tc>
      </w:tr>
      <w:tr w:rsidR="00AF0FDB">
        <w:trPr>
          <w:trHeight w:val="330"/>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3</w:t>
            </w:r>
          </w:p>
        </w:tc>
        <w:tc>
          <w:tcPr>
            <w:tcW w:w="5733"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TRANSPLANTOLOGIA</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87</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63</w:t>
            </w:r>
          </w:p>
        </w:tc>
      </w:tr>
      <w:tr w:rsidR="00AF0FDB">
        <w:trPr>
          <w:trHeight w:val="654"/>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4</w:t>
            </w:r>
          </w:p>
        </w:tc>
        <w:tc>
          <w:tcPr>
            <w:tcW w:w="5733"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INTENSYWNEJ TERAPII NOWORODKÓW</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59</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w:t>
            </w:r>
          </w:p>
        </w:tc>
      </w:tr>
      <w:tr w:rsidR="00AF0FDB">
        <w:trPr>
          <w:trHeight w:val="638"/>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5</w:t>
            </w:r>
          </w:p>
        </w:tc>
        <w:tc>
          <w:tcPr>
            <w:tcW w:w="5733"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ZAKAŹNE</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55</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37</w:t>
            </w:r>
          </w:p>
        </w:tc>
      </w:tr>
      <w:tr w:rsidR="00AF0FDB">
        <w:trPr>
          <w:trHeight w:val="638"/>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6</w:t>
            </w:r>
          </w:p>
        </w:tc>
        <w:tc>
          <w:tcPr>
            <w:tcW w:w="5733"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OPARZENIOWE</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51</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55</w:t>
            </w:r>
          </w:p>
        </w:tc>
      </w:tr>
      <w:tr w:rsidR="00AF0FDB" w:rsidRPr="00AF2F04">
        <w:trPr>
          <w:trHeight w:val="1194"/>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7</w:t>
            </w:r>
          </w:p>
        </w:tc>
        <w:tc>
          <w:tcPr>
            <w:tcW w:w="5733" w:type="dxa"/>
            <w:shd w:val="clear" w:color="auto" w:fill="E8E8E8"/>
          </w:tcPr>
          <w:p w:rsidR="00AF0FDB" w:rsidRPr="002C4F7C" w:rsidRDefault="00AF0FDB" w:rsidP="002C4F7C">
            <w:pPr>
              <w:tabs>
                <w:tab w:val="left" w:pos="360"/>
              </w:tabs>
              <w:suppressAutoHyphens/>
              <w:spacing w:before="0"/>
              <w:jc w:val="both"/>
              <w:rPr>
                <w:sz w:val="20"/>
                <w:szCs w:val="20"/>
                <w:lang w:eastAsia="ar-SA"/>
              </w:rPr>
            </w:pPr>
            <w:r w:rsidRPr="002C4F7C">
              <w:rPr>
                <w:sz w:val="20"/>
                <w:szCs w:val="20"/>
                <w:lang w:eastAsia="ar-SA"/>
              </w:rPr>
              <w:t>PEDIATRIA i inne oddziały dziecięce niezabiegowe (niemowlęcy, obserwacyjny, nefrologia, endokrynologia itp.) z wyłączeniem hematologii/onkologii</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39</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37</w:t>
            </w:r>
          </w:p>
        </w:tc>
      </w:tr>
      <w:tr w:rsidR="00AF0FDB" w:rsidRPr="00AF2F04">
        <w:trPr>
          <w:trHeight w:val="1232"/>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8</w:t>
            </w:r>
          </w:p>
        </w:tc>
        <w:tc>
          <w:tcPr>
            <w:tcW w:w="5733" w:type="dxa"/>
            <w:shd w:val="clear" w:color="auto" w:fill="E8E8E8"/>
          </w:tcPr>
          <w:p w:rsidR="00AF0FDB" w:rsidRPr="002C4F7C" w:rsidRDefault="00AF0FDB" w:rsidP="002C4F7C">
            <w:pPr>
              <w:tabs>
                <w:tab w:val="left" w:pos="360"/>
              </w:tabs>
              <w:suppressAutoHyphens/>
              <w:spacing w:line="276" w:lineRule="auto"/>
              <w:jc w:val="both"/>
              <w:rPr>
                <w:sz w:val="18"/>
                <w:szCs w:val="18"/>
                <w:lang w:eastAsia="ar-SA"/>
              </w:rPr>
            </w:pPr>
            <w:r w:rsidRPr="002C4F7C">
              <w:rPr>
                <w:sz w:val="18"/>
                <w:szCs w:val="18"/>
                <w:lang w:eastAsia="ar-SA"/>
              </w:rPr>
              <w:t>ODDZIAŁY NIEZABIEGOWE DOROSŁYCH (interna, wewnętrzny, kardiologia, nefrologia, neurologia, reumatologia, endokrynologia, pulmonologia i inne) z wyłączeniem hematologii/onkologii</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34</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33</w:t>
            </w:r>
          </w:p>
        </w:tc>
      </w:tr>
      <w:tr w:rsidR="00AF0FDB" w:rsidRPr="00AF2F04">
        <w:trPr>
          <w:trHeight w:val="654"/>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9</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PATOLOGIA NOWORODKÓW (bez intensywnej terapii)</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33</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50</w:t>
            </w:r>
          </w:p>
        </w:tc>
      </w:tr>
      <w:tr w:rsidR="00AF0FDB" w:rsidRPr="00AF2F04">
        <w:trPr>
          <w:trHeight w:val="638"/>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10</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NOWORODKOWE (noworodki zdrowe)</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20</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12</w:t>
            </w:r>
          </w:p>
        </w:tc>
      </w:tr>
      <w:tr w:rsidR="00AF0FDB" w:rsidRPr="00AF2F04">
        <w:trPr>
          <w:trHeight w:val="654"/>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11</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HEMATOLOGIA/ONKOLOGIA I INNE ODDZIAŁY SPECJALISTYCZNE ONKOLOGICZNE (np. ginekologia onkologiczna itp.)</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19</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15</w:t>
            </w:r>
          </w:p>
        </w:tc>
      </w:tr>
      <w:tr w:rsidR="00AF0FDB" w:rsidRPr="00AF2F04">
        <w:trPr>
          <w:trHeight w:val="143"/>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12</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ODDZIAŁY ZABIEGOWE DOROSŁYCH z wyłączeniem ortopedii (chirurgia ogólna, urologia, laryngologia, kardiochirurgia, chirurgia onkologiczna, plastyczna, neurochirurgia i inne)</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18</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18</w:t>
            </w:r>
          </w:p>
        </w:tc>
      </w:tr>
      <w:tr w:rsidR="00AF0FDB" w:rsidRPr="00AF2F04">
        <w:trPr>
          <w:trHeight w:val="143"/>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13</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POŁOŻNICTWO / GINEKOLOGIA</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15</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15</w:t>
            </w:r>
          </w:p>
        </w:tc>
      </w:tr>
      <w:tr w:rsidR="00AF0FDB" w:rsidRPr="00AF2F04">
        <w:trPr>
          <w:trHeight w:val="143"/>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14</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OKULISTYKA</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15</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18</w:t>
            </w:r>
          </w:p>
        </w:tc>
      </w:tr>
      <w:tr w:rsidR="00AF0FDB" w:rsidRPr="00AF2F04">
        <w:trPr>
          <w:trHeight w:val="143"/>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15</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DERMATOLOGIA</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14</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24</w:t>
            </w:r>
          </w:p>
        </w:tc>
      </w:tr>
      <w:tr w:rsidR="00AF0FDB" w:rsidRPr="00AF2F04">
        <w:trPr>
          <w:trHeight w:val="143"/>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16</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CHIRURGIA DZIECIĘCA i inne oddziały zabiegowe dla dzieci (np. urologia, laryngologia, kardiochirurgia, neurochirurgia, ortopedia itp.)</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11</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8</w:t>
            </w:r>
          </w:p>
        </w:tc>
      </w:tr>
      <w:tr w:rsidR="00AF0FDB" w:rsidRPr="00AF2F04">
        <w:trPr>
          <w:trHeight w:val="143"/>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17</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ORTOPEDIA / TRAUMATOLOGIA / URAZOWE</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10</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11</w:t>
            </w:r>
          </w:p>
        </w:tc>
      </w:tr>
      <w:tr w:rsidR="00AF0FDB" w:rsidRPr="00AF2F04">
        <w:trPr>
          <w:trHeight w:val="143"/>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18</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ODDZIAŁY DIALIZ w strukturze szpitala</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8</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14</w:t>
            </w:r>
          </w:p>
        </w:tc>
      </w:tr>
      <w:tr w:rsidR="00AF0FDB">
        <w:trPr>
          <w:trHeight w:val="143"/>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19</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PATOLOGIA CIĄŻY</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4</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12</w:t>
            </w:r>
          </w:p>
        </w:tc>
      </w:tr>
      <w:tr w:rsidR="00AF0FDB">
        <w:trPr>
          <w:trHeight w:val="143"/>
        </w:trPr>
        <w:tc>
          <w:tcPr>
            <w:tcW w:w="752"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20</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REHABILITACJA</w:t>
            </w:r>
          </w:p>
        </w:tc>
        <w:tc>
          <w:tcPr>
            <w:tcW w:w="1432"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2</w:t>
            </w:r>
          </w:p>
        </w:tc>
        <w:tc>
          <w:tcPr>
            <w:tcW w:w="131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w:t>
            </w:r>
          </w:p>
        </w:tc>
      </w:tr>
      <w:tr w:rsidR="00AF0FDB">
        <w:trPr>
          <w:trHeight w:val="143"/>
        </w:trPr>
        <w:tc>
          <w:tcPr>
            <w:tcW w:w="752"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21</w:t>
            </w:r>
          </w:p>
        </w:tc>
        <w:tc>
          <w:tcPr>
            <w:tcW w:w="5733" w:type="dxa"/>
            <w:shd w:val="clear" w:color="auto" w:fill="E8E8E8"/>
          </w:tcPr>
          <w:p w:rsidR="00AF0FDB" w:rsidRPr="002C4F7C" w:rsidRDefault="00AF0FDB" w:rsidP="002C4F7C">
            <w:pPr>
              <w:tabs>
                <w:tab w:val="left" w:pos="360"/>
              </w:tabs>
              <w:suppressAutoHyphens/>
              <w:jc w:val="both"/>
              <w:rPr>
                <w:sz w:val="18"/>
                <w:szCs w:val="18"/>
                <w:lang w:eastAsia="ar-SA"/>
              </w:rPr>
            </w:pPr>
            <w:r w:rsidRPr="002C4F7C">
              <w:rPr>
                <w:sz w:val="18"/>
                <w:szCs w:val="18"/>
                <w:lang w:eastAsia="ar-SA"/>
              </w:rPr>
              <w:t>Psychiatria</w:t>
            </w:r>
          </w:p>
        </w:tc>
        <w:tc>
          <w:tcPr>
            <w:tcW w:w="1432"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2</w:t>
            </w:r>
          </w:p>
        </w:tc>
        <w:tc>
          <w:tcPr>
            <w:tcW w:w="131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w:t>
            </w:r>
          </w:p>
        </w:tc>
      </w:tr>
      <w:tr w:rsidR="00AF0FDB">
        <w:trPr>
          <w:trHeight w:val="143"/>
        </w:trPr>
        <w:tc>
          <w:tcPr>
            <w:tcW w:w="752" w:type="dxa"/>
            <w:tcBorders>
              <w:top w:val="double" w:sz="6" w:space="0" w:color="A5A5A5"/>
            </w:tcBorders>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22</w:t>
            </w:r>
          </w:p>
        </w:tc>
        <w:tc>
          <w:tcPr>
            <w:tcW w:w="5733" w:type="dxa"/>
            <w:tcBorders>
              <w:top w:val="double" w:sz="6" w:space="0" w:color="A5A5A5"/>
            </w:tcBorders>
            <w:shd w:val="clear" w:color="auto" w:fill="E8E8E8"/>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ZOL w strukturze szpitala</w:t>
            </w:r>
          </w:p>
        </w:tc>
        <w:tc>
          <w:tcPr>
            <w:tcW w:w="1432" w:type="dxa"/>
            <w:tcBorders>
              <w:top w:val="double" w:sz="6" w:space="0" w:color="A5A5A5"/>
            </w:tcBorders>
          </w:tcPr>
          <w:p w:rsidR="00AF0FDB" w:rsidRPr="002C4F7C" w:rsidRDefault="00AF0FDB" w:rsidP="002C4F7C">
            <w:pPr>
              <w:tabs>
                <w:tab w:val="left" w:pos="360"/>
              </w:tabs>
              <w:suppressAutoHyphens/>
              <w:jc w:val="center"/>
              <w:rPr>
                <w:b/>
                <w:bCs/>
                <w:sz w:val="20"/>
                <w:szCs w:val="20"/>
                <w:lang w:eastAsia="ar-SA"/>
              </w:rPr>
            </w:pPr>
            <w:r w:rsidRPr="002C4F7C">
              <w:rPr>
                <w:sz w:val="20"/>
                <w:szCs w:val="20"/>
                <w:lang w:eastAsia="ar-SA"/>
              </w:rPr>
              <w:t>0,3</w:t>
            </w:r>
          </w:p>
        </w:tc>
        <w:tc>
          <w:tcPr>
            <w:tcW w:w="1317" w:type="dxa"/>
            <w:tcBorders>
              <w:top w:val="double" w:sz="6" w:space="0" w:color="A5A5A5"/>
            </w:tcBorders>
          </w:tcPr>
          <w:p w:rsidR="00AF0FDB" w:rsidRPr="002C4F7C" w:rsidRDefault="00AF0FDB" w:rsidP="002C4F7C">
            <w:pPr>
              <w:tabs>
                <w:tab w:val="left" w:pos="360"/>
              </w:tabs>
              <w:suppressAutoHyphens/>
              <w:jc w:val="center"/>
              <w:rPr>
                <w:b/>
                <w:bCs/>
                <w:sz w:val="20"/>
                <w:szCs w:val="20"/>
                <w:lang w:eastAsia="ar-SA"/>
              </w:rPr>
            </w:pPr>
            <w:r w:rsidRPr="002C4F7C">
              <w:rPr>
                <w:sz w:val="20"/>
                <w:szCs w:val="20"/>
                <w:lang w:eastAsia="ar-SA"/>
              </w:rPr>
              <w:t>0,3</w:t>
            </w:r>
          </w:p>
        </w:tc>
      </w:tr>
    </w:tbl>
    <w:p w:rsidR="00AF0FDB" w:rsidRPr="002E4C65" w:rsidRDefault="00AF0FDB" w:rsidP="0090094A">
      <w:pPr>
        <w:tabs>
          <w:tab w:val="left" w:pos="360"/>
        </w:tabs>
        <w:jc w:val="both"/>
      </w:pPr>
      <w:r w:rsidRPr="002E4C65">
        <w:t xml:space="preserve">Rozpatrując wskaźniki liczby badań mikrobiologicznych na 1 hospitalizowanego pacjenta,  podobnie jak w roku 2016 najlepiej wypadają oddziały intensywnej terapii dzieci </w:t>
      </w:r>
      <w:r w:rsidRPr="002E4C65">
        <w:br/>
        <w:t xml:space="preserve">(z wyłączeniem noworodków) – 9,4 badań/pacjenta (w 2016 roku 10,1 badania) – powyżej normy europejskiej. Powyżej 2 badań na pacjenta w 2017 roku wykonywano w oddziałach oparzeniowych (5,1) oraz intensywnej terapii dorosłych (2,5). W pozostałych oddziałach nie jest osiągana europejska granica 2 badań/pacjenta. Spadek wskaźnika liczby badań/pacjenta </w:t>
      </w:r>
      <w:r w:rsidRPr="002E4C65">
        <w:br/>
        <w:t>w 2017 roku stwierdzono dla oddziałów transplantologii (1,8), zakaźnych (1,1), patologii noworodków (bez intensywnej terapii) - 0,9 oraz w zakładach opiekuńczo-leczniczych/pielęgnacyjno-opiekuńczych będących w strukturze szpitala – 0,1 (w 2016 roku 0,2 badania/pacjenta). Dla oddziału intensywnej terapii noworodków wskaźnik liczby badań mikrobiologicznych/pacjenta/rok wyniósł 0 (w 2016 roku 1,8 badań/pacjenta).</w:t>
      </w:r>
    </w:p>
    <w:p w:rsidR="00AF0FDB" w:rsidRDefault="00AF0FDB" w:rsidP="00642C07">
      <w:pPr>
        <w:keepNext/>
        <w:suppressAutoHyphens/>
        <w:rPr>
          <w:sz w:val="20"/>
          <w:szCs w:val="20"/>
          <w:lang w:eastAsia="ar-SA"/>
        </w:rPr>
      </w:pPr>
      <w:r>
        <w:rPr>
          <w:b/>
          <w:bCs/>
          <w:sz w:val="20"/>
          <w:szCs w:val="20"/>
          <w:lang w:eastAsia="ar-SA"/>
        </w:rPr>
        <w:t xml:space="preserve">Tab. 6.3. </w:t>
      </w:r>
      <w:r>
        <w:rPr>
          <w:sz w:val="20"/>
          <w:szCs w:val="20"/>
          <w:lang w:eastAsia="ar-SA"/>
        </w:rPr>
        <w:t xml:space="preserve">Liczba badań mikrobiologicznych w podmiotach leczniczych powiatu poznańskiego w latach </w:t>
      </w:r>
      <w:r>
        <w:rPr>
          <w:sz w:val="20"/>
          <w:szCs w:val="20"/>
          <w:lang w:eastAsia="ar-SA"/>
        </w:rPr>
        <w:br/>
        <w:t xml:space="preserve">2016-2017, wg typów oddziałów. Wskaźnik w przeliczeniu na 1 pacjenta. </w:t>
      </w:r>
    </w:p>
    <w:tbl>
      <w:tblPr>
        <w:tblW w:w="9156"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1E0"/>
      </w:tblPr>
      <w:tblGrid>
        <w:gridCol w:w="634"/>
        <w:gridCol w:w="5795"/>
        <w:gridCol w:w="1420"/>
        <w:gridCol w:w="1307"/>
      </w:tblGrid>
      <w:tr w:rsidR="00AF0FDB">
        <w:trPr>
          <w:trHeight w:val="370"/>
          <w:tblHeader/>
        </w:trPr>
        <w:tc>
          <w:tcPr>
            <w:tcW w:w="634" w:type="dxa"/>
            <w:vMerge w:val="restart"/>
            <w:tcBorders>
              <w:bottom w:val="single" w:sz="18" w:space="0" w:color="A5A5A5"/>
            </w:tcBorders>
          </w:tcPr>
          <w:p w:rsidR="00AF0FDB" w:rsidRPr="002C4F7C" w:rsidRDefault="00AF0FDB" w:rsidP="002C4F7C">
            <w:pPr>
              <w:tabs>
                <w:tab w:val="left" w:pos="360"/>
              </w:tabs>
              <w:suppressAutoHyphens/>
              <w:jc w:val="both"/>
              <w:rPr>
                <w:b/>
                <w:bCs/>
                <w:sz w:val="20"/>
                <w:szCs w:val="20"/>
                <w:lang w:eastAsia="ar-SA"/>
              </w:rPr>
            </w:pPr>
            <w:r w:rsidRPr="002C4F7C">
              <w:rPr>
                <w:b/>
                <w:bCs/>
                <w:sz w:val="20"/>
                <w:szCs w:val="20"/>
                <w:lang w:eastAsia="ar-SA"/>
              </w:rPr>
              <w:t>L.p</w:t>
            </w:r>
          </w:p>
        </w:tc>
        <w:tc>
          <w:tcPr>
            <w:tcW w:w="5795" w:type="dxa"/>
            <w:vMerge w:val="restart"/>
            <w:tcBorders>
              <w:bottom w:val="single" w:sz="18" w:space="0" w:color="A5A5A5"/>
            </w:tcBorders>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b/>
                <w:bCs/>
                <w:sz w:val="20"/>
                <w:szCs w:val="20"/>
                <w:lang w:eastAsia="ar-SA"/>
              </w:rPr>
              <w:t>Kategorie oddziałów</w:t>
            </w:r>
          </w:p>
        </w:tc>
        <w:tc>
          <w:tcPr>
            <w:tcW w:w="2726" w:type="dxa"/>
            <w:gridSpan w:val="2"/>
            <w:tcBorders>
              <w:bottom w:val="single" w:sz="18"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Liczba badań / pacjenta</w:t>
            </w:r>
          </w:p>
        </w:tc>
      </w:tr>
      <w:tr w:rsidR="00AF0FDB">
        <w:trPr>
          <w:trHeight w:val="83"/>
          <w:tblHeader/>
        </w:trPr>
        <w:tc>
          <w:tcPr>
            <w:tcW w:w="634" w:type="dxa"/>
            <w:vMerge/>
            <w:tcBorders>
              <w:bottom w:val="single" w:sz="18" w:space="0" w:color="A5A5A5"/>
            </w:tcBorders>
          </w:tcPr>
          <w:p w:rsidR="00AF0FDB" w:rsidRPr="002C4F7C" w:rsidRDefault="00AF0FDB" w:rsidP="002C4F7C">
            <w:pPr>
              <w:spacing w:after="0" w:line="240" w:lineRule="auto"/>
              <w:rPr>
                <w:b/>
                <w:bCs/>
                <w:sz w:val="20"/>
                <w:szCs w:val="20"/>
                <w:lang w:eastAsia="ar-SA"/>
              </w:rPr>
            </w:pPr>
          </w:p>
        </w:tc>
        <w:tc>
          <w:tcPr>
            <w:tcW w:w="5795" w:type="dxa"/>
            <w:vMerge/>
            <w:tcBorders>
              <w:bottom w:val="single" w:sz="18" w:space="0" w:color="A5A5A5"/>
            </w:tcBorders>
            <w:shd w:val="clear" w:color="auto" w:fill="E8E8E8"/>
          </w:tcPr>
          <w:p w:rsidR="00AF0FDB" w:rsidRPr="002C4F7C" w:rsidRDefault="00AF0FDB" w:rsidP="002C4F7C">
            <w:pPr>
              <w:spacing w:after="0" w:line="240" w:lineRule="auto"/>
              <w:rPr>
                <w:b/>
                <w:bCs/>
                <w:sz w:val="20"/>
                <w:szCs w:val="20"/>
                <w:lang w:eastAsia="ar-SA"/>
              </w:rPr>
            </w:pPr>
          </w:p>
        </w:tc>
        <w:tc>
          <w:tcPr>
            <w:tcW w:w="1420" w:type="dxa"/>
            <w:tcBorders>
              <w:bottom w:val="single" w:sz="18"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2016</w:t>
            </w:r>
          </w:p>
        </w:tc>
        <w:tc>
          <w:tcPr>
            <w:tcW w:w="1307" w:type="dxa"/>
            <w:tcBorders>
              <w:bottom w:val="single" w:sz="18"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2017</w:t>
            </w:r>
          </w:p>
        </w:tc>
      </w:tr>
      <w:tr w:rsidR="00AF0FDB">
        <w:trPr>
          <w:trHeight w:val="965"/>
        </w:trPr>
        <w:tc>
          <w:tcPr>
            <w:tcW w:w="634"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OIOM/OIT i inne oddziały intensywnej terapii DZIECI DZIAŁAJĄCE JAKO WYDZIELONE JEDNOSTKI ORGANIZACYJNE z wyłączeniem oddziałów noworodkowych</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10,1</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9,4</w:t>
            </w:r>
          </w:p>
        </w:tc>
      </w:tr>
      <w:tr w:rsidR="00AF0FDB">
        <w:trPr>
          <w:trHeight w:val="370"/>
        </w:trPr>
        <w:tc>
          <w:tcPr>
            <w:tcW w:w="634"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2</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OPARZENIOWE</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4,8</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5,1</w:t>
            </w:r>
          </w:p>
        </w:tc>
      </w:tr>
      <w:tr w:rsidR="00AF0FDB">
        <w:trPr>
          <w:trHeight w:val="379"/>
        </w:trPr>
        <w:tc>
          <w:tcPr>
            <w:tcW w:w="634"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3</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TRANSPLANTOLOGIA</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2,4</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1,8</w:t>
            </w:r>
          </w:p>
        </w:tc>
      </w:tr>
      <w:tr w:rsidR="00AF0FDB">
        <w:trPr>
          <w:trHeight w:val="706"/>
        </w:trPr>
        <w:tc>
          <w:tcPr>
            <w:tcW w:w="634"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4</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OIOM/OIT i inne oddziały intensywnej terapii DOROSŁYCH DZIAŁAJĄCE JAKO WYDZIELONE JEDNOSTKI ORGANIZACYJNE</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2,3</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2,5</w:t>
            </w:r>
          </w:p>
        </w:tc>
      </w:tr>
      <w:tr w:rsidR="00AF0FDB">
        <w:trPr>
          <w:trHeight w:val="370"/>
        </w:trPr>
        <w:tc>
          <w:tcPr>
            <w:tcW w:w="634"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5</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INTENSYWNA TERAPIA NOWORODKÓW</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1,8</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w:t>
            </w:r>
          </w:p>
        </w:tc>
      </w:tr>
      <w:tr w:rsidR="00AF0FDB">
        <w:trPr>
          <w:trHeight w:val="307"/>
        </w:trPr>
        <w:tc>
          <w:tcPr>
            <w:tcW w:w="634"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6</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ZAKAŹNE</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1,5</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1,1</w:t>
            </w:r>
          </w:p>
        </w:tc>
      </w:tr>
      <w:tr w:rsidR="00AF0FDB">
        <w:trPr>
          <w:trHeight w:val="223"/>
        </w:trPr>
        <w:tc>
          <w:tcPr>
            <w:tcW w:w="634"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7</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PATOLOGIA NOWORODKÓW (bez intensywnej terapii)</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1</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0,9</w:t>
            </w:r>
          </w:p>
        </w:tc>
      </w:tr>
      <w:tr w:rsidR="00AF0FDB">
        <w:trPr>
          <w:trHeight w:val="629"/>
        </w:trPr>
        <w:tc>
          <w:tcPr>
            <w:tcW w:w="634"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8</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PEDIATRIA i inne oddziały dziecięce niezabiegowe (niemowlęcy, obserwacyjny, nefrologia, endokrynologia itp.) z wyłączeniem hematologii/onkologii</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0,6</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0,6</w:t>
            </w:r>
          </w:p>
        </w:tc>
      </w:tr>
      <w:tr w:rsidR="00AF0FDB">
        <w:trPr>
          <w:trHeight w:val="974"/>
        </w:trPr>
        <w:tc>
          <w:tcPr>
            <w:tcW w:w="634"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9</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ODDZIAŁY NIEZABIEGOWE dorosłych (interna, wewnętrzny, kardiologia, nefrologia, neurologia, reumatologia, endokrynologia, pulmonologia i inne) z wyłączeniem hematologii/onkologii</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0,6</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0,7</w:t>
            </w:r>
          </w:p>
        </w:tc>
      </w:tr>
      <w:tr w:rsidR="00AF0FDB">
        <w:trPr>
          <w:trHeight w:val="630"/>
        </w:trPr>
        <w:tc>
          <w:tcPr>
            <w:tcW w:w="634" w:type="dxa"/>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10</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DERMATOLOGICZNE</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0,4</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0,5</w:t>
            </w:r>
          </w:p>
        </w:tc>
      </w:tr>
      <w:tr w:rsidR="00AF0FDB">
        <w:trPr>
          <w:trHeight w:val="965"/>
        </w:trPr>
        <w:tc>
          <w:tcPr>
            <w:tcW w:w="634" w:type="dxa"/>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11</w:t>
            </w:r>
          </w:p>
        </w:tc>
        <w:tc>
          <w:tcPr>
            <w:tcW w:w="5795" w:type="dxa"/>
            <w:shd w:val="clear" w:color="auto" w:fill="E8E8E8"/>
          </w:tcPr>
          <w:p w:rsidR="00AF0FDB" w:rsidRPr="002C4F7C" w:rsidRDefault="00AF0FDB" w:rsidP="002C4F7C">
            <w:pPr>
              <w:tabs>
                <w:tab w:val="left" w:pos="360"/>
              </w:tabs>
              <w:suppressAutoHyphens/>
              <w:rPr>
                <w:sz w:val="20"/>
                <w:szCs w:val="20"/>
                <w:lang w:eastAsia="ar-SA"/>
              </w:rPr>
            </w:pPr>
            <w:r w:rsidRPr="002C4F7C">
              <w:rPr>
                <w:sz w:val="20"/>
                <w:szCs w:val="20"/>
                <w:lang w:eastAsia="ar-SA"/>
              </w:rPr>
              <w:t>ODDZIAŁY ZABIEGOWE DOROSŁYCH z wyłączeniem ortopedii (chirurgia ogólna, urologia, laryngologia, kardiochirurgia, chirurgia onkologiczna, plastyczna, neurochirurgia i inne)</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0,3</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0,3</w:t>
            </w:r>
          </w:p>
        </w:tc>
      </w:tr>
      <w:tr w:rsidR="00AF0FDB">
        <w:trPr>
          <w:trHeight w:val="370"/>
        </w:trPr>
        <w:tc>
          <w:tcPr>
            <w:tcW w:w="634" w:type="dxa"/>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12</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ZOL w strukturze szpitala</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0,1</w:t>
            </w:r>
          </w:p>
        </w:tc>
      </w:tr>
      <w:tr w:rsidR="00AF0FDB">
        <w:trPr>
          <w:trHeight w:val="370"/>
        </w:trPr>
        <w:tc>
          <w:tcPr>
            <w:tcW w:w="634" w:type="dxa"/>
            <w:shd w:val="clear" w:color="auto" w:fill="E8E8E8"/>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13</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NOWORODKOWE (noworodki zdrowe)</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0,2</w:t>
            </w:r>
          </w:p>
        </w:tc>
      </w:tr>
      <w:tr w:rsidR="00AF0FDB">
        <w:trPr>
          <w:trHeight w:val="379"/>
        </w:trPr>
        <w:tc>
          <w:tcPr>
            <w:tcW w:w="634" w:type="dxa"/>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14</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ORTOPEDIA / TRAUMATOLOGIA / URAZOWE</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0,2</w:t>
            </w:r>
          </w:p>
        </w:tc>
      </w:tr>
      <w:tr w:rsidR="00AF0FDB">
        <w:trPr>
          <w:trHeight w:val="768"/>
        </w:trPr>
        <w:tc>
          <w:tcPr>
            <w:tcW w:w="634" w:type="dxa"/>
            <w:shd w:val="clear" w:color="auto" w:fill="E8E8E8"/>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15</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CHIRURGIA DZIECIĘCA i inne oddziały zabiegowe dla dzieci (np. urologia, laryngologia, kardiochirurgia, neurochirurgia, ortopedia itp.)</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0,2</w:t>
            </w:r>
          </w:p>
        </w:tc>
      </w:tr>
      <w:tr w:rsidR="00AF0FDB">
        <w:trPr>
          <w:trHeight w:val="768"/>
        </w:trPr>
        <w:tc>
          <w:tcPr>
            <w:tcW w:w="634" w:type="dxa"/>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16</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HEMATOLOGIA/ONKOLOGIA I INNE ODDZIAŁY SPECJALISTYCZNE ONKOLOGICZNE (np. ginekologia onkologiczna itp.)</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0,2</w:t>
            </w:r>
          </w:p>
        </w:tc>
      </w:tr>
      <w:tr w:rsidR="00AF0FDB">
        <w:trPr>
          <w:trHeight w:val="379"/>
        </w:trPr>
        <w:tc>
          <w:tcPr>
            <w:tcW w:w="634" w:type="dxa"/>
            <w:shd w:val="clear" w:color="auto" w:fill="E8E8E8"/>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17</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Oddziały dializ w strukturze szpitala</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0,02</w:t>
            </w:r>
          </w:p>
        </w:tc>
      </w:tr>
      <w:tr w:rsidR="00AF0FDB">
        <w:trPr>
          <w:trHeight w:val="370"/>
        </w:trPr>
        <w:tc>
          <w:tcPr>
            <w:tcW w:w="634" w:type="dxa"/>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18</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Psychiatria</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0,2</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0,07</w:t>
            </w:r>
          </w:p>
        </w:tc>
      </w:tr>
      <w:tr w:rsidR="00AF0FDB">
        <w:trPr>
          <w:trHeight w:val="370"/>
        </w:trPr>
        <w:tc>
          <w:tcPr>
            <w:tcW w:w="634" w:type="dxa"/>
            <w:shd w:val="clear" w:color="auto" w:fill="E8E8E8"/>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19</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POŁOŻNICTWO / GINEKOLOGIA</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0,1</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0,2</w:t>
            </w:r>
          </w:p>
        </w:tc>
      </w:tr>
      <w:tr w:rsidR="00AF0FDB">
        <w:trPr>
          <w:trHeight w:val="379"/>
        </w:trPr>
        <w:tc>
          <w:tcPr>
            <w:tcW w:w="634" w:type="dxa"/>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20</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REHABILITACJA</w:t>
            </w:r>
          </w:p>
        </w:tc>
        <w:tc>
          <w:tcPr>
            <w:tcW w:w="1420" w:type="dxa"/>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0,1</w:t>
            </w:r>
          </w:p>
        </w:tc>
        <w:tc>
          <w:tcPr>
            <w:tcW w:w="1307" w:type="dxa"/>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0,06</w:t>
            </w:r>
          </w:p>
        </w:tc>
      </w:tr>
      <w:tr w:rsidR="00AF0FDB">
        <w:trPr>
          <w:trHeight w:val="370"/>
        </w:trPr>
        <w:tc>
          <w:tcPr>
            <w:tcW w:w="634" w:type="dxa"/>
            <w:shd w:val="clear" w:color="auto" w:fill="E8E8E8"/>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21</w:t>
            </w:r>
          </w:p>
        </w:tc>
        <w:tc>
          <w:tcPr>
            <w:tcW w:w="5795" w:type="dxa"/>
            <w:shd w:val="clear" w:color="auto" w:fill="E8E8E8"/>
          </w:tcPr>
          <w:p w:rsidR="00AF0FDB" w:rsidRPr="002C4F7C" w:rsidRDefault="00AF0FDB" w:rsidP="002C4F7C">
            <w:pPr>
              <w:tabs>
                <w:tab w:val="left" w:pos="360"/>
              </w:tabs>
              <w:suppressAutoHyphens/>
              <w:jc w:val="both"/>
              <w:rPr>
                <w:sz w:val="20"/>
                <w:szCs w:val="20"/>
                <w:lang w:eastAsia="ar-SA"/>
              </w:rPr>
            </w:pPr>
            <w:r w:rsidRPr="002C4F7C">
              <w:rPr>
                <w:sz w:val="20"/>
                <w:szCs w:val="20"/>
                <w:lang w:eastAsia="ar-SA"/>
              </w:rPr>
              <w:t>OKULISTYKA</w:t>
            </w:r>
          </w:p>
        </w:tc>
        <w:tc>
          <w:tcPr>
            <w:tcW w:w="1420" w:type="dxa"/>
            <w:shd w:val="clear" w:color="auto" w:fill="E8E8E8"/>
          </w:tcPr>
          <w:p w:rsidR="00AF0FDB" w:rsidRPr="002C4F7C" w:rsidRDefault="00AF0FDB" w:rsidP="002C4F7C">
            <w:pPr>
              <w:tabs>
                <w:tab w:val="left" w:pos="360"/>
              </w:tabs>
              <w:suppressAutoHyphens/>
              <w:jc w:val="center"/>
              <w:rPr>
                <w:sz w:val="20"/>
                <w:szCs w:val="20"/>
                <w:lang w:eastAsia="ar-SA"/>
              </w:rPr>
            </w:pPr>
            <w:r w:rsidRPr="002C4F7C">
              <w:rPr>
                <w:sz w:val="20"/>
                <w:szCs w:val="20"/>
                <w:lang w:eastAsia="ar-SA"/>
              </w:rPr>
              <w:t>0,1</w:t>
            </w:r>
          </w:p>
        </w:tc>
        <w:tc>
          <w:tcPr>
            <w:tcW w:w="1307" w:type="dxa"/>
            <w:shd w:val="clear" w:color="auto" w:fill="E8E8E8"/>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0,2</w:t>
            </w:r>
          </w:p>
        </w:tc>
      </w:tr>
      <w:tr w:rsidR="00AF0FDB">
        <w:trPr>
          <w:trHeight w:val="370"/>
        </w:trPr>
        <w:tc>
          <w:tcPr>
            <w:tcW w:w="634" w:type="dxa"/>
            <w:tcBorders>
              <w:top w:val="double" w:sz="6" w:space="0" w:color="A5A5A5"/>
            </w:tcBorders>
          </w:tcPr>
          <w:p w:rsidR="00AF0FDB" w:rsidRPr="002C4F7C" w:rsidRDefault="00AF0FDB" w:rsidP="002C4F7C">
            <w:pPr>
              <w:tabs>
                <w:tab w:val="left" w:pos="360"/>
              </w:tabs>
              <w:suppressAutoHyphens/>
              <w:jc w:val="both"/>
              <w:rPr>
                <w:b/>
                <w:bCs/>
                <w:sz w:val="18"/>
                <w:szCs w:val="18"/>
                <w:lang w:eastAsia="ar-SA"/>
              </w:rPr>
            </w:pPr>
            <w:r w:rsidRPr="002C4F7C">
              <w:rPr>
                <w:sz w:val="18"/>
                <w:szCs w:val="18"/>
                <w:lang w:eastAsia="ar-SA"/>
              </w:rPr>
              <w:t>22</w:t>
            </w:r>
          </w:p>
        </w:tc>
        <w:tc>
          <w:tcPr>
            <w:tcW w:w="5795" w:type="dxa"/>
            <w:tcBorders>
              <w:top w:val="double" w:sz="6" w:space="0" w:color="A5A5A5"/>
            </w:tcBorders>
            <w:shd w:val="clear" w:color="auto" w:fill="E8E8E8"/>
          </w:tcPr>
          <w:p w:rsidR="00AF0FDB" w:rsidRPr="002C4F7C" w:rsidRDefault="00AF0FDB" w:rsidP="002C4F7C">
            <w:pPr>
              <w:tabs>
                <w:tab w:val="left" w:pos="360"/>
              </w:tabs>
              <w:suppressAutoHyphens/>
              <w:jc w:val="both"/>
              <w:rPr>
                <w:b/>
                <w:bCs/>
                <w:sz w:val="20"/>
                <w:szCs w:val="20"/>
                <w:lang w:eastAsia="ar-SA"/>
              </w:rPr>
            </w:pPr>
            <w:r w:rsidRPr="002C4F7C">
              <w:rPr>
                <w:sz w:val="20"/>
                <w:szCs w:val="20"/>
                <w:lang w:eastAsia="ar-SA"/>
              </w:rPr>
              <w:t>PATOLOGIA CIĄŻY</w:t>
            </w:r>
          </w:p>
        </w:tc>
        <w:tc>
          <w:tcPr>
            <w:tcW w:w="1420" w:type="dxa"/>
            <w:tcBorders>
              <w:top w:val="double" w:sz="6"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0,03</w:t>
            </w:r>
          </w:p>
        </w:tc>
        <w:tc>
          <w:tcPr>
            <w:tcW w:w="1307" w:type="dxa"/>
            <w:tcBorders>
              <w:top w:val="double" w:sz="6" w:space="0" w:color="A5A5A5"/>
            </w:tcBorders>
          </w:tcPr>
          <w:p w:rsidR="00AF0FDB" w:rsidRPr="002C4F7C" w:rsidRDefault="00AF0FDB" w:rsidP="002C4F7C">
            <w:pPr>
              <w:tabs>
                <w:tab w:val="left" w:pos="360"/>
              </w:tabs>
              <w:suppressAutoHyphens/>
              <w:jc w:val="center"/>
              <w:rPr>
                <w:b/>
                <w:bCs/>
                <w:sz w:val="20"/>
                <w:szCs w:val="20"/>
                <w:lang w:eastAsia="ar-SA"/>
              </w:rPr>
            </w:pPr>
            <w:r w:rsidRPr="002C4F7C">
              <w:rPr>
                <w:b/>
                <w:bCs/>
                <w:sz w:val="20"/>
                <w:szCs w:val="20"/>
                <w:lang w:eastAsia="ar-SA"/>
              </w:rPr>
              <w:t>0,07</w:t>
            </w:r>
          </w:p>
        </w:tc>
      </w:tr>
    </w:tbl>
    <w:p w:rsidR="00AF0FDB" w:rsidRDefault="00AF0FDB" w:rsidP="00642C07">
      <w:pPr>
        <w:tabs>
          <w:tab w:val="left" w:pos="360"/>
        </w:tabs>
        <w:suppressAutoHyphens/>
        <w:spacing w:after="0"/>
        <w:jc w:val="both"/>
        <w:rPr>
          <w:lang w:eastAsia="ar-SA"/>
        </w:rPr>
      </w:pPr>
      <w:r>
        <w:rPr>
          <w:lang w:eastAsia="ar-SA"/>
        </w:rPr>
        <w:tab/>
      </w:r>
    </w:p>
    <w:p w:rsidR="00AF0FDB" w:rsidRPr="002E4C65" w:rsidRDefault="00AF0FDB" w:rsidP="009B12E7">
      <w:pPr>
        <w:tabs>
          <w:tab w:val="left" w:pos="360"/>
        </w:tabs>
        <w:suppressAutoHyphens/>
        <w:spacing w:after="0"/>
        <w:ind w:left="360"/>
        <w:jc w:val="both"/>
        <w:rPr>
          <w:lang w:eastAsia="ar-SA"/>
        </w:rPr>
      </w:pPr>
      <w:r w:rsidRPr="002E4C65">
        <w:rPr>
          <w:lang w:eastAsia="ar-SA"/>
        </w:rPr>
        <w:t xml:space="preserve">W 2017 roku najczęstszymi czynnikami etiologicznymi zakażeń szpitalnych </w:t>
      </w:r>
      <w:r w:rsidRPr="002E4C65">
        <w:rPr>
          <w:lang w:eastAsia="ar-SA"/>
        </w:rPr>
        <w:br/>
        <w:t>w przeliczeniu na 1000 pacjentów hospitalizowanych były drobnoustroje alarmowe:</w:t>
      </w:r>
    </w:p>
    <w:p w:rsidR="00AF0FDB" w:rsidRPr="002E4C65" w:rsidRDefault="00AF0FDB" w:rsidP="00DE0EFA">
      <w:pPr>
        <w:numPr>
          <w:ilvl w:val="0"/>
          <w:numId w:val="16"/>
        </w:numPr>
        <w:tabs>
          <w:tab w:val="left" w:pos="360"/>
        </w:tabs>
        <w:suppressAutoHyphens/>
        <w:spacing w:before="0" w:after="0"/>
        <w:jc w:val="both"/>
        <w:rPr>
          <w:lang w:eastAsia="ar-SA"/>
        </w:rPr>
      </w:pPr>
      <w:r w:rsidRPr="002E4C65">
        <w:rPr>
          <w:i/>
          <w:iCs/>
          <w:lang w:eastAsia="ar-SA"/>
        </w:rPr>
        <w:t xml:space="preserve">Klebsiella </w:t>
      </w:r>
      <w:r w:rsidRPr="002E4C65">
        <w:rPr>
          <w:lang w:eastAsia="ar-SA"/>
        </w:rPr>
        <w:t>spp. ESβL (wsp. zap. 1,8/1000),</w:t>
      </w:r>
    </w:p>
    <w:p w:rsidR="00AF0FDB" w:rsidRPr="002E4C65" w:rsidRDefault="00AF0FDB" w:rsidP="00DE0EFA">
      <w:pPr>
        <w:numPr>
          <w:ilvl w:val="0"/>
          <w:numId w:val="16"/>
        </w:numPr>
        <w:tabs>
          <w:tab w:val="left" w:pos="360"/>
        </w:tabs>
        <w:suppressAutoHyphens/>
        <w:spacing w:before="0" w:after="0"/>
        <w:jc w:val="both"/>
        <w:rPr>
          <w:i/>
          <w:iCs/>
          <w:lang w:eastAsia="ar-SA"/>
        </w:rPr>
      </w:pPr>
      <w:r w:rsidRPr="002E4C65">
        <w:rPr>
          <w:lang w:eastAsia="ar-SA"/>
        </w:rPr>
        <w:t>Rotawirusy</w:t>
      </w:r>
      <w:r w:rsidRPr="002E4C65">
        <w:rPr>
          <w:i/>
          <w:iCs/>
          <w:lang w:eastAsia="ar-SA"/>
        </w:rPr>
        <w:t xml:space="preserve"> </w:t>
      </w:r>
      <w:r w:rsidRPr="002E4C65">
        <w:rPr>
          <w:lang w:eastAsia="ar-SA"/>
        </w:rPr>
        <w:t>(wsp. zap. 1,8/1000),</w:t>
      </w:r>
    </w:p>
    <w:p w:rsidR="00AF0FDB" w:rsidRPr="002E4C65" w:rsidRDefault="00AF0FDB" w:rsidP="00DE0EFA">
      <w:pPr>
        <w:numPr>
          <w:ilvl w:val="0"/>
          <w:numId w:val="16"/>
        </w:numPr>
        <w:tabs>
          <w:tab w:val="left" w:pos="360"/>
        </w:tabs>
        <w:suppressAutoHyphens/>
        <w:spacing w:before="0" w:after="0"/>
        <w:jc w:val="both"/>
        <w:rPr>
          <w:lang w:eastAsia="ar-SA"/>
        </w:rPr>
      </w:pPr>
      <w:r w:rsidRPr="002E4C65">
        <w:rPr>
          <w:i/>
          <w:iCs/>
          <w:lang w:eastAsia="ar-SA"/>
        </w:rPr>
        <w:t xml:space="preserve">Clostridium difficile </w:t>
      </w:r>
      <w:r w:rsidRPr="002E4C65">
        <w:rPr>
          <w:lang w:eastAsia="ar-SA"/>
        </w:rPr>
        <w:t>(wsp. zap. 1,6/1000),</w:t>
      </w:r>
    </w:p>
    <w:p w:rsidR="00AF0FDB" w:rsidRPr="002E4C65" w:rsidRDefault="00AF0FDB" w:rsidP="00DE0EFA">
      <w:pPr>
        <w:numPr>
          <w:ilvl w:val="0"/>
          <w:numId w:val="16"/>
        </w:numPr>
        <w:tabs>
          <w:tab w:val="left" w:pos="360"/>
        </w:tabs>
        <w:suppressAutoHyphens/>
        <w:spacing w:before="0" w:after="0"/>
        <w:jc w:val="both"/>
        <w:rPr>
          <w:lang w:val="en-US" w:eastAsia="ar-SA"/>
        </w:rPr>
      </w:pPr>
      <w:r w:rsidRPr="002E4C65">
        <w:rPr>
          <w:i/>
          <w:iCs/>
          <w:lang w:val="en-US" w:eastAsia="ar-SA"/>
        </w:rPr>
        <w:t xml:space="preserve">Eschericha coli </w:t>
      </w:r>
      <w:r w:rsidRPr="002E4C65">
        <w:rPr>
          <w:lang w:val="en-US" w:eastAsia="ar-SA"/>
        </w:rPr>
        <w:t>ES</w:t>
      </w:r>
      <w:r w:rsidRPr="002E4C65">
        <w:rPr>
          <w:lang w:eastAsia="ar-SA"/>
        </w:rPr>
        <w:t>β</w:t>
      </w:r>
      <w:r w:rsidRPr="002E4C65">
        <w:rPr>
          <w:lang w:val="en-US" w:eastAsia="ar-SA"/>
        </w:rPr>
        <w:t>L (wsp. zap. 0,8/1000),</w:t>
      </w:r>
    </w:p>
    <w:p w:rsidR="00AF0FDB" w:rsidRPr="002E4C65" w:rsidRDefault="00AF0FDB" w:rsidP="00DE0EFA">
      <w:pPr>
        <w:numPr>
          <w:ilvl w:val="0"/>
          <w:numId w:val="16"/>
        </w:numPr>
        <w:tabs>
          <w:tab w:val="left" w:pos="360"/>
        </w:tabs>
        <w:suppressAutoHyphens/>
        <w:spacing w:before="0" w:after="0"/>
        <w:jc w:val="both"/>
        <w:rPr>
          <w:lang w:eastAsia="ar-SA"/>
        </w:rPr>
      </w:pPr>
      <w:r w:rsidRPr="002E4C65">
        <w:rPr>
          <w:i/>
          <w:iCs/>
          <w:lang w:eastAsia="ar-SA"/>
        </w:rPr>
        <w:t>Pseudomonas aeruginosa</w:t>
      </w:r>
      <w:r w:rsidRPr="002E4C65">
        <w:rPr>
          <w:lang w:eastAsia="ar-SA"/>
        </w:rPr>
        <w:t xml:space="preserve"> (wsp. zap. 0,8/1000),</w:t>
      </w:r>
    </w:p>
    <w:p w:rsidR="00AF0FDB" w:rsidRPr="002E4C65" w:rsidRDefault="00AF0FDB" w:rsidP="00DE0EFA">
      <w:pPr>
        <w:numPr>
          <w:ilvl w:val="0"/>
          <w:numId w:val="16"/>
        </w:numPr>
        <w:tabs>
          <w:tab w:val="left" w:pos="360"/>
        </w:tabs>
        <w:suppressAutoHyphens/>
        <w:spacing w:before="0" w:after="0"/>
        <w:jc w:val="both"/>
        <w:rPr>
          <w:lang w:val="en-US" w:eastAsia="ar-SA"/>
        </w:rPr>
      </w:pPr>
      <w:r w:rsidRPr="002E4C65">
        <w:rPr>
          <w:i/>
          <w:iCs/>
          <w:lang w:val="en-US" w:eastAsia="ar-SA"/>
        </w:rPr>
        <w:t xml:space="preserve">Acinetobacter spp. </w:t>
      </w:r>
      <w:r w:rsidRPr="002E4C65">
        <w:rPr>
          <w:lang w:val="en-US" w:eastAsia="ar-SA"/>
        </w:rPr>
        <w:t>(wsp. zap. 0,5/1000),</w:t>
      </w:r>
    </w:p>
    <w:p w:rsidR="00AF0FDB" w:rsidRPr="002E4C65" w:rsidRDefault="00AF0FDB" w:rsidP="00DE0EFA">
      <w:pPr>
        <w:numPr>
          <w:ilvl w:val="0"/>
          <w:numId w:val="16"/>
        </w:numPr>
        <w:tabs>
          <w:tab w:val="left" w:pos="360"/>
        </w:tabs>
        <w:suppressAutoHyphens/>
        <w:spacing w:before="0" w:after="0"/>
        <w:jc w:val="both"/>
        <w:rPr>
          <w:lang w:val="en-US" w:eastAsia="ar-SA"/>
        </w:rPr>
      </w:pPr>
      <w:r w:rsidRPr="002E4C65">
        <w:rPr>
          <w:i/>
          <w:iCs/>
          <w:lang w:val="en-US" w:eastAsia="ar-SA"/>
        </w:rPr>
        <w:t xml:space="preserve">Enterococcus faecalis </w:t>
      </w:r>
      <w:r w:rsidRPr="002E4C65">
        <w:rPr>
          <w:lang w:val="en-US" w:eastAsia="ar-SA"/>
        </w:rPr>
        <w:t>VRE</w:t>
      </w:r>
      <w:r w:rsidRPr="002E4C65">
        <w:rPr>
          <w:i/>
          <w:iCs/>
          <w:lang w:val="en-US" w:eastAsia="ar-SA"/>
        </w:rPr>
        <w:t xml:space="preserve"> </w:t>
      </w:r>
      <w:r w:rsidRPr="002E4C65">
        <w:rPr>
          <w:lang w:val="en-US" w:eastAsia="ar-SA"/>
        </w:rPr>
        <w:t>(wsp. zap. 0,3/1000),</w:t>
      </w:r>
    </w:p>
    <w:p w:rsidR="00AF0FDB" w:rsidRPr="002E4C65" w:rsidRDefault="00AF0FDB" w:rsidP="00DE0EFA">
      <w:pPr>
        <w:numPr>
          <w:ilvl w:val="0"/>
          <w:numId w:val="16"/>
        </w:numPr>
        <w:tabs>
          <w:tab w:val="left" w:pos="360"/>
        </w:tabs>
        <w:suppressAutoHyphens/>
        <w:spacing w:before="0" w:after="0"/>
        <w:jc w:val="both"/>
        <w:rPr>
          <w:lang w:val="en-US" w:eastAsia="ar-SA"/>
        </w:rPr>
      </w:pPr>
      <w:r w:rsidRPr="002E4C65">
        <w:rPr>
          <w:i/>
          <w:iCs/>
          <w:lang w:val="en-US" w:eastAsia="ar-SA"/>
        </w:rPr>
        <w:t>Candida</w:t>
      </w:r>
      <w:r w:rsidRPr="002E4C65">
        <w:rPr>
          <w:lang w:val="en-US" w:eastAsia="ar-SA"/>
        </w:rPr>
        <w:t xml:space="preserve">  </w:t>
      </w:r>
      <w:r w:rsidRPr="002E4C65">
        <w:rPr>
          <w:lang w:eastAsia="ar-SA"/>
        </w:rPr>
        <w:t>(wsp. zap. 0,2/1000),</w:t>
      </w:r>
    </w:p>
    <w:p w:rsidR="00AF0FDB" w:rsidRPr="002E4C65" w:rsidRDefault="00AF0FDB" w:rsidP="00DE0EFA">
      <w:pPr>
        <w:numPr>
          <w:ilvl w:val="0"/>
          <w:numId w:val="16"/>
        </w:numPr>
        <w:tabs>
          <w:tab w:val="left" w:pos="360"/>
        </w:tabs>
        <w:suppressAutoHyphens/>
        <w:spacing w:before="0" w:after="0"/>
        <w:jc w:val="both"/>
        <w:rPr>
          <w:lang w:val="en-US" w:eastAsia="ar-SA"/>
        </w:rPr>
      </w:pPr>
      <w:r w:rsidRPr="002E4C65">
        <w:rPr>
          <w:i/>
          <w:iCs/>
          <w:lang w:val="en-US" w:eastAsia="ar-SA"/>
        </w:rPr>
        <w:t xml:space="preserve">Enterococcus faecium </w:t>
      </w:r>
      <w:r w:rsidRPr="002E4C65">
        <w:rPr>
          <w:lang w:val="en-US" w:eastAsia="ar-SA"/>
        </w:rPr>
        <w:t>VRE</w:t>
      </w:r>
      <w:r w:rsidRPr="002E4C65">
        <w:rPr>
          <w:i/>
          <w:iCs/>
          <w:lang w:val="en-US" w:eastAsia="ar-SA"/>
        </w:rPr>
        <w:t xml:space="preserve"> </w:t>
      </w:r>
      <w:r w:rsidRPr="002E4C65">
        <w:rPr>
          <w:lang w:val="en-US" w:eastAsia="ar-SA"/>
        </w:rPr>
        <w:t>(wsp. zap. 0,2/1000).</w:t>
      </w:r>
    </w:p>
    <w:p w:rsidR="00AF0FDB" w:rsidRPr="002E4C65" w:rsidRDefault="00AF0FDB" w:rsidP="00F46797">
      <w:pPr>
        <w:tabs>
          <w:tab w:val="left" w:pos="360"/>
        </w:tabs>
        <w:suppressAutoHyphens/>
        <w:spacing w:after="0"/>
        <w:ind w:left="360"/>
        <w:jc w:val="both"/>
        <w:rPr>
          <w:lang w:eastAsia="ar-SA"/>
        </w:rPr>
      </w:pPr>
      <w:r w:rsidRPr="002E4C65">
        <w:rPr>
          <w:lang w:val="de-DE" w:eastAsia="ar-SA"/>
        </w:rPr>
        <w:t xml:space="preserve">Natomiast w 2016 </w:t>
      </w:r>
      <w:r w:rsidRPr="002E4C65">
        <w:rPr>
          <w:lang w:eastAsia="ar-SA"/>
        </w:rPr>
        <w:t>roku z największą częstotliw</w:t>
      </w:r>
      <w:r>
        <w:rPr>
          <w:lang w:eastAsia="ar-SA"/>
        </w:rPr>
        <w:t xml:space="preserve">ością występowały drobnoustroje </w:t>
      </w:r>
      <w:r w:rsidRPr="002E4C65">
        <w:rPr>
          <w:lang w:eastAsia="ar-SA"/>
        </w:rPr>
        <w:t xml:space="preserve">alarmowe: </w:t>
      </w:r>
    </w:p>
    <w:p w:rsidR="00AF0FDB" w:rsidRPr="002E4C65" w:rsidRDefault="00AF0FDB" w:rsidP="00DE0EFA">
      <w:pPr>
        <w:numPr>
          <w:ilvl w:val="0"/>
          <w:numId w:val="17"/>
        </w:numPr>
        <w:tabs>
          <w:tab w:val="left" w:pos="360"/>
        </w:tabs>
        <w:suppressAutoHyphens/>
        <w:spacing w:before="0" w:after="0"/>
        <w:jc w:val="both"/>
        <w:rPr>
          <w:lang w:eastAsia="ar-SA"/>
        </w:rPr>
      </w:pPr>
      <w:r w:rsidRPr="002E4C65">
        <w:rPr>
          <w:i/>
          <w:iCs/>
          <w:lang w:eastAsia="ar-SA"/>
        </w:rPr>
        <w:t xml:space="preserve">Klebsiella </w:t>
      </w:r>
      <w:r w:rsidRPr="002E4C65">
        <w:rPr>
          <w:lang w:eastAsia="ar-SA"/>
        </w:rPr>
        <w:t>spp. ESβL (wsp. zap. 2,0/1000),</w:t>
      </w:r>
    </w:p>
    <w:p w:rsidR="00AF0FDB" w:rsidRPr="002E4C65" w:rsidRDefault="00AF0FDB" w:rsidP="00DE0EFA">
      <w:pPr>
        <w:numPr>
          <w:ilvl w:val="0"/>
          <w:numId w:val="17"/>
        </w:numPr>
        <w:tabs>
          <w:tab w:val="left" w:pos="360"/>
        </w:tabs>
        <w:suppressAutoHyphens/>
        <w:spacing w:before="0" w:after="0"/>
        <w:jc w:val="both"/>
        <w:rPr>
          <w:lang w:eastAsia="ar-SA"/>
        </w:rPr>
      </w:pPr>
      <w:r w:rsidRPr="002E4C65">
        <w:rPr>
          <w:i/>
          <w:iCs/>
          <w:lang w:eastAsia="ar-SA"/>
        </w:rPr>
        <w:t xml:space="preserve">Clostridium difficile </w:t>
      </w:r>
      <w:r w:rsidRPr="002E4C65">
        <w:rPr>
          <w:lang w:eastAsia="ar-SA"/>
        </w:rPr>
        <w:t>(wsp. zap. 1,4/1000),</w:t>
      </w:r>
    </w:p>
    <w:p w:rsidR="00AF0FDB" w:rsidRPr="002E4C65" w:rsidRDefault="00AF0FDB" w:rsidP="00DE0EFA">
      <w:pPr>
        <w:numPr>
          <w:ilvl w:val="0"/>
          <w:numId w:val="17"/>
        </w:numPr>
        <w:tabs>
          <w:tab w:val="left" w:pos="360"/>
        </w:tabs>
        <w:suppressAutoHyphens/>
        <w:spacing w:before="0" w:after="0"/>
        <w:jc w:val="both"/>
        <w:rPr>
          <w:lang w:eastAsia="ar-SA"/>
        </w:rPr>
      </w:pPr>
      <w:r w:rsidRPr="002E4C65">
        <w:rPr>
          <w:lang w:eastAsia="ar-SA"/>
        </w:rPr>
        <w:t>Rotawirusy</w:t>
      </w:r>
      <w:r w:rsidRPr="002E4C65">
        <w:rPr>
          <w:i/>
          <w:iCs/>
          <w:lang w:eastAsia="ar-SA"/>
        </w:rPr>
        <w:t xml:space="preserve"> </w:t>
      </w:r>
      <w:r w:rsidRPr="002E4C65">
        <w:rPr>
          <w:lang w:eastAsia="ar-SA"/>
        </w:rPr>
        <w:t>(wsp. zap. 1,2/1000),</w:t>
      </w:r>
    </w:p>
    <w:p w:rsidR="00AF0FDB" w:rsidRPr="002E4C65" w:rsidRDefault="00AF0FDB" w:rsidP="00DE0EFA">
      <w:pPr>
        <w:numPr>
          <w:ilvl w:val="0"/>
          <w:numId w:val="17"/>
        </w:numPr>
        <w:tabs>
          <w:tab w:val="left" w:pos="360"/>
        </w:tabs>
        <w:suppressAutoHyphens/>
        <w:spacing w:before="0" w:after="0"/>
        <w:jc w:val="both"/>
        <w:rPr>
          <w:lang w:val="en-US" w:eastAsia="ar-SA"/>
        </w:rPr>
      </w:pPr>
      <w:r w:rsidRPr="002E4C65">
        <w:rPr>
          <w:i/>
          <w:iCs/>
          <w:lang w:val="en-US" w:eastAsia="ar-SA"/>
        </w:rPr>
        <w:t xml:space="preserve">Eschericha coli </w:t>
      </w:r>
      <w:r w:rsidRPr="002E4C65">
        <w:rPr>
          <w:lang w:val="en-US" w:eastAsia="ar-SA"/>
        </w:rPr>
        <w:t>ES</w:t>
      </w:r>
      <w:r w:rsidRPr="002E4C65">
        <w:rPr>
          <w:lang w:eastAsia="ar-SA"/>
        </w:rPr>
        <w:t>β</w:t>
      </w:r>
      <w:r w:rsidRPr="002E4C65">
        <w:rPr>
          <w:lang w:val="en-US" w:eastAsia="ar-SA"/>
        </w:rPr>
        <w:t>L (wsp. zap. 0,7/1000),</w:t>
      </w:r>
    </w:p>
    <w:p w:rsidR="00AF0FDB" w:rsidRPr="002E4C65" w:rsidRDefault="00AF0FDB" w:rsidP="00DE0EFA">
      <w:pPr>
        <w:numPr>
          <w:ilvl w:val="0"/>
          <w:numId w:val="17"/>
        </w:numPr>
        <w:tabs>
          <w:tab w:val="left" w:pos="360"/>
        </w:tabs>
        <w:suppressAutoHyphens/>
        <w:spacing w:before="0" w:after="0"/>
        <w:jc w:val="both"/>
        <w:rPr>
          <w:lang w:eastAsia="ar-SA"/>
        </w:rPr>
      </w:pPr>
      <w:r w:rsidRPr="002E4C65">
        <w:rPr>
          <w:i/>
          <w:iCs/>
          <w:lang w:eastAsia="ar-SA"/>
        </w:rPr>
        <w:t>Pseudomonas aeruginosa</w:t>
      </w:r>
      <w:r w:rsidRPr="002E4C65">
        <w:rPr>
          <w:lang w:eastAsia="ar-SA"/>
        </w:rPr>
        <w:t xml:space="preserve"> (wsp. zap. 0,7/1000),</w:t>
      </w:r>
    </w:p>
    <w:p w:rsidR="00AF0FDB" w:rsidRPr="002E4C65" w:rsidRDefault="00AF0FDB" w:rsidP="00DE0EFA">
      <w:pPr>
        <w:numPr>
          <w:ilvl w:val="0"/>
          <w:numId w:val="17"/>
        </w:numPr>
        <w:tabs>
          <w:tab w:val="left" w:pos="360"/>
        </w:tabs>
        <w:suppressAutoHyphens/>
        <w:spacing w:before="0" w:after="0"/>
        <w:jc w:val="both"/>
        <w:rPr>
          <w:lang w:val="en-US" w:eastAsia="ar-SA"/>
        </w:rPr>
      </w:pPr>
      <w:r w:rsidRPr="002E4C65">
        <w:rPr>
          <w:i/>
          <w:iCs/>
          <w:lang w:val="en-US" w:eastAsia="ar-SA"/>
        </w:rPr>
        <w:t xml:space="preserve">Staphylococcus aureus </w:t>
      </w:r>
      <w:r w:rsidRPr="002E4C65">
        <w:rPr>
          <w:lang w:val="en-US" w:eastAsia="ar-SA"/>
        </w:rPr>
        <w:t xml:space="preserve">i </w:t>
      </w:r>
      <w:r w:rsidRPr="002E4C65">
        <w:rPr>
          <w:i/>
          <w:iCs/>
          <w:lang w:val="en-US" w:eastAsia="ar-SA"/>
        </w:rPr>
        <w:t xml:space="preserve">Acinetobacter </w:t>
      </w:r>
      <w:r w:rsidRPr="002E4C65">
        <w:rPr>
          <w:lang w:val="en-US" w:eastAsia="ar-SA"/>
        </w:rPr>
        <w:t>spp.</w:t>
      </w:r>
      <w:r w:rsidRPr="002E4C65">
        <w:rPr>
          <w:i/>
          <w:iCs/>
          <w:lang w:val="en-US" w:eastAsia="ar-SA"/>
        </w:rPr>
        <w:t xml:space="preserve"> </w:t>
      </w:r>
      <w:r w:rsidRPr="002E4C65">
        <w:rPr>
          <w:lang w:val="en-US" w:eastAsia="ar-SA"/>
        </w:rPr>
        <w:t>(wsp. zap. 0,5/1000),</w:t>
      </w:r>
    </w:p>
    <w:p w:rsidR="00AF0FDB" w:rsidRPr="002E4C65" w:rsidRDefault="00AF0FDB" w:rsidP="00DE0EFA">
      <w:pPr>
        <w:numPr>
          <w:ilvl w:val="0"/>
          <w:numId w:val="17"/>
        </w:numPr>
        <w:tabs>
          <w:tab w:val="left" w:pos="360"/>
        </w:tabs>
        <w:suppressAutoHyphens/>
        <w:spacing w:before="0" w:after="0"/>
        <w:jc w:val="both"/>
        <w:rPr>
          <w:lang w:val="en-US" w:eastAsia="ar-SA"/>
        </w:rPr>
      </w:pPr>
      <w:r w:rsidRPr="002E4C65">
        <w:rPr>
          <w:i/>
          <w:iCs/>
          <w:lang w:val="en-US" w:eastAsia="ar-SA"/>
        </w:rPr>
        <w:t xml:space="preserve">Enterobacter </w:t>
      </w:r>
      <w:r w:rsidRPr="002E4C65">
        <w:rPr>
          <w:lang w:val="en-US" w:eastAsia="ar-SA"/>
        </w:rPr>
        <w:t>spp</w:t>
      </w:r>
      <w:r w:rsidRPr="002E4C65">
        <w:rPr>
          <w:i/>
          <w:iCs/>
          <w:lang w:val="en-US" w:eastAsia="ar-SA"/>
        </w:rPr>
        <w:t>.</w:t>
      </w:r>
      <w:r w:rsidRPr="002E4C65">
        <w:rPr>
          <w:lang w:val="en-US" w:eastAsia="ar-SA"/>
        </w:rPr>
        <w:t xml:space="preserve"> ES</w:t>
      </w:r>
      <w:r w:rsidRPr="002E4C65">
        <w:rPr>
          <w:lang w:eastAsia="ar-SA"/>
        </w:rPr>
        <w:t>β</w:t>
      </w:r>
      <w:r w:rsidRPr="002E4C65">
        <w:rPr>
          <w:lang w:val="en-US" w:eastAsia="ar-SA"/>
        </w:rPr>
        <w:t>L (wsp. zap. 0,3/1000),</w:t>
      </w:r>
    </w:p>
    <w:p w:rsidR="00AF0FDB" w:rsidRPr="002E4C65" w:rsidRDefault="00AF0FDB" w:rsidP="00DE0EFA">
      <w:pPr>
        <w:numPr>
          <w:ilvl w:val="0"/>
          <w:numId w:val="17"/>
        </w:numPr>
        <w:tabs>
          <w:tab w:val="left" w:pos="360"/>
        </w:tabs>
        <w:suppressAutoHyphens/>
        <w:spacing w:before="0" w:after="0"/>
        <w:jc w:val="both"/>
        <w:rPr>
          <w:lang w:eastAsia="ar-SA"/>
        </w:rPr>
      </w:pPr>
      <w:r w:rsidRPr="002E4C65">
        <w:rPr>
          <w:i/>
          <w:iCs/>
          <w:lang w:val="en-US" w:eastAsia="ar-SA"/>
        </w:rPr>
        <w:t>Candida</w:t>
      </w:r>
      <w:r w:rsidRPr="002E4C65">
        <w:rPr>
          <w:lang w:val="en-US" w:eastAsia="ar-SA"/>
        </w:rPr>
        <w:t xml:space="preserve">  </w:t>
      </w:r>
      <w:r w:rsidRPr="002E4C65">
        <w:rPr>
          <w:lang w:eastAsia="ar-SA"/>
        </w:rPr>
        <w:t>(wsp. zap. 0,3/1000),</w:t>
      </w:r>
    </w:p>
    <w:p w:rsidR="00AF0FDB" w:rsidRPr="002E4C65" w:rsidRDefault="00AF0FDB" w:rsidP="00DE0EFA">
      <w:pPr>
        <w:numPr>
          <w:ilvl w:val="0"/>
          <w:numId w:val="17"/>
        </w:numPr>
        <w:tabs>
          <w:tab w:val="left" w:pos="360"/>
        </w:tabs>
        <w:suppressAutoHyphens/>
        <w:spacing w:before="0" w:after="0"/>
        <w:jc w:val="both"/>
        <w:rPr>
          <w:lang w:val="en-US" w:eastAsia="ar-SA"/>
        </w:rPr>
      </w:pPr>
      <w:r w:rsidRPr="002E4C65">
        <w:rPr>
          <w:i/>
          <w:iCs/>
          <w:lang w:val="en-US" w:eastAsia="ar-SA"/>
        </w:rPr>
        <w:t xml:space="preserve">Enterococcus faecalis </w:t>
      </w:r>
      <w:r w:rsidRPr="002E4C65">
        <w:rPr>
          <w:lang w:val="en-US" w:eastAsia="ar-SA"/>
        </w:rPr>
        <w:t>VRE</w:t>
      </w:r>
      <w:r w:rsidRPr="002E4C65">
        <w:rPr>
          <w:i/>
          <w:iCs/>
          <w:lang w:val="en-US" w:eastAsia="ar-SA"/>
        </w:rPr>
        <w:t xml:space="preserve"> </w:t>
      </w:r>
      <w:r w:rsidRPr="002E4C65">
        <w:rPr>
          <w:lang w:val="en-US" w:eastAsia="ar-SA"/>
        </w:rPr>
        <w:t>(wsp. zap. 0,2/1000).</w:t>
      </w:r>
    </w:p>
    <w:p w:rsidR="00AF0FDB" w:rsidRDefault="00AF0FDB" w:rsidP="009B12E7">
      <w:pPr>
        <w:tabs>
          <w:tab w:val="left" w:pos="360"/>
        </w:tabs>
        <w:suppressAutoHyphens/>
        <w:spacing w:after="0"/>
        <w:ind w:left="360"/>
        <w:jc w:val="both"/>
        <w:rPr>
          <w:lang w:eastAsia="ar-SA"/>
        </w:rPr>
      </w:pPr>
      <w:r w:rsidRPr="002E4C65">
        <w:rPr>
          <w:lang w:eastAsia="ar-SA"/>
        </w:rPr>
        <w:t xml:space="preserve">Zestawienie współczynników zapadalności na zakażenia wywołane drobnoustrojami alarmowymi w przeliczeniu na 1000 hospitalizowanych pacjentów w poszczególnych grupach oddziałów w 2016 roku </w:t>
      </w:r>
      <w:r>
        <w:rPr>
          <w:lang w:eastAsia="ar-SA"/>
        </w:rPr>
        <w:t>i 2017 roku przedstawia tabela 7</w:t>
      </w:r>
      <w:r w:rsidRPr="002E4C65">
        <w:rPr>
          <w:lang w:eastAsia="ar-SA"/>
        </w:rPr>
        <w:t xml:space="preserve">. </w:t>
      </w:r>
    </w:p>
    <w:p w:rsidR="00AF0FDB" w:rsidRDefault="00AF0FDB" w:rsidP="00642C07">
      <w:pPr>
        <w:keepNext/>
        <w:suppressAutoHyphens/>
        <w:jc w:val="both"/>
        <w:rPr>
          <w:b/>
          <w:bCs/>
          <w:sz w:val="20"/>
          <w:szCs w:val="20"/>
          <w:lang w:eastAsia="ar-SA"/>
        </w:rPr>
      </w:pPr>
    </w:p>
    <w:p w:rsidR="00AF0FDB" w:rsidRDefault="00AF0FDB" w:rsidP="00642C07">
      <w:pPr>
        <w:keepNext/>
        <w:suppressAutoHyphens/>
        <w:jc w:val="both"/>
        <w:rPr>
          <w:b/>
          <w:bCs/>
          <w:sz w:val="20"/>
          <w:szCs w:val="20"/>
          <w:lang w:eastAsia="ar-SA"/>
        </w:rPr>
      </w:pPr>
      <w:r>
        <w:rPr>
          <w:b/>
          <w:bCs/>
          <w:sz w:val="20"/>
          <w:szCs w:val="20"/>
          <w:lang w:eastAsia="ar-SA"/>
        </w:rPr>
        <w:t xml:space="preserve">Tab. 7. </w:t>
      </w:r>
      <w:r>
        <w:rPr>
          <w:sz w:val="20"/>
          <w:szCs w:val="20"/>
          <w:lang w:eastAsia="ar-SA"/>
        </w:rPr>
        <w:t>Częstość występowania drobnoustrojów alarmowych w podmiotach leczniczych powiatu poznańskiego w latach 2016-2017, wg typów oddziałów. Współczynnik w przeliczeniu na 1000 pacjentów hospitalizowanych.</w:t>
      </w:r>
    </w:p>
    <w:tbl>
      <w:tblPr>
        <w:tblW w:w="9978" w:type="dxa"/>
        <w:tblInd w:w="-318"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1E0"/>
      </w:tblPr>
      <w:tblGrid>
        <w:gridCol w:w="426"/>
        <w:gridCol w:w="2697"/>
        <w:gridCol w:w="719"/>
        <w:gridCol w:w="720"/>
        <w:gridCol w:w="720"/>
        <w:gridCol w:w="540"/>
        <w:gridCol w:w="688"/>
        <w:gridCol w:w="701"/>
        <w:gridCol w:w="739"/>
        <w:gridCol w:w="664"/>
        <w:gridCol w:w="714"/>
        <w:gridCol w:w="650"/>
      </w:tblGrid>
      <w:tr w:rsidR="00AF0FDB" w:rsidRPr="002E4C65">
        <w:trPr>
          <w:trHeight w:val="1217"/>
          <w:tblHeader/>
        </w:trPr>
        <w:tc>
          <w:tcPr>
            <w:tcW w:w="426" w:type="dxa"/>
            <w:tcBorders>
              <w:bottom w:val="single" w:sz="18" w:space="0" w:color="A5A5A5"/>
            </w:tcBorders>
          </w:tcPr>
          <w:p w:rsidR="00AF0FDB" w:rsidRPr="002C4F7C" w:rsidRDefault="00AF0FDB" w:rsidP="002C4F7C">
            <w:pPr>
              <w:tabs>
                <w:tab w:val="left" w:pos="360"/>
              </w:tabs>
              <w:suppressAutoHyphens/>
              <w:spacing w:after="0" w:line="240" w:lineRule="auto"/>
              <w:jc w:val="center"/>
              <w:rPr>
                <w:b/>
                <w:bCs/>
                <w:sz w:val="16"/>
                <w:szCs w:val="16"/>
                <w:lang w:eastAsia="ar-SA"/>
              </w:rPr>
            </w:pPr>
          </w:p>
          <w:p w:rsidR="00AF0FDB" w:rsidRPr="002C4F7C" w:rsidRDefault="00AF0FDB" w:rsidP="002C4F7C">
            <w:pPr>
              <w:tabs>
                <w:tab w:val="left" w:pos="360"/>
              </w:tabs>
              <w:suppressAutoHyphens/>
              <w:spacing w:after="0" w:line="240" w:lineRule="auto"/>
              <w:jc w:val="center"/>
              <w:rPr>
                <w:b/>
                <w:bCs/>
                <w:sz w:val="16"/>
                <w:szCs w:val="16"/>
                <w:lang w:eastAsia="ar-SA"/>
              </w:rPr>
            </w:pPr>
            <w:r w:rsidRPr="002C4F7C">
              <w:rPr>
                <w:b/>
                <w:bCs/>
                <w:sz w:val="16"/>
                <w:szCs w:val="16"/>
                <w:lang w:eastAsia="ar-SA"/>
              </w:rPr>
              <w:t>L.p</w:t>
            </w:r>
          </w:p>
          <w:p w:rsidR="00AF0FDB" w:rsidRPr="002C4F7C" w:rsidRDefault="00AF0FDB" w:rsidP="002C4F7C">
            <w:pPr>
              <w:tabs>
                <w:tab w:val="left" w:pos="360"/>
              </w:tabs>
              <w:suppressAutoHyphens/>
              <w:spacing w:after="0" w:line="240" w:lineRule="auto"/>
              <w:jc w:val="center"/>
              <w:rPr>
                <w:b/>
                <w:bCs/>
                <w:sz w:val="16"/>
                <w:szCs w:val="16"/>
                <w:lang w:eastAsia="ar-SA"/>
              </w:rPr>
            </w:pPr>
          </w:p>
        </w:tc>
        <w:tc>
          <w:tcPr>
            <w:tcW w:w="2697" w:type="dxa"/>
            <w:tcBorders>
              <w:bottom w:val="single" w:sz="18" w:space="0" w:color="A5A5A5"/>
            </w:tcBorders>
            <w:shd w:val="clear" w:color="auto" w:fill="E8E8E8"/>
          </w:tcPr>
          <w:p w:rsidR="00AF0FDB" w:rsidRPr="002C4F7C" w:rsidRDefault="00AF0FDB" w:rsidP="002C4F7C">
            <w:pPr>
              <w:tabs>
                <w:tab w:val="left" w:pos="360"/>
              </w:tabs>
              <w:suppressAutoHyphens/>
              <w:spacing w:after="0" w:line="240" w:lineRule="auto"/>
              <w:jc w:val="center"/>
              <w:rPr>
                <w:b/>
                <w:bCs/>
                <w:sz w:val="16"/>
                <w:szCs w:val="16"/>
                <w:lang w:eastAsia="ar-SA"/>
              </w:rPr>
            </w:pPr>
          </w:p>
          <w:p w:rsidR="00AF0FDB" w:rsidRPr="002C4F7C" w:rsidRDefault="00AF0FDB" w:rsidP="002C4F7C">
            <w:pPr>
              <w:tabs>
                <w:tab w:val="left" w:pos="360"/>
              </w:tabs>
              <w:suppressAutoHyphens/>
              <w:spacing w:after="0" w:line="240" w:lineRule="auto"/>
              <w:jc w:val="center"/>
              <w:rPr>
                <w:b/>
                <w:bCs/>
                <w:sz w:val="16"/>
                <w:szCs w:val="16"/>
                <w:lang w:eastAsia="ar-SA"/>
              </w:rPr>
            </w:pPr>
            <w:r w:rsidRPr="002C4F7C">
              <w:rPr>
                <w:b/>
                <w:bCs/>
                <w:sz w:val="16"/>
                <w:szCs w:val="16"/>
                <w:lang w:eastAsia="ar-SA"/>
              </w:rPr>
              <w:t>Nazwa oddziału</w:t>
            </w:r>
          </w:p>
          <w:p w:rsidR="00AF0FDB" w:rsidRPr="002C4F7C" w:rsidRDefault="00AF0FDB" w:rsidP="002C4F7C">
            <w:pPr>
              <w:tabs>
                <w:tab w:val="left" w:pos="360"/>
              </w:tabs>
              <w:suppressAutoHyphens/>
              <w:spacing w:after="0" w:line="240" w:lineRule="auto"/>
              <w:jc w:val="center"/>
              <w:rPr>
                <w:b/>
                <w:bCs/>
                <w:sz w:val="16"/>
                <w:szCs w:val="16"/>
                <w:lang w:eastAsia="ar-SA"/>
              </w:rPr>
            </w:pPr>
          </w:p>
          <w:p w:rsidR="00AF0FDB" w:rsidRPr="002C4F7C" w:rsidRDefault="00AF0FDB" w:rsidP="002C4F7C">
            <w:pPr>
              <w:tabs>
                <w:tab w:val="left" w:pos="360"/>
              </w:tabs>
              <w:suppressAutoHyphens/>
              <w:spacing w:after="0" w:line="240" w:lineRule="auto"/>
              <w:jc w:val="center"/>
              <w:rPr>
                <w:b/>
                <w:bCs/>
                <w:sz w:val="16"/>
                <w:szCs w:val="16"/>
                <w:lang w:eastAsia="ar-SA"/>
              </w:rPr>
            </w:pPr>
          </w:p>
        </w:tc>
        <w:tc>
          <w:tcPr>
            <w:tcW w:w="719" w:type="dxa"/>
            <w:tcBorders>
              <w:bottom w:val="single" w:sz="18" w:space="0" w:color="A5A5A5"/>
            </w:tcBorders>
            <w:textDirection w:val="btLr"/>
          </w:tcPr>
          <w:p w:rsidR="00AF0FDB" w:rsidRPr="002C4F7C" w:rsidRDefault="00AF0FDB" w:rsidP="002C4F7C">
            <w:pPr>
              <w:tabs>
                <w:tab w:val="left" w:pos="360"/>
              </w:tabs>
              <w:suppressAutoHyphens/>
              <w:spacing w:after="0" w:line="240" w:lineRule="auto"/>
              <w:jc w:val="center"/>
              <w:rPr>
                <w:b/>
                <w:bCs/>
                <w:sz w:val="16"/>
                <w:szCs w:val="16"/>
                <w:lang w:eastAsia="ar-SA"/>
              </w:rPr>
            </w:pPr>
            <w:r w:rsidRPr="002C4F7C">
              <w:rPr>
                <w:b/>
                <w:bCs/>
                <w:sz w:val="16"/>
                <w:szCs w:val="16"/>
                <w:lang w:eastAsia="ar-SA"/>
              </w:rPr>
              <w:t>Rok</w:t>
            </w:r>
          </w:p>
        </w:tc>
        <w:tc>
          <w:tcPr>
            <w:tcW w:w="720" w:type="dxa"/>
            <w:tcBorders>
              <w:bottom w:val="single" w:sz="18" w:space="0" w:color="A5A5A5"/>
            </w:tcBorders>
            <w:shd w:val="clear" w:color="auto" w:fill="E8E8E8"/>
            <w:textDirection w:val="btLr"/>
          </w:tcPr>
          <w:p w:rsidR="00AF0FDB" w:rsidRPr="002C4F7C" w:rsidRDefault="00AF0FDB" w:rsidP="002C4F7C">
            <w:pPr>
              <w:tabs>
                <w:tab w:val="left" w:pos="360"/>
              </w:tabs>
              <w:spacing w:after="0" w:line="240" w:lineRule="auto"/>
              <w:jc w:val="center"/>
              <w:rPr>
                <w:b/>
                <w:bCs/>
                <w:sz w:val="16"/>
                <w:szCs w:val="16"/>
              </w:rPr>
            </w:pPr>
            <w:r w:rsidRPr="002C4F7C">
              <w:rPr>
                <w:b/>
                <w:bCs/>
                <w:i/>
                <w:iCs/>
                <w:sz w:val="16"/>
                <w:szCs w:val="16"/>
                <w:lang w:val="en-US"/>
              </w:rPr>
              <w:t>Staphylococcus aureus</w:t>
            </w:r>
            <w:r w:rsidRPr="002C4F7C">
              <w:rPr>
                <w:b/>
                <w:bCs/>
                <w:sz w:val="16"/>
                <w:szCs w:val="16"/>
              </w:rPr>
              <w:t xml:space="preserve"> (MRSA)</w:t>
            </w:r>
          </w:p>
        </w:tc>
        <w:tc>
          <w:tcPr>
            <w:tcW w:w="720" w:type="dxa"/>
            <w:tcBorders>
              <w:bottom w:val="single" w:sz="18" w:space="0" w:color="A5A5A5"/>
            </w:tcBorders>
            <w:textDirection w:val="btLr"/>
          </w:tcPr>
          <w:p w:rsidR="00AF0FDB" w:rsidRPr="002C4F7C" w:rsidRDefault="00AF0FDB" w:rsidP="002C4F7C">
            <w:pPr>
              <w:tabs>
                <w:tab w:val="left" w:pos="360"/>
              </w:tabs>
              <w:spacing w:after="0" w:line="240" w:lineRule="auto"/>
              <w:jc w:val="center"/>
              <w:rPr>
                <w:b/>
                <w:bCs/>
                <w:sz w:val="16"/>
                <w:szCs w:val="16"/>
              </w:rPr>
            </w:pPr>
            <w:r w:rsidRPr="002C4F7C">
              <w:rPr>
                <w:b/>
                <w:bCs/>
                <w:i/>
                <w:iCs/>
                <w:color w:val="000000"/>
                <w:sz w:val="16"/>
                <w:szCs w:val="16"/>
              </w:rPr>
              <w:t>Enterococcus faecalis</w:t>
            </w:r>
            <w:r w:rsidRPr="002C4F7C">
              <w:rPr>
                <w:b/>
                <w:bCs/>
                <w:sz w:val="16"/>
                <w:szCs w:val="16"/>
              </w:rPr>
              <w:t xml:space="preserve"> (VRE)</w:t>
            </w:r>
          </w:p>
        </w:tc>
        <w:tc>
          <w:tcPr>
            <w:tcW w:w="540" w:type="dxa"/>
            <w:tcBorders>
              <w:bottom w:val="single" w:sz="18" w:space="0" w:color="A5A5A5"/>
            </w:tcBorders>
            <w:shd w:val="clear" w:color="auto" w:fill="E8E8E8"/>
            <w:textDirection w:val="btLr"/>
          </w:tcPr>
          <w:p w:rsidR="00AF0FDB" w:rsidRPr="002C4F7C" w:rsidRDefault="00AF0FDB" w:rsidP="002C4F7C">
            <w:pPr>
              <w:tabs>
                <w:tab w:val="left" w:pos="360"/>
              </w:tabs>
              <w:spacing w:after="0" w:line="240" w:lineRule="auto"/>
              <w:jc w:val="center"/>
              <w:rPr>
                <w:b/>
                <w:bCs/>
                <w:sz w:val="16"/>
                <w:szCs w:val="16"/>
              </w:rPr>
            </w:pPr>
            <w:r w:rsidRPr="002C4F7C">
              <w:rPr>
                <w:b/>
                <w:bCs/>
                <w:i/>
                <w:iCs/>
                <w:sz w:val="16"/>
                <w:szCs w:val="16"/>
              </w:rPr>
              <w:t xml:space="preserve">Escherichia coli </w:t>
            </w:r>
            <w:r w:rsidRPr="002C4F7C">
              <w:rPr>
                <w:b/>
                <w:bCs/>
                <w:sz w:val="16"/>
                <w:szCs w:val="16"/>
              </w:rPr>
              <w:t xml:space="preserve"> (ESBL)</w:t>
            </w:r>
          </w:p>
        </w:tc>
        <w:tc>
          <w:tcPr>
            <w:tcW w:w="688" w:type="dxa"/>
            <w:tcBorders>
              <w:bottom w:val="single" w:sz="18" w:space="0" w:color="A5A5A5"/>
            </w:tcBorders>
            <w:textDirection w:val="btLr"/>
          </w:tcPr>
          <w:p w:rsidR="00AF0FDB" w:rsidRPr="002C4F7C" w:rsidRDefault="00AF0FDB" w:rsidP="002C4F7C">
            <w:pPr>
              <w:tabs>
                <w:tab w:val="left" w:pos="360"/>
              </w:tabs>
              <w:spacing w:after="0" w:line="240" w:lineRule="auto"/>
              <w:jc w:val="center"/>
              <w:rPr>
                <w:b/>
                <w:bCs/>
                <w:sz w:val="16"/>
                <w:szCs w:val="16"/>
              </w:rPr>
            </w:pPr>
            <w:r w:rsidRPr="002C4F7C">
              <w:rPr>
                <w:b/>
                <w:bCs/>
                <w:i/>
                <w:iCs/>
                <w:sz w:val="16"/>
                <w:szCs w:val="16"/>
              </w:rPr>
              <w:t>Klebsiella</w:t>
            </w:r>
            <w:r w:rsidRPr="002C4F7C">
              <w:rPr>
                <w:b/>
                <w:bCs/>
                <w:sz w:val="16"/>
                <w:szCs w:val="16"/>
              </w:rPr>
              <w:t xml:space="preserve"> spp. (ESBL)</w:t>
            </w:r>
          </w:p>
        </w:tc>
        <w:tc>
          <w:tcPr>
            <w:tcW w:w="701" w:type="dxa"/>
            <w:tcBorders>
              <w:bottom w:val="single" w:sz="18" w:space="0" w:color="A5A5A5"/>
            </w:tcBorders>
            <w:shd w:val="clear" w:color="auto" w:fill="E8E8E8"/>
            <w:textDirection w:val="btLr"/>
          </w:tcPr>
          <w:p w:rsidR="00AF0FDB" w:rsidRPr="002C4F7C" w:rsidRDefault="00AF0FDB" w:rsidP="002C4F7C">
            <w:pPr>
              <w:tabs>
                <w:tab w:val="left" w:pos="360"/>
              </w:tabs>
              <w:spacing w:after="0" w:line="240" w:lineRule="auto"/>
              <w:jc w:val="center"/>
              <w:rPr>
                <w:b/>
                <w:bCs/>
                <w:i/>
                <w:iCs/>
                <w:sz w:val="16"/>
                <w:szCs w:val="16"/>
              </w:rPr>
            </w:pPr>
            <w:r w:rsidRPr="002C4F7C">
              <w:rPr>
                <w:b/>
                <w:bCs/>
                <w:i/>
                <w:iCs/>
                <w:sz w:val="16"/>
                <w:szCs w:val="16"/>
              </w:rPr>
              <w:t>Pseudomonas aeruginosa</w:t>
            </w:r>
          </w:p>
        </w:tc>
        <w:tc>
          <w:tcPr>
            <w:tcW w:w="739" w:type="dxa"/>
            <w:tcBorders>
              <w:bottom w:val="single" w:sz="18" w:space="0" w:color="A5A5A5"/>
            </w:tcBorders>
            <w:textDirection w:val="btLr"/>
          </w:tcPr>
          <w:p w:rsidR="00AF0FDB" w:rsidRPr="002C4F7C" w:rsidRDefault="00AF0FDB" w:rsidP="002C4F7C">
            <w:pPr>
              <w:tabs>
                <w:tab w:val="left" w:pos="360"/>
              </w:tabs>
              <w:spacing w:after="0" w:line="240" w:lineRule="auto"/>
              <w:jc w:val="center"/>
              <w:rPr>
                <w:b/>
                <w:bCs/>
                <w:sz w:val="16"/>
                <w:szCs w:val="16"/>
              </w:rPr>
            </w:pPr>
            <w:r w:rsidRPr="002C4F7C">
              <w:rPr>
                <w:b/>
                <w:bCs/>
                <w:i/>
                <w:iCs/>
                <w:sz w:val="16"/>
                <w:szCs w:val="16"/>
              </w:rPr>
              <w:t>Acinetobacter</w:t>
            </w:r>
            <w:r w:rsidRPr="002C4F7C">
              <w:rPr>
                <w:b/>
                <w:bCs/>
                <w:sz w:val="16"/>
                <w:szCs w:val="16"/>
              </w:rPr>
              <w:t xml:space="preserve"> spp.</w:t>
            </w:r>
          </w:p>
        </w:tc>
        <w:tc>
          <w:tcPr>
            <w:tcW w:w="664" w:type="dxa"/>
            <w:tcBorders>
              <w:bottom w:val="single" w:sz="18" w:space="0" w:color="A5A5A5"/>
            </w:tcBorders>
            <w:shd w:val="clear" w:color="auto" w:fill="E8E8E8"/>
            <w:textDirection w:val="btLr"/>
          </w:tcPr>
          <w:p w:rsidR="00AF0FDB" w:rsidRPr="002C4F7C" w:rsidRDefault="00AF0FDB" w:rsidP="002C4F7C">
            <w:pPr>
              <w:tabs>
                <w:tab w:val="left" w:pos="360"/>
              </w:tabs>
              <w:spacing w:after="0" w:line="240" w:lineRule="auto"/>
              <w:jc w:val="center"/>
              <w:rPr>
                <w:b/>
                <w:bCs/>
                <w:i/>
                <w:iCs/>
                <w:sz w:val="16"/>
                <w:szCs w:val="16"/>
              </w:rPr>
            </w:pPr>
            <w:r w:rsidRPr="002C4F7C">
              <w:rPr>
                <w:b/>
                <w:bCs/>
                <w:i/>
                <w:iCs/>
                <w:sz w:val="16"/>
                <w:szCs w:val="16"/>
              </w:rPr>
              <w:t>Clostridium  difficile</w:t>
            </w:r>
          </w:p>
        </w:tc>
        <w:tc>
          <w:tcPr>
            <w:tcW w:w="714" w:type="dxa"/>
            <w:tcBorders>
              <w:bottom w:val="single" w:sz="18" w:space="0" w:color="A5A5A5"/>
            </w:tcBorders>
            <w:textDirection w:val="btLr"/>
          </w:tcPr>
          <w:p w:rsidR="00AF0FDB" w:rsidRPr="002C4F7C" w:rsidRDefault="00AF0FDB" w:rsidP="002C4F7C">
            <w:pPr>
              <w:tabs>
                <w:tab w:val="left" w:pos="360"/>
              </w:tabs>
              <w:spacing w:after="0" w:line="240" w:lineRule="auto"/>
              <w:jc w:val="center"/>
              <w:rPr>
                <w:b/>
                <w:bCs/>
                <w:i/>
                <w:iCs/>
                <w:sz w:val="16"/>
                <w:szCs w:val="16"/>
              </w:rPr>
            </w:pPr>
            <w:r w:rsidRPr="002C4F7C">
              <w:rPr>
                <w:b/>
                <w:bCs/>
                <w:i/>
                <w:iCs/>
                <w:sz w:val="16"/>
                <w:szCs w:val="16"/>
              </w:rPr>
              <w:t>Streptococus pneumoniae</w:t>
            </w:r>
          </w:p>
        </w:tc>
        <w:tc>
          <w:tcPr>
            <w:tcW w:w="650" w:type="dxa"/>
            <w:tcBorders>
              <w:bottom w:val="single" w:sz="18" w:space="0" w:color="A5A5A5"/>
            </w:tcBorders>
            <w:textDirection w:val="btLr"/>
          </w:tcPr>
          <w:p w:rsidR="00AF0FDB" w:rsidRPr="002C4F7C" w:rsidRDefault="00AF0FDB" w:rsidP="002C4F7C">
            <w:pPr>
              <w:tabs>
                <w:tab w:val="left" w:pos="360"/>
              </w:tabs>
              <w:spacing w:after="0" w:line="240" w:lineRule="auto"/>
              <w:jc w:val="center"/>
              <w:rPr>
                <w:b/>
                <w:bCs/>
                <w:sz w:val="16"/>
                <w:szCs w:val="16"/>
              </w:rPr>
            </w:pPr>
            <w:r w:rsidRPr="002C4F7C">
              <w:rPr>
                <w:b/>
                <w:bCs/>
                <w:sz w:val="16"/>
                <w:szCs w:val="16"/>
              </w:rPr>
              <w:t>Rotawirusy</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rPr>
                <w:sz w:val="18"/>
                <w:szCs w:val="18"/>
                <w:lang w:eastAsia="ar-SA"/>
              </w:rPr>
            </w:pPr>
            <w:r w:rsidRPr="002C4F7C">
              <w:rPr>
                <w:sz w:val="18"/>
                <w:szCs w:val="18"/>
                <w:lang w:eastAsia="ar-SA"/>
              </w:rPr>
              <w:t xml:space="preserve">OIOM/OIT  dorosłych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6,8</w:t>
            </w:r>
          </w:p>
        </w:tc>
        <w:tc>
          <w:tcPr>
            <w:tcW w:w="72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3,7</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5,3</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24,7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18</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9,7</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4,6</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332"/>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5,5</w:t>
            </w:r>
          </w:p>
        </w:tc>
        <w:tc>
          <w:tcPr>
            <w:tcW w:w="72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1,3</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5,3</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27,2</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11,3</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8,3</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3,6</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2</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rPr>
                <w:sz w:val="18"/>
                <w:szCs w:val="18"/>
                <w:lang w:eastAsia="ar-SA"/>
              </w:rPr>
            </w:pPr>
            <w:r w:rsidRPr="002C4F7C">
              <w:rPr>
                <w:sz w:val="18"/>
                <w:szCs w:val="18"/>
                <w:lang w:eastAsia="ar-SA"/>
              </w:rPr>
              <w:t>OIOM/OIT dzieci</w:t>
            </w:r>
          </w:p>
          <w:p w:rsidR="00AF0FDB" w:rsidRPr="002C4F7C" w:rsidRDefault="00AF0FDB" w:rsidP="002C4F7C">
            <w:pPr>
              <w:tabs>
                <w:tab w:val="left" w:pos="360"/>
              </w:tabs>
              <w:suppressAutoHyphens/>
              <w:spacing w:after="0" w:line="240" w:lineRule="auto"/>
              <w:rPr>
                <w:sz w:val="18"/>
                <w:szCs w:val="18"/>
                <w:lang w:eastAsia="ar-SA"/>
              </w:rPr>
            </w:pP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2,9</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17,1</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11,4</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2,9</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25"/>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5,3</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8</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26,7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13,3</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5,3</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89"/>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3</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rPr>
                <w:sz w:val="18"/>
                <w:szCs w:val="18"/>
                <w:lang w:eastAsia="ar-SA"/>
              </w:rPr>
            </w:pPr>
            <w:r w:rsidRPr="002C4F7C">
              <w:rPr>
                <w:sz w:val="18"/>
                <w:szCs w:val="18"/>
                <w:lang w:eastAsia="ar-SA"/>
              </w:rPr>
              <w:t>ODDZIAŁY ZABIEGOWE dorosłych</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0,8</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1,5</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1,4</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0,04</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61"/>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0,8</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1,7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1,3</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4</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ORTOPEDIA/ TRAUMATOLOGIA/ URAZOWE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50"/>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0,6</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2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5</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ODDZIAŁY NIEZABIEGOWE dorosłych</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2,1</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3,4</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1,2</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0,8</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5,5</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0,01</w:t>
            </w:r>
          </w:p>
        </w:tc>
      </w:tr>
      <w:tr w:rsidR="00AF0FDB" w:rsidRPr="002E4C65">
        <w:trPr>
          <w:trHeight w:val="252"/>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1,3</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2,3</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0,6</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3,5</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6</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HEMATOLOGIA/</w:t>
            </w:r>
          </w:p>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ONKOLOGIA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0,01</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0,2</w:t>
            </w:r>
          </w:p>
        </w:tc>
      </w:tr>
      <w:tr w:rsidR="00AF0FDB" w:rsidRPr="002E4C65">
        <w:trPr>
          <w:trHeight w:val="275"/>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0,02</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0,1</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7</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POŁOZNICTWIO/ GINEKOLOGIA</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0,03</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0,01</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0,02</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8</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NOWORODKOWE</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308"/>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12"/>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9</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PATOLOGIA NOWORODKÓW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1,5</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64"/>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10</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PEDIATRIA i inne oddziały dziecięce niezabiegowe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0,9</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0,02</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13,5</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0,04</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0,04</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0,04</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9,9</w:t>
            </w:r>
          </w:p>
        </w:tc>
      </w:tr>
      <w:tr w:rsidR="00AF0FDB" w:rsidRPr="002E4C65">
        <w:trPr>
          <w:trHeight w:val="277"/>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11</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CHIRURGIA DZIECIĘCA i inne oddziały zabiegowe dla dzieci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0,07</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0,06</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0,9</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1,1</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12</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GERIATRIA i inne oddziały Medycyna paliatywna</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13</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REHABILITACJA</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1,4</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75"/>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0,7</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1,3</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60"/>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14</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OKULISTYKA</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0,08</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15</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ZAKAŹNE</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1,6</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1,2</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13,1</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sz w:val="18"/>
                <w:szCs w:val="18"/>
              </w:rPr>
              <w:t>70,1</w:t>
            </w:r>
          </w:p>
        </w:tc>
      </w:tr>
      <w:tr w:rsidR="00AF0FDB" w:rsidRPr="002E4C65">
        <w:trPr>
          <w:trHeight w:val="87"/>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0,3</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0,5</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1,2</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0,2</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8,2</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sz w:val="18"/>
                <w:szCs w:val="18"/>
              </w:rPr>
              <w:t>36,7</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16</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TRANSPLANTOLOGIA</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2,6</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2,1</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10,9</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2,3</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0,6</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7</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0,6</w:t>
            </w:r>
          </w:p>
        </w:tc>
      </w:tr>
      <w:tr w:rsidR="00AF0FDB" w:rsidRPr="002E4C65">
        <w:trPr>
          <w:trHeight w:val="266"/>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0,9</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2,3</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8,2</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4,3</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2</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6,3</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56"/>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17</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Oddziały dializ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0,1</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275"/>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0,4</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81"/>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18</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rPr>
                <w:sz w:val="18"/>
                <w:szCs w:val="18"/>
                <w:lang w:eastAsia="ar-SA"/>
              </w:rPr>
            </w:pPr>
            <w:bookmarkStart w:id="333" w:name="OLE_LINK5"/>
            <w:bookmarkStart w:id="334" w:name="OLE_LINK6"/>
            <w:r w:rsidRPr="002C4F7C">
              <w:rPr>
                <w:sz w:val="18"/>
                <w:szCs w:val="18"/>
                <w:lang w:eastAsia="ar-SA"/>
              </w:rPr>
              <w:t>Zakład opiekuńczo – leczniczy  w strukturze szpitala</w:t>
            </w:r>
            <w:bookmarkEnd w:id="333"/>
            <w:bookmarkEnd w:id="334"/>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12,4</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8,3</w:t>
            </w:r>
          </w:p>
        </w:tc>
        <w:tc>
          <w:tcPr>
            <w:tcW w:w="688"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20,8</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16,6</w:t>
            </w:r>
          </w:p>
        </w:tc>
        <w:tc>
          <w:tcPr>
            <w:tcW w:w="664"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37,3</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60"/>
        </w:trPr>
        <w:tc>
          <w:tcPr>
            <w:tcW w:w="426" w:type="dxa"/>
            <w:vMerge/>
          </w:tcPr>
          <w:p w:rsidR="00AF0FDB" w:rsidRPr="002C4F7C" w:rsidRDefault="00AF0FDB" w:rsidP="002C4F7C">
            <w:pPr>
              <w:spacing w:after="0" w:line="240" w:lineRule="auto"/>
              <w:rPr>
                <w:b/>
                <w:bCs/>
                <w:sz w:val="18"/>
                <w:szCs w:val="18"/>
                <w:lang w:eastAsia="ar-SA"/>
              </w:rPr>
            </w:pPr>
          </w:p>
        </w:tc>
        <w:tc>
          <w:tcPr>
            <w:tcW w:w="2697" w:type="dxa"/>
            <w:vMerge/>
            <w:shd w:val="clear" w:color="auto" w:fill="E8E8E8"/>
          </w:tcPr>
          <w:p w:rsidR="00AF0FDB" w:rsidRPr="002C4F7C" w:rsidRDefault="00AF0FDB" w:rsidP="002C4F7C">
            <w:pPr>
              <w:spacing w:after="0" w:line="240" w:lineRule="auto"/>
              <w:rPr>
                <w:sz w:val="18"/>
                <w:szCs w:val="18"/>
                <w:lang w:eastAsia="ar-SA"/>
              </w:rPr>
            </w:pPr>
          </w:p>
        </w:tc>
        <w:tc>
          <w:tcPr>
            <w:tcW w:w="719"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4,1</w:t>
            </w:r>
          </w:p>
        </w:tc>
        <w:tc>
          <w:tcPr>
            <w:tcW w:w="720"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4,1</w:t>
            </w:r>
          </w:p>
        </w:tc>
        <w:tc>
          <w:tcPr>
            <w:tcW w:w="688" w:type="dxa"/>
          </w:tcPr>
          <w:p w:rsidR="00AF0FDB" w:rsidRPr="002C4F7C" w:rsidRDefault="00AF0FDB" w:rsidP="002C4F7C">
            <w:pPr>
              <w:tabs>
                <w:tab w:val="left" w:pos="360"/>
              </w:tabs>
              <w:spacing w:after="0" w:line="240" w:lineRule="auto"/>
              <w:jc w:val="center"/>
              <w:rPr>
                <w:sz w:val="18"/>
                <w:szCs w:val="18"/>
              </w:rPr>
            </w:pPr>
            <w:r w:rsidRPr="002C4F7C">
              <w:rPr>
                <w:sz w:val="18"/>
                <w:szCs w:val="18"/>
              </w:rPr>
              <w:t>8,3</w:t>
            </w:r>
          </w:p>
        </w:tc>
        <w:tc>
          <w:tcPr>
            <w:tcW w:w="701"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39" w:type="dxa"/>
          </w:tcPr>
          <w:p w:rsidR="00AF0FDB" w:rsidRPr="002C4F7C" w:rsidRDefault="00AF0FDB" w:rsidP="002C4F7C">
            <w:pPr>
              <w:tabs>
                <w:tab w:val="left" w:pos="360"/>
              </w:tabs>
              <w:spacing w:after="0" w:line="240" w:lineRule="auto"/>
              <w:jc w:val="center"/>
              <w:rPr>
                <w:sz w:val="18"/>
                <w:szCs w:val="18"/>
              </w:rPr>
            </w:pPr>
            <w:r w:rsidRPr="002C4F7C">
              <w:rPr>
                <w:sz w:val="18"/>
                <w:szCs w:val="18"/>
              </w:rPr>
              <w:t>4,1</w:t>
            </w:r>
          </w:p>
        </w:tc>
        <w:tc>
          <w:tcPr>
            <w:tcW w:w="664"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12,4</w:t>
            </w:r>
          </w:p>
        </w:tc>
        <w:tc>
          <w:tcPr>
            <w:tcW w:w="714" w:type="dxa"/>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63"/>
        </w:trPr>
        <w:tc>
          <w:tcPr>
            <w:tcW w:w="426" w:type="dxa"/>
            <w:vMerge w:val="restart"/>
            <w:shd w:val="clear" w:color="auto" w:fill="E8E8E8"/>
          </w:tcPr>
          <w:p w:rsidR="00AF0FDB" w:rsidRPr="002C4F7C" w:rsidRDefault="00AF0FDB" w:rsidP="002C4F7C">
            <w:pPr>
              <w:tabs>
                <w:tab w:val="left" w:pos="360"/>
              </w:tabs>
              <w:suppressAutoHyphens/>
              <w:spacing w:after="0" w:line="240" w:lineRule="auto"/>
              <w:jc w:val="both"/>
              <w:rPr>
                <w:b/>
                <w:bCs/>
                <w:sz w:val="18"/>
                <w:szCs w:val="18"/>
                <w:lang w:eastAsia="ar-SA"/>
              </w:rPr>
            </w:pPr>
            <w:r w:rsidRPr="002C4F7C">
              <w:rPr>
                <w:sz w:val="18"/>
                <w:szCs w:val="18"/>
                <w:lang w:eastAsia="ar-SA"/>
              </w:rPr>
              <w:t>19</w:t>
            </w:r>
          </w:p>
        </w:tc>
        <w:tc>
          <w:tcPr>
            <w:tcW w:w="2697" w:type="dxa"/>
            <w:vMerge w:val="restart"/>
            <w:shd w:val="clear" w:color="auto" w:fill="E8E8E8"/>
          </w:tcPr>
          <w:p w:rsidR="00AF0FDB" w:rsidRPr="002C4F7C" w:rsidRDefault="00AF0FDB" w:rsidP="002C4F7C">
            <w:pPr>
              <w:tabs>
                <w:tab w:val="left" w:pos="360"/>
              </w:tabs>
              <w:suppressAutoHyphens/>
              <w:spacing w:after="0" w:line="240" w:lineRule="auto"/>
              <w:jc w:val="both"/>
              <w:rPr>
                <w:sz w:val="18"/>
                <w:szCs w:val="18"/>
                <w:lang w:eastAsia="ar-SA"/>
              </w:rPr>
            </w:pPr>
            <w:r w:rsidRPr="002C4F7C">
              <w:rPr>
                <w:sz w:val="18"/>
                <w:szCs w:val="18"/>
                <w:lang w:eastAsia="ar-SA"/>
              </w:rPr>
              <w:t xml:space="preserve">Oparzeniowy </w:t>
            </w:r>
          </w:p>
        </w:tc>
        <w:tc>
          <w:tcPr>
            <w:tcW w:w="71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2017</w:t>
            </w:r>
          </w:p>
        </w:tc>
        <w:tc>
          <w:tcPr>
            <w:tcW w:w="72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50,8</w:t>
            </w:r>
          </w:p>
        </w:tc>
        <w:tc>
          <w:tcPr>
            <w:tcW w:w="72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540"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25,4</w:t>
            </w:r>
          </w:p>
        </w:tc>
        <w:tc>
          <w:tcPr>
            <w:tcW w:w="688"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33,9</w:t>
            </w:r>
          </w:p>
        </w:tc>
        <w:tc>
          <w:tcPr>
            <w:tcW w:w="701"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c>
          <w:tcPr>
            <w:tcW w:w="739"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101,7</w:t>
            </w:r>
          </w:p>
        </w:tc>
        <w:tc>
          <w:tcPr>
            <w:tcW w:w="66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714" w:type="dxa"/>
            <w:shd w:val="clear" w:color="auto" w:fill="E8E8E8"/>
          </w:tcPr>
          <w:p w:rsidR="00AF0FDB" w:rsidRPr="002C4F7C" w:rsidRDefault="00AF0FDB" w:rsidP="002C4F7C">
            <w:pPr>
              <w:tabs>
                <w:tab w:val="left" w:pos="360"/>
              </w:tabs>
              <w:spacing w:after="0" w:line="240" w:lineRule="auto"/>
              <w:jc w:val="center"/>
              <w:rPr>
                <w:sz w:val="18"/>
                <w:szCs w:val="18"/>
              </w:rPr>
            </w:pPr>
            <w:r w:rsidRPr="002C4F7C">
              <w:rPr>
                <w:sz w:val="18"/>
                <w:szCs w:val="18"/>
              </w:rPr>
              <w:t>-</w:t>
            </w:r>
          </w:p>
        </w:tc>
        <w:tc>
          <w:tcPr>
            <w:tcW w:w="650" w:type="dxa"/>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r w:rsidR="00AF0FDB" w:rsidRPr="002E4C65">
        <w:trPr>
          <w:trHeight w:val="163"/>
        </w:trPr>
        <w:tc>
          <w:tcPr>
            <w:tcW w:w="426" w:type="dxa"/>
            <w:vMerge/>
            <w:tcBorders>
              <w:top w:val="double" w:sz="6" w:space="0" w:color="A5A5A5"/>
            </w:tcBorders>
          </w:tcPr>
          <w:p w:rsidR="00AF0FDB" w:rsidRPr="002C4F7C" w:rsidRDefault="00AF0FDB" w:rsidP="002C4F7C">
            <w:pPr>
              <w:spacing w:after="0" w:line="240" w:lineRule="auto"/>
              <w:rPr>
                <w:b/>
                <w:bCs/>
                <w:sz w:val="18"/>
                <w:szCs w:val="18"/>
                <w:lang w:eastAsia="ar-SA"/>
              </w:rPr>
            </w:pPr>
          </w:p>
        </w:tc>
        <w:tc>
          <w:tcPr>
            <w:tcW w:w="2697" w:type="dxa"/>
            <w:vMerge/>
            <w:tcBorders>
              <w:top w:val="double" w:sz="6" w:space="0" w:color="A5A5A5"/>
            </w:tcBorders>
            <w:shd w:val="clear" w:color="auto" w:fill="E8E8E8"/>
          </w:tcPr>
          <w:p w:rsidR="00AF0FDB" w:rsidRPr="002C4F7C" w:rsidRDefault="00AF0FDB" w:rsidP="002C4F7C">
            <w:pPr>
              <w:spacing w:after="0" w:line="240" w:lineRule="auto"/>
              <w:rPr>
                <w:b/>
                <w:bCs/>
                <w:sz w:val="18"/>
                <w:szCs w:val="18"/>
                <w:lang w:eastAsia="ar-SA"/>
              </w:rPr>
            </w:pPr>
          </w:p>
        </w:tc>
        <w:tc>
          <w:tcPr>
            <w:tcW w:w="719" w:type="dxa"/>
            <w:tcBorders>
              <w:top w:val="double" w:sz="6" w:space="0" w:color="A5A5A5"/>
            </w:tcBorders>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2016</w:t>
            </w:r>
          </w:p>
        </w:tc>
        <w:tc>
          <w:tcPr>
            <w:tcW w:w="720" w:type="dxa"/>
            <w:tcBorders>
              <w:top w:val="double" w:sz="6" w:space="0" w:color="A5A5A5"/>
            </w:tcBorders>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sz w:val="18"/>
                <w:szCs w:val="18"/>
              </w:rPr>
              <w:t>101,7</w:t>
            </w:r>
          </w:p>
        </w:tc>
        <w:tc>
          <w:tcPr>
            <w:tcW w:w="720" w:type="dxa"/>
            <w:tcBorders>
              <w:top w:val="double" w:sz="6" w:space="0" w:color="A5A5A5"/>
            </w:tcBorders>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c>
          <w:tcPr>
            <w:tcW w:w="540" w:type="dxa"/>
            <w:tcBorders>
              <w:top w:val="double" w:sz="6" w:space="0" w:color="A5A5A5"/>
            </w:tcBorders>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c>
          <w:tcPr>
            <w:tcW w:w="688" w:type="dxa"/>
            <w:tcBorders>
              <w:top w:val="double" w:sz="6" w:space="0" w:color="A5A5A5"/>
            </w:tcBorders>
          </w:tcPr>
          <w:p w:rsidR="00AF0FDB" w:rsidRPr="002C4F7C" w:rsidRDefault="00AF0FDB" w:rsidP="002C4F7C">
            <w:pPr>
              <w:tabs>
                <w:tab w:val="left" w:pos="360"/>
              </w:tabs>
              <w:spacing w:after="0" w:line="240" w:lineRule="auto"/>
              <w:jc w:val="center"/>
              <w:rPr>
                <w:b/>
                <w:bCs/>
                <w:sz w:val="18"/>
                <w:szCs w:val="18"/>
              </w:rPr>
            </w:pPr>
            <w:r w:rsidRPr="002C4F7C">
              <w:rPr>
                <w:sz w:val="18"/>
                <w:szCs w:val="18"/>
              </w:rPr>
              <w:t>42,4</w:t>
            </w:r>
          </w:p>
        </w:tc>
        <w:tc>
          <w:tcPr>
            <w:tcW w:w="701" w:type="dxa"/>
            <w:tcBorders>
              <w:top w:val="double" w:sz="6" w:space="0" w:color="A5A5A5"/>
            </w:tcBorders>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sz w:val="18"/>
                <w:szCs w:val="18"/>
              </w:rPr>
              <w:t>17</w:t>
            </w:r>
          </w:p>
        </w:tc>
        <w:tc>
          <w:tcPr>
            <w:tcW w:w="739" w:type="dxa"/>
            <w:tcBorders>
              <w:top w:val="double" w:sz="6" w:space="0" w:color="A5A5A5"/>
            </w:tcBorders>
          </w:tcPr>
          <w:p w:rsidR="00AF0FDB" w:rsidRPr="002C4F7C" w:rsidRDefault="00AF0FDB" w:rsidP="002C4F7C">
            <w:pPr>
              <w:tabs>
                <w:tab w:val="left" w:pos="360"/>
              </w:tabs>
              <w:spacing w:after="0" w:line="240" w:lineRule="auto"/>
              <w:jc w:val="center"/>
              <w:rPr>
                <w:b/>
                <w:bCs/>
                <w:sz w:val="18"/>
                <w:szCs w:val="18"/>
              </w:rPr>
            </w:pPr>
            <w:r w:rsidRPr="002C4F7C">
              <w:rPr>
                <w:sz w:val="18"/>
                <w:szCs w:val="18"/>
              </w:rPr>
              <w:t>50,9</w:t>
            </w:r>
          </w:p>
        </w:tc>
        <w:tc>
          <w:tcPr>
            <w:tcW w:w="664" w:type="dxa"/>
            <w:tcBorders>
              <w:top w:val="double" w:sz="6" w:space="0" w:color="A5A5A5"/>
            </w:tcBorders>
            <w:shd w:val="clear" w:color="auto" w:fill="E8E8E8"/>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8,5</w:t>
            </w:r>
          </w:p>
        </w:tc>
        <w:tc>
          <w:tcPr>
            <w:tcW w:w="714" w:type="dxa"/>
            <w:tcBorders>
              <w:top w:val="double" w:sz="6" w:space="0" w:color="A5A5A5"/>
            </w:tcBorders>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c>
          <w:tcPr>
            <w:tcW w:w="650" w:type="dxa"/>
            <w:tcBorders>
              <w:top w:val="double" w:sz="6" w:space="0" w:color="A5A5A5"/>
            </w:tcBorders>
          </w:tcPr>
          <w:p w:rsidR="00AF0FDB" w:rsidRPr="002C4F7C" w:rsidRDefault="00AF0FDB" w:rsidP="002C4F7C">
            <w:pPr>
              <w:tabs>
                <w:tab w:val="left" w:pos="360"/>
              </w:tabs>
              <w:spacing w:after="0" w:line="240" w:lineRule="auto"/>
              <w:jc w:val="center"/>
              <w:rPr>
                <w:b/>
                <w:bCs/>
                <w:sz w:val="18"/>
                <w:szCs w:val="18"/>
              </w:rPr>
            </w:pPr>
            <w:r w:rsidRPr="002C4F7C">
              <w:rPr>
                <w:b/>
                <w:bCs/>
                <w:sz w:val="18"/>
                <w:szCs w:val="18"/>
              </w:rPr>
              <w:t>-</w:t>
            </w:r>
          </w:p>
        </w:tc>
      </w:tr>
    </w:tbl>
    <w:p w:rsidR="00AF0FDB" w:rsidRPr="002E4C65" w:rsidRDefault="00AF0FDB" w:rsidP="003B27DD">
      <w:pPr>
        <w:tabs>
          <w:tab w:val="left" w:pos="360"/>
        </w:tabs>
        <w:suppressAutoHyphens/>
        <w:spacing w:after="0"/>
        <w:jc w:val="both"/>
        <w:rPr>
          <w:lang w:eastAsia="ar-SA"/>
        </w:rPr>
      </w:pPr>
      <w:r w:rsidRPr="002E4C65">
        <w:rPr>
          <w:lang w:eastAsia="ar-SA"/>
        </w:rPr>
        <w:t>W wyniku analizy współczynników zapadalności w poszczególnych grupach oddziałów stwierdzono najwyższą zapadalność wśród zakażeń wywołanych:</w:t>
      </w: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 xml:space="preserve">Acinetobacter </w:t>
      </w:r>
      <w:r w:rsidRPr="002E4C65">
        <w:rPr>
          <w:b/>
          <w:bCs/>
          <w:lang w:eastAsia="ar-SA"/>
        </w:rPr>
        <w:t>spp</w:t>
      </w:r>
      <w:r w:rsidRPr="002E4C65">
        <w:rPr>
          <w:lang w:eastAsia="ar-SA"/>
        </w:rPr>
        <w:t>.</w:t>
      </w:r>
      <w:r w:rsidRPr="002E4C65">
        <w:rPr>
          <w:i/>
          <w:iCs/>
          <w:lang w:eastAsia="ar-SA"/>
        </w:rPr>
        <w:t xml:space="preserve"> </w:t>
      </w:r>
      <w:r w:rsidRPr="002E4C65">
        <w:rPr>
          <w:lang w:eastAsia="ar-SA"/>
        </w:rPr>
        <w:t>stwierdzono w oddziałach oparzeniowych</w:t>
      </w:r>
      <w:r w:rsidRPr="002E4C65">
        <w:rPr>
          <w:i/>
          <w:iCs/>
          <w:lang w:eastAsia="ar-SA"/>
        </w:rPr>
        <w:t xml:space="preserve"> </w:t>
      </w:r>
      <w:r w:rsidRPr="002E4C65">
        <w:rPr>
          <w:lang w:eastAsia="ar-SA"/>
        </w:rPr>
        <w:t>(wsp. zap. 101,7/1000) dwukrotny wzrost w porównaniu do roku 2016 (wsp. zap. 50,9/1000), wzrost wskaźnika w stosunku do roku poprzedniego odnotowano także w OIOM/OIT  dorosłych i zakładach opiekuńczo-leczniczych w strukturze szpitala.</w:t>
      </w: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Staphylococcus aureus</w:t>
      </w:r>
      <w:r w:rsidRPr="002E4C65">
        <w:rPr>
          <w:i/>
          <w:iCs/>
          <w:lang w:eastAsia="ar-SA"/>
        </w:rPr>
        <w:t xml:space="preserve"> </w:t>
      </w:r>
      <w:r w:rsidRPr="002E4C65">
        <w:rPr>
          <w:b/>
          <w:bCs/>
          <w:lang w:eastAsia="ar-SA"/>
        </w:rPr>
        <w:t>(MRSA)</w:t>
      </w:r>
      <w:r w:rsidRPr="002E4C65">
        <w:rPr>
          <w:i/>
          <w:iCs/>
          <w:lang w:eastAsia="ar-SA"/>
        </w:rPr>
        <w:t xml:space="preserve"> - </w:t>
      </w:r>
      <w:r w:rsidRPr="002E4C65">
        <w:rPr>
          <w:lang w:eastAsia="ar-SA"/>
        </w:rPr>
        <w:t>podobnie jak w 201</w:t>
      </w:r>
      <w:r>
        <w:rPr>
          <w:lang w:eastAsia="ar-SA"/>
        </w:rPr>
        <w:t>7</w:t>
      </w:r>
      <w:r w:rsidRPr="002E4C65">
        <w:rPr>
          <w:lang w:eastAsia="ar-SA"/>
        </w:rPr>
        <w:t xml:space="preserve"> roku w oddziałach oparzeniowych (wsp. zap. 50,8/1000) jednak wartość ta jest dwukrotnie mniejsza niż w roku </w:t>
      </w:r>
      <w:r>
        <w:rPr>
          <w:lang w:eastAsia="ar-SA"/>
        </w:rPr>
        <w:t>poprzednim</w:t>
      </w:r>
      <w:r w:rsidRPr="002E4C65">
        <w:rPr>
          <w:lang w:eastAsia="ar-SA"/>
        </w:rPr>
        <w:t xml:space="preserve"> ( wsp. zap. 101,7/1000).</w:t>
      </w: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 xml:space="preserve">Klebsiella </w:t>
      </w:r>
      <w:r w:rsidRPr="002E4C65">
        <w:rPr>
          <w:b/>
          <w:bCs/>
          <w:lang w:eastAsia="ar-SA"/>
        </w:rPr>
        <w:t>spp</w:t>
      </w:r>
      <w:r w:rsidRPr="002E4C65">
        <w:rPr>
          <w:lang w:eastAsia="ar-SA"/>
        </w:rPr>
        <w:t xml:space="preserve">. </w:t>
      </w:r>
      <w:r w:rsidRPr="002E4C65">
        <w:rPr>
          <w:b/>
          <w:bCs/>
          <w:lang w:eastAsia="ar-SA"/>
        </w:rPr>
        <w:t xml:space="preserve">(ESβL) </w:t>
      </w:r>
      <w:r w:rsidRPr="002E4C65">
        <w:rPr>
          <w:lang w:eastAsia="ar-SA"/>
        </w:rPr>
        <w:t>- najwyższy współczynnik odnotowano w oddziałach oparzeniowych (wsp. zap. 33,9/1000) co stanowi spadek w stosunku do roku poprzedniego, w roku 2017 odnotowano spadek tego wskaźnika w OIOM/OIT dorosłych i dzieci.</w:t>
      </w: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lang w:eastAsia="ar-SA"/>
        </w:rPr>
        <w:t>Rotawirusy</w:t>
      </w:r>
      <w:r w:rsidRPr="002E4C65">
        <w:rPr>
          <w:lang w:eastAsia="ar-SA"/>
        </w:rPr>
        <w:t xml:space="preserve"> – najczęstsze występowanie w oddziałach zakaźnych zarówno w roku 2016 (wsp. zap. 36,7/1000), jak i w roku 2017 (wsp. zap. 70,1/1000), </w:t>
      </w: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Pseudomonas aeruginosa</w:t>
      </w:r>
      <w:r w:rsidRPr="002E4C65">
        <w:rPr>
          <w:lang w:eastAsia="ar-SA"/>
        </w:rPr>
        <w:t xml:space="preserve"> – najczęstszy w oddziałach OIOM/OIT dorosłych </w:t>
      </w:r>
      <w:r w:rsidRPr="002E4C65">
        <w:rPr>
          <w:lang w:eastAsia="ar-SA"/>
        </w:rPr>
        <w:br/>
        <w:t xml:space="preserve">(wsp. zap. 18/1000), w 2016 roku wskaźnik dla tego patogenu najwyższy był </w:t>
      </w:r>
      <w:r w:rsidRPr="002E4C65">
        <w:rPr>
          <w:lang w:eastAsia="ar-SA"/>
        </w:rPr>
        <w:br/>
        <w:t>w oddziałach oparzeniowych (wsp. zap. 17/1000).</w:t>
      </w:r>
    </w:p>
    <w:p w:rsidR="00AF0FDB"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Clostridium difficile</w:t>
      </w:r>
      <w:r w:rsidRPr="002E4C65">
        <w:rPr>
          <w:i/>
          <w:iCs/>
          <w:lang w:eastAsia="ar-SA"/>
        </w:rPr>
        <w:t xml:space="preserve"> </w:t>
      </w:r>
      <w:r w:rsidRPr="002E4C65">
        <w:rPr>
          <w:lang w:eastAsia="ar-SA"/>
        </w:rPr>
        <w:t>– podobnie jak w 2016 roku w zakładach opiekuńczo-leczniczych w strukturze szpitala ze znacznie wyższą wartością wskaźnika (wsp. zap. 37,3/1000).</w:t>
      </w:r>
    </w:p>
    <w:p w:rsidR="00AF0FDB" w:rsidRPr="002E4C65" w:rsidRDefault="00AF0FDB" w:rsidP="00AA1E38">
      <w:pPr>
        <w:tabs>
          <w:tab w:val="left" w:pos="360"/>
        </w:tabs>
        <w:suppressAutoHyphens/>
        <w:spacing w:before="0" w:after="0"/>
        <w:ind w:left="720"/>
        <w:jc w:val="both"/>
        <w:rPr>
          <w:lang w:eastAsia="ar-SA"/>
        </w:rPr>
      </w:pP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Eschericha coli</w:t>
      </w:r>
      <w:r w:rsidRPr="002E4C65">
        <w:rPr>
          <w:i/>
          <w:iCs/>
          <w:lang w:eastAsia="ar-SA"/>
        </w:rPr>
        <w:t xml:space="preserve"> </w:t>
      </w:r>
      <w:r w:rsidRPr="002E4C65">
        <w:rPr>
          <w:b/>
          <w:bCs/>
          <w:lang w:eastAsia="ar-SA"/>
        </w:rPr>
        <w:t xml:space="preserve">(ESβL) </w:t>
      </w:r>
      <w:r w:rsidRPr="002E4C65">
        <w:rPr>
          <w:lang w:eastAsia="ar-SA"/>
        </w:rPr>
        <w:t>najwyższy współczynnik odnotowano w oddziałach oparzeniowych (wsp. zap. 25,4/1000), wskaźnik ten wzrósł względem roku poprzedzającego dwukrotnie w zakładach opiekuńczo-leczniczych w strukturze szpitala (wsp. zap. 8,3/1000).</w:t>
      </w:r>
    </w:p>
    <w:p w:rsidR="00AF0FDB" w:rsidRPr="002E4C65" w:rsidRDefault="00AF0FDB" w:rsidP="00DE0EFA">
      <w:pPr>
        <w:numPr>
          <w:ilvl w:val="0"/>
          <w:numId w:val="35"/>
        </w:numPr>
        <w:tabs>
          <w:tab w:val="left" w:pos="360"/>
        </w:tabs>
        <w:suppressAutoHyphens/>
        <w:spacing w:before="0" w:after="0"/>
        <w:jc w:val="both"/>
        <w:rPr>
          <w:lang w:eastAsia="ar-SA"/>
        </w:rPr>
      </w:pPr>
      <w:r w:rsidRPr="002E4C65">
        <w:rPr>
          <w:b/>
          <w:bCs/>
          <w:i/>
          <w:iCs/>
          <w:lang w:eastAsia="ar-SA"/>
        </w:rPr>
        <w:t xml:space="preserve">Enterococcus faecalis </w:t>
      </w:r>
      <w:r w:rsidRPr="002E4C65">
        <w:rPr>
          <w:b/>
          <w:bCs/>
          <w:lang w:eastAsia="ar-SA"/>
        </w:rPr>
        <w:t>(VRE)</w:t>
      </w:r>
      <w:r w:rsidRPr="002E4C65">
        <w:rPr>
          <w:i/>
          <w:iCs/>
          <w:lang w:eastAsia="ar-SA"/>
        </w:rPr>
        <w:t xml:space="preserve"> </w:t>
      </w:r>
      <w:r w:rsidRPr="002E4C65">
        <w:rPr>
          <w:lang w:eastAsia="ar-SA"/>
        </w:rPr>
        <w:t xml:space="preserve">w OIOM/OIT dorosłych (wsp. zap. 3,7/1000) jest </w:t>
      </w:r>
      <w:r w:rsidRPr="002E4C65">
        <w:rPr>
          <w:lang w:eastAsia="ar-SA"/>
        </w:rPr>
        <w:br/>
        <w:t>to wartość prawie trzykrotnie wyższa niż w roku 2016 (wsp. zap. 1,3/1000).</w:t>
      </w:r>
    </w:p>
    <w:p w:rsidR="00AF0FDB" w:rsidRPr="002E4C65" w:rsidRDefault="00AF0FDB" w:rsidP="003B27DD">
      <w:pPr>
        <w:tabs>
          <w:tab w:val="left" w:pos="360"/>
        </w:tabs>
        <w:spacing w:after="0"/>
        <w:jc w:val="both"/>
        <w:rPr>
          <w:color w:val="000000"/>
        </w:rPr>
      </w:pPr>
      <w:r w:rsidRPr="002E4C65">
        <w:rPr>
          <w:b/>
          <w:bCs/>
          <w:i/>
          <w:iCs/>
          <w:color w:val="000000"/>
        </w:rPr>
        <w:t xml:space="preserve">Staphylococcus aureus </w:t>
      </w:r>
      <w:r w:rsidRPr="002E4C65">
        <w:rPr>
          <w:b/>
          <w:bCs/>
          <w:color w:val="000000"/>
        </w:rPr>
        <w:t xml:space="preserve">(MRSA) </w:t>
      </w:r>
      <w:r w:rsidRPr="002E4C65">
        <w:rPr>
          <w:color w:val="000000"/>
        </w:rPr>
        <w:t xml:space="preserve">jako przyczynę zakażeń szpitalnych zarejestrowano </w:t>
      </w:r>
      <w:r w:rsidRPr="002E4C65">
        <w:rPr>
          <w:color w:val="000000"/>
        </w:rPr>
        <w:br/>
        <w:t>w 15 grupach oddziałów – w 2</w:t>
      </w:r>
      <w:r>
        <w:rPr>
          <w:color w:val="000000"/>
        </w:rPr>
        <w:t>016 roku w 12 grupach oddziałów:</w:t>
      </w:r>
    </w:p>
    <w:p w:rsidR="00AF0FDB" w:rsidRPr="002E4C65" w:rsidRDefault="00AF0FDB" w:rsidP="003B27DD">
      <w:pPr>
        <w:tabs>
          <w:tab w:val="left" w:pos="360"/>
        </w:tabs>
        <w:spacing w:after="0"/>
        <w:jc w:val="both"/>
        <w:rPr>
          <w:color w:val="000000"/>
        </w:rPr>
      </w:pPr>
      <w:r w:rsidRPr="002E4C65">
        <w:rPr>
          <w:b/>
          <w:bCs/>
          <w:color w:val="000000"/>
        </w:rPr>
        <w:t>-</w:t>
      </w:r>
      <w:r w:rsidRPr="002E4C65">
        <w:rPr>
          <w:color w:val="000000"/>
        </w:rPr>
        <w:t xml:space="preserve"> najwyższy współczynnik odnotowano</w:t>
      </w:r>
      <w:r w:rsidRPr="002E4C65">
        <w:t xml:space="preserve"> w oddziałach oparzeniowych (wsp. zap. 50,8/1000 pacjentów) – dwukrotnie mniejszy w stosunku do 2016 roku w tej grupie oddziałów,</w:t>
      </w:r>
    </w:p>
    <w:p w:rsidR="00AF0FDB" w:rsidRPr="002E4C65" w:rsidRDefault="00AF0FDB" w:rsidP="003B27DD">
      <w:pPr>
        <w:tabs>
          <w:tab w:val="left" w:pos="360"/>
        </w:tabs>
        <w:spacing w:after="0"/>
        <w:jc w:val="both"/>
      </w:pPr>
      <w:r w:rsidRPr="002E4C65">
        <w:rPr>
          <w:b/>
          <w:bCs/>
        </w:rPr>
        <w:t xml:space="preserve">- </w:t>
      </w:r>
      <w:r w:rsidRPr="002E4C65">
        <w:t>najniższy współczynnik stwierdzono w oddziałach hematologicznych/onkologicznych (wsp. zap. 0,1/1000 pacjentów), patologii noworodków (wsp. zap. 0,1/1000 pacjentów)</w:t>
      </w:r>
      <w:r>
        <w:t>,</w:t>
      </w:r>
      <w:r w:rsidRPr="002E4C65">
        <w:t xml:space="preserve"> rehabilitacji (wsp. zap. 0,1/1000 pacjentów) i okulistycznych (wsp. zap. 0,1/1000 pacjentów).</w:t>
      </w:r>
    </w:p>
    <w:p w:rsidR="00AF0FDB" w:rsidRPr="002E4C65" w:rsidRDefault="00AF0FDB" w:rsidP="003B27DD">
      <w:pPr>
        <w:tabs>
          <w:tab w:val="left" w:pos="360"/>
        </w:tabs>
        <w:spacing w:after="0"/>
        <w:jc w:val="both"/>
      </w:pPr>
      <w:r w:rsidRPr="002E4C65">
        <w:rPr>
          <w:b/>
          <w:bCs/>
          <w:i/>
          <w:iCs/>
        </w:rPr>
        <w:t xml:space="preserve">Enterococcus faecalis </w:t>
      </w:r>
      <w:r w:rsidRPr="002E4C65">
        <w:rPr>
          <w:b/>
          <w:bCs/>
        </w:rPr>
        <w:t>(VRE)</w:t>
      </w:r>
      <w:r w:rsidRPr="002E4C65">
        <w:t xml:space="preserve"> jako przyczynę zakażeń szpitalnych tak jak w roku 2016 zarej</w:t>
      </w:r>
      <w:r>
        <w:t>estrowano w 7 grupach oddziałów:</w:t>
      </w:r>
    </w:p>
    <w:p w:rsidR="00AF0FDB" w:rsidRPr="002E4C65" w:rsidRDefault="00AF0FDB" w:rsidP="003B27DD">
      <w:pPr>
        <w:tabs>
          <w:tab w:val="left" w:pos="360"/>
        </w:tabs>
        <w:spacing w:after="0"/>
        <w:jc w:val="both"/>
      </w:pPr>
      <w:r w:rsidRPr="002E4C65">
        <w:rPr>
          <w:b/>
          <w:bCs/>
        </w:rPr>
        <w:t xml:space="preserve">- </w:t>
      </w:r>
      <w:r w:rsidRPr="002E4C65">
        <w:t>najwyższy współczynnik wystąpił w OIOM/OIT dorosłych (wsp. zap. 3,7/1000 pacjentów) - w stosunku do 2016 roku wystąpił wzrost (wsp. zap. 1,3/1000 pacjentów),</w:t>
      </w:r>
    </w:p>
    <w:p w:rsidR="00AF0FDB" w:rsidRPr="002E4C65" w:rsidRDefault="00AF0FDB" w:rsidP="003B27DD">
      <w:pPr>
        <w:tabs>
          <w:tab w:val="left" w:pos="360"/>
        </w:tabs>
        <w:spacing w:after="0"/>
        <w:jc w:val="both"/>
      </w:pPr>
      <w:r w:rsidRPr="002E4C65">
        <w:rPr>
          <w:b/>
          <w:bCs/>
        </w:rPr>
        <w:t xml:space="preserve">- </w:t>
      </w:r>
      <w:r w:rsidRPr="002E4C65">
        <w:t>najniższy współczynnik stwierdzono w oddziałach ortopedycznych oraz hematologii/onkologii (wsp. zap. w obu przypadkach 0,1/1000 pacjentów).</w:t>
      </w:r>
    </w:p>
    <w:p w:rsidR="00AF0FDB" w:rsidRPr="002E4C65" w:rsidRDefault="00AF0FDB" w:rsidP="003B27DD">
      <w:pPr>
        <w:tabs>
          <w:tab w:val="left" w:pos="360"/>
        </w:tabs>
        <w:spacing w:after="0"/>
        <w:jc w:val="both"/>
      </w:pPr>
      <w:r w:rsidRPr="002E4C65">
        <w:rPr>
          <w:b/>
          <w:bCs/>
          <w:i/>
          <w:iCs/>
        </w:rPr>
        <w:t xml:space="preserve">Eschericha coli </w:t>
      </w:r>
      <w:r w:rsidRPr="002E4C65">
        <w:rPr>
          <w:b/>
          <w:bCs/>
        </w:rPr>
        <w:t>(ESβL)</w:t>
      </w:r>
      <w:r w:rsidRPr="002E4C65">
        <w:rPr>
          <w:i/>
          <w:iCs/>
        </w:rPr>
        <w:t xml:space="preserve"> </w:t>
      </w:r>
      <w:r w:rsidRPr="002E4C65">
        <w:t>jako przyczynę zakażeń szpitalnych zarejestrowano w 17 grupach oddziałów – w 2</w:t>
      </w:r>
      <w:r>
        <w:t>016 roku w 13 grupach oddziałów:</w:t>
      </w:r>
    </w:p>
    <w:p w:rsidR="00AF0FDB" w:rsidRPr="002E4C65" w:rsidRDefault="00AF0FDB" w:rsidP="003B27DD">
      <w:pPr>
        <w:tabs>
          <w:tab w:val="left" w:pos="360"/>
        </w:tabs>
        <w:spacing w:after="0"/>
        <w:jc w:val="both"/>
      </w:pPr>
      <w:r w:rsidRPr="002E4C65">
        <w:rPr>
          <w:b/>
          <w:bCs/>
        </w:rPr>
        <w:t xml:space="preserve">- </w:t>
      </w:r>
      <w:r w:rsidRPr="002E4C65">
        <w:t>najwyższy współczynnik wystąpił w oddziałach oparzeniowych (wsp. zap. 25,4/1000 pacjentów) - w poprzednim roku zakażeń o tej etiologii nie stwierdzono,</w:t>
      </w:r>
    </w:p>
    <w:p w:rsidR="00AF0FDB" w:rsidRDefault="00AF0FDB" w:rsidP="003B27DD">
      <w:pPr>
        <w:tabs>
          <w:tab w:val="left" w:pos="360"/>
        </w:tabs>
        <w:spacing w:after="0"/>
        <w:jc w:val="both"/>
      </w:pPr>
      <w:r w:rsidRPr="002E4C65">
        <w:rPr>
          <w:b/>
          <w:bCs/>
        </w:rPr>
        <w:t xml:space="preserve">- </w:t>
      </w:r>
      <w:r w:rsidRPr="002E4C65">
        <w:t>najniższy współczynnik stwierdzono w oddziałach ortopedycznych (wsp. zap. 0,1/1000 pacjentów),  położnictwa/ginekologii (wsp. zap. 0,1/1000 pacjentów) i okulistycznym (wsp. zap. 0,1/1000 pacjentów).</w:t>
      </w:r>
    </w:p>
    <w:p w:rsidR="00AF0FDB" w:rsidRPr="002E4C65" w:rsidRDefault="00AF0FDB" w:rsidP="003B27DD">
      <w:pPr>
        <w:tabs>
          <w:tab w:val="left" w:pos="360"/>
        </w:tabs>
        <w:spacing w:after="0"/>
        <w:jc w:val="both"/>
      </w:pPr>
    </w:p>
    <w:p w:rsidR="00AF0FDB" w:rsidRPr="002E4C65" w:rsidRDefault="00AF0FDB" w:rsidP="003B27DD">
      <w:pPr>
        <w:tabs>
          <w:tab w:val="left" w:pos="360"/>
        </w:tabs>
        <w:spacing w:after="0"/>
        <w:jc w:val="both"/>
      </w:pPr>
      <w:r w:rsidRPr="002E4C65">
        <w:rPr>
          <w:b/>
          <w:bCs/>
          <w:i/>
          <w:iCs/>
        </w:rPr>
        <w:t>Klebsiella spp.</w:t>
      </w:r>
      <w:r w:rsidRPr="002E4C65">
        <w:rPr>
          <w:b/>
          <w:bCs/>
        </w:rPr>
        <w:t xml:space="preserve"> (ESβL)</w:t>
      </w:r>
      <w:r w:rsidRPr="002E4C65">
        <w:rPr>
          <w:b/>
          <w:bCs/>
          <w:i/>
          <w:iCs/>
        </w:rPr>
        <w:t xml:space="preserve"> </w:t>
      </w:r>
      <w:r w:rsidRPr="002E4C65">
        <w:t>jako przyczynę zakażeń szpitalnych zarejestrowano w 16 grupach oddziałów – w 2</w:t>
      </w:r>
      <w:r>
        <w:t>016 roku w 13 grupach oddziałów:</w:t>
      </w:r>
    </w:p>
    <w:p w:rsidR="00AF0FDB" w:rsidRPr="002E4C65" w:rsidRDefault="00AF0FDB" w:rsidP="003B27DD">
      <w:pPr>
        <w:tabs>
          <w:tab w:val="left" w:pos="360"/>
        </w:tabs>
        <w:spacing w:after="0"/>
        <w:jc w:val="both"/>
      </w:pPr>
      <w:r w:rsidRPr="002E4C65">
        <w:rPr>
          <w:b/>
          <w:bCs/>
        </w:rPr>
        <w:t xml:space="preserve">- </w:t>
      </w:r>
      <w:r w:rsidRPr="002E4C65">
        <w:t>najwyższy współczynnik w oddziałach oparzeniowych (wsp. zap. 33,9/1000 pacjentów) – niższy  niż w 2016 roku,</w:t>
      </w:r>
    </w:p>
    <w:p w:rsidR="00AF0FDB" w:rsidRPr="002E4C65" w:rsidRDefault="00AF0FDB" w:rsidP="003B27DD">
      <w:pPr>
        <w:tabs>
          <w:tab w:val="left" w:pos="360"/>
        </w:tabs>
        <w:spacing w:after="0"/>
        <w:jc w:val="both"/>
      </w:pPr>
      <w:r w:rsidRPr="002E4C65">
        <w:rPr>
          <w:b/>
          <w:bCs/>
        </w:rPr>
        <w:t xml:space="preserve">- </w:t>
      </w:r>
      <w:r w:rsidRPr="002E4C65">
        <w:t>najniższy współczynnik</w:t>
      </w:r>
      <w:r w:rsidRPr="002E4C65">
        <w:rPr>
          <w:b/>
          <w:bCs/>
        </w:rPr>
        <w:t xml:space="preserve"> </w:t>
      </w:r>
      <w:r w:rsidRPr="002E4C65">
        <w:t>stwierdzono w oddziałach noworodkowych (wsp. zap. 0,2/1000 pacjentów) i ginekologii/położnictwo (wsp. zap. 0,03/1000 pacjentów).</w:t>
      </w:r>
    </w:p>
    <w:p w:rsidR="00AF0FDB" w:rsidRPr="002E4C65" w:rsidRDefault="00AF0FDB" w:rsidP="003B27DD">
      <w:pPr>
        <w:tabs>
          <w:tab w:val="left" w:pos="360"/>
        </w:tabs>
        <w:spacing w:after="0"/>
        <w:jc w:val="both"/>
      </w:pPr>
      <w:r w:rsidRPr="002E4C65">
        <w:rPr>
          <w:b/>
          <w:bCs/>
          <w:i/>
          <w:iCs/>
        </w:rPr>
        <w:t xml:space="preserve">Pseudomonas aeruginosa </w:t>
      </w:r>
      <w:r w:rsidRPr="002E4C65">
        <w:t>jako przyczynę zakażeń szpitalnych zareje</w:t>
      </w:r>
      <w:r>
        <w:t>strowano w 11 grupach oddziałów:</w:t>
      </w:r>
    </w:p>
    <w:p w:rsidR="00AF0FDB" w:rsidRPr="002E4C65" w:rsidRDefault="00AF0FDB" w:rsidP="003B27DD">
      <w:pPr>
        <w:tabs>
          <w:tab w:val="left" w:pos="360"/>
        </w:tabs>
        <w:spacing w:after="0"/>
        <w:jc w:val="both"/>
      </w:pPr>
      <w:r w:rsidRPr="002E4C65">
        <w:rPr>
          <w:b/>
          <w:bCs/>
        </w:rPr>
        <w:t xml:space="preserve">- </w:t>
      </w:r>
      <w:r w:rsidRPr="002E4C65">
        <w:t>najwyższy współczynnik odnotowano w oddziałach OIOM/OIT dorosłych (wsp. zap. 18/1000 pacjentów) – wyższy też niż w ubiegłym roku,</w:t>
      </w:r>
    </w:p>
    <w:p w:rsidR="00AF0FDB" w:rsidRPr="002E4C65" w:rsidRDefault="00AF0FDB" w:rsidP="003B27DD">
      <w:pPr>
        <w:tabs>
          <w:tab w:val="left" w:pos="360"/>
        </w:tabs>
        <w:spacing w:after="0"/>
        <w:jc w:val="both"/>
      </w:pPr>
      <w:r w:rsidRPr="002E4C65">
        <w:rPr>
          <w:b/>
          <w:bCs/>
        </w:rPr>
        <w:t xml:space="preserve">- </w:t>
      </w:r>
      <w:r w:rsidRPr="002E4C65">
        <w:t>najniższy współczynnik odnotowano w oddziałach położnictwo/ginekologia (wsp. zap. 0,01/1000 pacjentów) oraz pediatrii (wsp. zap. 0,02/1000 pacjentów).</w:t>
      </w:r>
    </w:p>
    <w:p w:rsidR="00AF0FDB" w:rsidRPr="002E4C65" w:rsidRDefault="00AF0FDB" w:rsidP="003B27DD">
      <w:pPr>
        <w:tabs>
          <w:tab w:val="left" w:pos="360"/>
        </w:tabs>
        <w:spacing w:after="0"/>
        <w:jc w:val="both"/>
      </w:pPr>
      <w:r w:rsidRPr="002E4C65">
        <w:rPr>
          <w:b/>
          <w:bCs/>
          <w:i/>
          <w:iCs/>
        </w:rPr>
        <w:t xml:space="preserve">Acinetobacter spp. </w:t>
      </w:r>
      <w:r w:rsidRPr="002E4C65">
        <w:t xml:space="preserve">jako przyczynę zakażeń szpitalnych zarejestrowano w 10 grupach oddziałów – w </w:t>
      </w:r>
      <w:r>
        <w:t>2016 roku w 8 grupach oddziałów:</w:t>
      </w:r>
    </w:p>
    <w:p w:rsidR="00AF0FDB" w:rsidRPr="002E4C65" w:rsidRDefault="00AF0FDB" w:rsidP="003B27DD">
      <w:pPr>
        <w:tabs>
          <w:tab w:val="left" w:pos="360"/>
        </w:tabs>
        <w:spacing w:after="0"/>
        <w:jc w:val="both"/>
      </w:pPr>
      <w:r w:rsidRPr="002E4C65">
        <w:rPr>
          <w:b/>
          <w:bCs/>
        </w:rPr>
        <w:t xml:space="preserve">- </w:t>
      </w:r>
      <w:r w:rsidRPr="002E4C65">
        <w:t>najwyższy współczynnik w oddziałach oparzeniowych (wsp. zap. 101,7/1000 pacjentów) – dwukrotny wzrost w stosunku do 2016 roku,</w:t>
      </w:r>
    </w:p>
    <w:p w:rsidR="00AF0FDB" w:rsidRPr="002E4C65" w:rsidRDefault="00AF0FDB" w:rsidP="003B27DD">
      <w:pPr>
        <w:tabs>
          <w:tab w:val="left" w:pos="360"/>
        </w:tabs>
        <w:spacing w:after="0"/>
        <w:jc w:val="both"/>
      </w:pPr>
      <w:r w:rsidRPr="002E4C65">
        <w:rPr>
          <w:b/>
          <w:bCs/>
        </w:rPr>
        <w:t xml:space="preserve">- </w:t>
      </w:r>
      <w:r w:rsidRPr="002E4C65">
        <w:t>najniższy współczynnik</w:t>
      </w:r>
      <w:r w:rsidRPr="002E4C65">
        <w:rPr>
          <w:b/>
          <w:bCs/>
        </w:rPr>
        <w:t xml:space="preserve"> </w:t>
      </w:r>
      <w:r w:rsidRPr="002E4C65">
        <w:t>stwierdzono w oddziałach hematologicznych/onkologicznych (wsp. zap. 0,01/1000 pacjentów).</w:t>
      </w:r>
    </w:p>
    <w:p w:rsidR="00AF0FDB" w:rsidRPr="002E4C65" w:rsidRDefault="00AF0FDB" w:rsidP="003B27DD">
      <w:pPr>
        <w:tabs>
          <w:tab w:val="left" w:pos="360"/>
        </w:tabs>
        <w:spacing w:after="0"/>
        <w:jc w:val="both"/>
      </w:pPr>
      <w:r w:rsidRPr="002E4C65">
        <w:rPr>
          <w:b/>
          <w:bCs/>
          <w:i/>
          <w:iCs/>
        </w:rPr>
        <w:t xml:space="preserve">Clostridium difficile </w:t>
      </w:r>
      <w:r w:rsidRPr="002E4C65">
        <w:t>jako przyczynę zakażeń szpitalnych zarejestrowano w 12 grupach oddziałów:</w:t>
      </w:r>
    </w:p>
    <w:p w:rsidR="00AF0FDB" w:rsidRPr="002E4C65" w:rsidRDefault="00AF0FDB" w:rsidP="003B27DD">
      <w:pPr>
        <w:tabs>
          <w:tab w:val="left" w:pos="360"/>
        </w:tabs>
        <w:spacing w:after="0"/>
        <w:jc w:val="both"/>
      </w:pPr>
      <w:r w:rsidRPr="002E4C65">
        <w:t>- najwyższy współczynnik odnotowano tak jak w roku poprzednim w zakładach opiekuńczo– leczniczych będących w strukturze szpitali (wsp. zap. 37,3/1000 pacjentów),</w:t>
      </w:r>
    </w:p>
    <w:p w:rsidR="00AF0FDB" w:rsidRDefault="00AF0FDB" w:rsidP="003B27DD">
      <w:pPr>
        <w:tabs>
          <w:tab w:val="left" w:pos="360"/>
        </w:tabs>
        <w:spacing w:after="0"/>
        <w:jc w:val="both"/>
      </w:pPr>
      <w:r w:rsidRPr="002E4C65">
        <w:rPr>
          <w:b/>
          <w:bCs/>
        </w:rPr>
        <w:t xml:space="preserve">- </w:t>
      </w:r>
      <w:r w:rsidRPr="002E4C65">
        <w:t>najniższy współczynnik stwierdzono w oddziałach rehabilitacji (wsp. zap. 0,1/1000 pacjentów), dializ (wsp. zap. 0,1/1000 pacjentów), chirurgii dziecięcej (wsp. zap. 0,06/1000 pacjentów) i okulistyki (wsp. zap. 0,08/1000 pacjentów).</w:t>
      </w:r>
    </w:p>
    <w:p w:rsidR="00AF0FDB" w:rsidRPr="002E4C65" w:rsidRDefault="00AF0FDB" w:rsidP="003B27DD">
      <w:pPr>
        <w:tabs>
          <w:tab w:val="left" w:pos="360"/>
        </w:tabs>
        <w:spacing w:after="0"/>
        <w:jc w:val="both"/>
      </w:pPr>
    </w:p>
    <w:p w:rsidR="00AF0FDB" w:rsidRPr="002E4C65" w:rsidRDefault="00AF0FDB" w:rsidP="003B27DD">
      <w:pPr>
        <w:tabs>
          <w:tab w:val="left" w:pos="360"/>
        </w:tabs>
        <w:spacing w:after="0"/>
        <w:jc w:val="both"/>
      </w:pPr>
      <w:r w:rsidRPr="002E4C65">
        <w:rPr>
          <w:b/>
          <w:bCs/>
          <w:i/>
          <w:iCs/>
        </w:rPr>
        <w:t>Streptococcus pneumoniae</w:t>
      </w:r>
      <w:r w:rsidRPr="002E4C65">
        <w:t xml:space="preserve"> jako przyczynę zakażeń szpitalnych zarejestrowano w 3 grupach oddziałów – w </w:t>
      </w:r>
      <w:r>
        <w:t>2016 roku w 5 grupach oddziałów:</w:t>
      </w:r>
    </w:p>
    <w:p w:rsidR="00AF0FDB" w:rsidRPr="002E4C65" w:rsidRDefault="00AF0FDB" w:rsidP="003B27DD">
      <w:pPr>
        <w:tabs>
          <w:tab w:val="left" w:pos="360"/>
        </w:tabs>
        <w:spacing w:after="0"/>
        <w:jc w:val="both"/>
      </w:pPr>
      <w:r w:rsidRPr="002E4C65">
        <w:rPr>
          <w:b/>
          <w:bCs/>
        </w:rPr>
        <w:t xml:space="preserve">- </w:t>
      </w:r>
      <w:r w:rsidRPr="002E4C65">
        <w:t xml:space="preserve">współczynnik wzrósł w porównaniu do 2016 roku w oddziale OIOM/OIT dorosłych </w:t>
      </w:r>
      <w:r w:rsidRPr="002E4C65">
        <w:br/>
        <w:t>(wsp. zap. 0,3/1000 pacjentów),</w:t>
      </w:r>
    </w:p>
    <w:p w:rsidR="00AF0FDB" w:rsidRPr="002E4C65" w:rsidRDefault="00AF0FDB" w:rsidP="003B27DD">
      <w:pPr>
        <w:tabs>
          <w:tab w:val="left" w:pos="360"/>
        </w:tabs>
        <w:spacing w:after="0"/>
        <w:jc w:val="both"/>
      </w:pPr>
      <w:r w:rsidRPr="002E4C65">
        <w:t>- w oddziałach zabiegowych dla dorosłych współczynnik zapadalności był niższy niż w roku ubiegłym (wsp. zap. 0,04/1000 pacjentów).</w:t>
      </w:r>
    </w:p>
    <w:p w:rsidR="00AF0FDB" w:rsidRPr="002E4C65" w:rsidRDefault="00AF0FDB" w:rsidP="003B27DD">
      <w:pPr>
        <w:tabs>
          <w:tab w:val="left" w:pos="360"/>
        </w:tabs>
        <w:spacing w:after="0"/>
        <w:jc w:val="both"/>
      </w:pPr>
      <w:r w:rsidRPr="002E4C65">
        <w:rPr>
          <w:b/>
          <w:bCs/>
        </w:rPr>
        <w:t xml:space="preserve">Rotawirusy </w:t>
      </w:r>
      <w:r w:rsidRPr="002E4C65">
        <w:t xml:space="preserve">jako przyczynę zakażeń szpitalnych zarejestrowano w 6 grupach oddziałów – </w:t>
      </w:r>
      <w:r w:rsidRPr="002E4C65">
        <w:br/>
      </w:r>
      <w:r>
        <w:t>w 2016 roku 5 grupach oddziałów:</w:t>
      </w:r>
    </w:p>
    <w:p w:rsidR="00AF0FDB" w:rsidRPr="002E4C65" w:rsidRDefault="00AF0FDB" w:rsidP="003B27DD">
      <w:pPr>
        <w:tabs>
          <w:tab w:val="left" w:pos="360"/>
        </w:tabs>
        <w:spacing w:after="0"/>
        <w:jc w:val="both"/>
      </w:pPr>
      <w:r w:rsidRPr="002E4C65">
        <w:rPr>
          <w:b/>
          <w:bCs/>
        </w:rPr>
        <w:t xml:space="preserve">- </w:t>
      </w:r>
      <w:r w:rsidRPr="002E4C65">
        <w:t xml:space="preserve">najwyższy współczynnik podobnie jak w roku poprzednim w oddziałach zakaźnych </w:t>
      </w:r>
      <w:r w:rsidRPr="002E4C65">
        <w:br/>
        <w:t>(wsp. zap. 70,1/1000 pacjentów) – wzrost dwukrotny w stosunku do 2016 roku,</w:t>
      </w:r>
    </w:p>
    <w:p w:rsidR="00AF0FDB" w:rsidRDefault="00AF0FDB" w:rsidP="0047092C">
      <w:pPr>
        <w:tabs>
          <w:tab w:val="left" w:pos="360"/>
        </w:tabs>
        <w:spacing w:after="0"/>
        <w:jc w:val="both"/>
      </w:pPr>
      <w:r w:rsidRPr="002E4C65">
        <w:rPr>
          <w:b/>
          <w:bCs/>
        </w:rPr>
        <w:t xml:space="preserve">- </w:t>
      </w:r>
      <w:r w:rsidRPr="002E4C65">
        <w:t>najniższy współczynnik odnotowano w oddziałach niezabiegowych dla dorosłych (ws</w:t>
      </w:r>
      <w:r>
        <w:t>p. zap. 0,01/1000 pacjentów).</w:t>
      </w:r>
    </w:p>
    <w:p w:rsidR="00AF0FDB" w:rsidRPr="001C2774" w:rsidRDefault="00AF0FDB" w:rsidP="001C2774">
      <w:pPr>
        <w:pStyle w:val="Heading1"/>
        <w:rPr>
          <w:rFonts w:ascii="Times New Roman" w:hAnsi="Times New Roman" w:cs="Times New Roman"/>
          <w:sz w:val="24"/>
          <w:szCs w:val="24"/>
          <w:lang w:eastAsia="ar-SA"/>
        </w:rPr>
      </w:pPr>
      <w:r w:rsidRPr="001C2774">
        <w:rPr>
          <w:rFonts w:ascii="Times New Roman" w:hAnsi="Times New Roman" w:cs="Times New Roman"/>
          <w:sz w:val="24"/>
          <w:szCs w:val="24"/>
          <w:lang w:eastAsia="ar-SA"/>
        </w:rPr>
        <w:t xml:space="preserve"> </w:t>
      </w:r>
      <w:bookmarkStart w:id="335" w:name="_Toc938871"/>
      <w:r w:rsidRPr="001C2774">
        <w:rPr>
          <w:rFonts w:ascii="Times New Roman" w:hAnsi="Times New Roman" w:cs="Times New Roman"/>
          <w:sz w:val="24"/>
          <w:szCs w:val="24"/>
          <w:lang w:eastAsia="ar-SA"/>
        </w:rPr>
        <w:t>Ogniska epidemiczne w 201</w:t>
      </w:r>
      <w:r>
        <w:rPr>
          <w:rFonts w:ascii="Times New Roman" w:hAnsi="Times New Roman" w:cs="Times New Roman"/>
          <w:sz w:val="24"/>
          <w:szCs w:val="24"/>
          <w:lang w:eastAsia="ar-SA"/>
        </w:rPr>
        <w:t xml:space="preserve">8 </w:t>
      </w:r>
      <w:r w:rsidRPr="001C2774">
        <w:rPr>
          <w:rFonts w:ascii="Times New Roman" w:hAnsi="Times New Roman" w:cs="Times New Roman"/>
          <w:sz w:val="24"/>
          <w:szCs w:val="24"/>
          <w:lang w:eastAsia="ar-SA"/>
        </w:rPr>
        <w:t>r. w podmiotach leczniczych</w:t>
      </w:r>
      <w:bookmarkEnd w:id="335"/>
    </w:p>
    <w:p w:rsidR="00AF0FDB" w:rsidRDefault="00AF0FDB" w:rsidP="003B27DD">
      <w:pPr>
        <w:jc w:val="both"/>
        <w:rPr>
          <w:color w:val="000000"/>
        </w:rPr>
      </w:pPr>
      <w:r w:rsidRPr="002E4C65">
        <w:rPr>
          <w:color w:val="000000"/>
        </w:rPr>
        <w:t xml:space="preserve">W 2018 roku </w:t>
      </w:r>
      <w:r w:rsidRPr="002E4C65">
        <w:t xml:space="preserve">odnotowano spadek </w:t>
      </w:r>
      <w:r w:rsidRPr="002E4C65">
        <w:rPr>
          <w:color w:val="000000"/>
        </w:rPr>
        <w:t>występowania ognisk zakażeń szpitalnych</w:t>
      </w:r>
      <w:r w:rsidRPr="002E4C65">
        <w:rPr>
          <w:color w:val="000000"/>
        </w:rPr>
        <w:br/>
        <w:t>w porównaniu do lat ubiegłych. Do nadzoru epidemiologicznego w minionym roku zgłoszono 22 ogniska epidemicznych zakażeń szpitalnych (o 8 mniej niż w 2017 r.). Wskazane poniżej ogniska zakażeń wystąpiły w 7 podmiotach leczniczych położonych na terenie powiatu poznańskiego,</w:t>
      </w:r>
      <w:r w:rsidRPr="002E4C65">
        <w:rPr>
          <w:color w:val="C5000B"/>
        </w:rPr>
        <w:t xml:space="preserve"> </w:t>
      </w:r>
      <w:r w:rsidRPr="002E4C65">
        <w:t>co stanowi 19% objętych ewidencją.</w:t>
      </w:r>
      <w:r w:rsidRPr="002E4C65">
        <w:rPr>
          <w:color w:val="C5000B"/>
        </w:rPr>
        <w:t xml:space="preserve"> </w:t>
      </w:r>
      <w:r w:rsidRPr="002E4C65">
        <w:rPr>
          <w:color w:val="000000"/>
        </w:rPr>
        <w:t>Zarejestrowano ogólnie 120 osób z zakażeniem i kolonizacją (o 35 osób mniej niż w roku ubiegłym), uwzględniając w tym 7 osób z personelu. Potwierdzenie laboratoryjne czynnika etiologicznego uzyskano od 104 zakażonych pacjentów.</w:t>
      </w:r>
      <w:r w:rsidRPr="002E4C65">
        <w:rPr>
          <w:color w:val="C5000B"/>
        </w:rPr>
        <w:t xml:space="preserve"> </w:t>
      </w:r>
      <w:r w:rsidRPr="002E4C65">
        <w:rPr>
          <w:color w:val="000000"/>
        </w:rPr>
        <w:t>W ogniskach odnotowano 7 zgonów, ale nie z powodu zidentyfikowanych czynników zakaźnych, w porównaniu do roku ubiegłego liczba zgonów zmniejszyła się.</w:t>
      </w:r>
      <w:r w:rsidRPr="002E4C65">
        <w:rPr>
          <w:color w:val="C5000B"/>
        </w:rPr>
        <w:t xml:space="preserve"> </w:t>
      </w:r>
      <w:r w:rsidRPr="002E4C65">
        <w:rPr>
          <w:color w:val="000000"/>
        </w:rPr>
        <w:t xml:space="preserve">W 2018 r. metodami laboratoryjnymi udało się określić czynnik chorobotwórczy odpowiedzialny za wywołanie ogniska zakażenia szpitalnego w 104 przypadkach. Najliczniejszą grupę stanowiły ogniska wywołane wirusem grypy (łącznie 8 ognisk), w tym 3 wirusem typu A i 2 AH1N1 (w pozostałych nie potwierdzono wirusa grypy badaniami laboratoryjnymi), po 3 wywołane </w:t>
      </w:r>
      <w:r w:rsidRPr="002E4C65">
        <w:rPr>
          <w:i/>
          <w:iCs/>
          <w:color w:val="000000"/>
        </w:rPr>
        <w:t>Clostridium difficile</w:t>
      </w:r>
      <w:r w:rsidRPr="002E4C65">
        <w:rPr>
          <w:color w:val="000000"/>
        </w:rPr>
        <w:t xml:space="preserve"> oraz rotawirusami i norowirusami (w 1 przypadku zakażenie mieszane).</w:t>
      </w:r>
      <w:r w:rsidRPr="002E4C65">
        <w:rPr>
          <w:i/>
          <w:iCs/>
          <w:color w:val="000000"/>
        </w:rPr>
        <w:t xml:space="preserve"> </w:t>
      </w:r>
      <w:r w:rsidRPr="002E4C65">
        <w:rPr>
          <w:color w:val="000000"/>
        </w:rPr>
        <w:t>W dalszej kolejności 2</w:t>
      </w:r>
      <w:r>
        <w:rPr>
          <w:color w:val="000000"/>
        </w:rPr>
        <w:t xml:space="preserve"> ogniska</w:t>
      </w:r>
      <w:r w:rsidRPr="002E4C65">
        <w:rPr>
          <w:color w:val="000000"/>
        </w:rPr>
        <w:t xml:space="preserve"> wywołał czynnik RSV, zaś po jednym ognisku odpowiednio </w:t>
      </w:r>
      <w:r w:rsidRPr="002E4C65">
        <w:rPr>
          <w:i/>
          <w:iCs/>
          <w:color w:val="000000"/>
        </w:rPr>
        <w:t xml:space="preserve">Acinetobacter baumannii, Pseudomonas aeruginosa </w:t>
      </w:r>
      <w:r w:rsidRPr="002E4C65">
        <w:rPr>
          <w:color w:val="000000"/>
        </w:rPr>
        <w:t xml:space="preserve">(MBL-VIM), </w:t>
      </w:r>
      <w:r w:rsidRPr="002E4C65">
        <w:rPr>
          <w:i/>
          <w:iCs/>
          <w:color w:val="000000"/>
        </w:rPr>
        <w:t xml:space="preserve">Klebsiella pneumoniae </w:t>
      </w:r>
      <w:r w:rsidRPr="002E4C65">
        <w:rPr>
          <w:color w:val="000000"/>
        </w:rPr>
        <w:t xml:space="preserve">(MBL-NDM), </w:t>
      </w:r>
      <w:r w:rsidRPr="002E4C65">
        <w:rPr>
          <w:i/>
          <w:iCs/>
          <w:color w:val="000000"/>
        </w:rPr>
        <w:t xml:space="preserve">Staphylococcus aureus </w:t>
      </w:r>
      <w:r w:rsidRPr="002E4C65">
        <w:t>(MRSA),</w:t>
      </w:r>
      <w:r w:rsidRPr="002E4C65">
        <w:rPr>
          <w:i/>
          <w:iCs/>
          <w:color w:val="000000"/>
        </w:rPr>
        <w:t xml:space="preserve"> Enterococcus faecalis </w:t>
      </w:r>
      <w:r w:rsidRPr="002E4C65">
        <w:rPr>
          <w:color w:val="000000"/>
        </w:rPr>
        <w:t xml:space="preserve">(VRE), </w:t>
      </w:r>
      <w:r w:rsidRPr="002E4C65">
        <w:rPr>
          <w:i/>
          <w:iCs/>
          <w:color w:val="000000"/>
        </w:rPr>
        <w:t>Enterobacter cloacae</w:t>
      </w:r>
      <w:r w:rsidRPr="002E4C65">
        <w:rPr>
          <w:color w:val="000000"/>
        </w:rPr>
        <w:t xml:space="preserve"> (MBL-NDM). Zbiorowe zakażenia dotyczyły oddziałów: chirurgii (5), hematologicznych</w:t>
      </w:r>
      <w:r w:rsidRPr="002E4C65">
        <w:rPr>
          <w:color w:val="FF0000"/>
        </w:rPr>
        <w:t xml:space="preserve">  </w:t>
      </w:r>
      <w:r w:rsidRPr="002E4C65">
        <w:rPr>
          <w:color w:val="000000"/>
        </w:rPr>
        <w:t>(4), zakaźnych</w:t>
      </w:r>
      <w:r w:rsidRPr="002E4C65">
        <w:rPr>
          <w:color w:val="FF0000"/>
        </w:rPr>
        <w:t xml:space="preserve"> </w:t>
      </w:r>
      <w:r w:rsidRPr="002E4C65">
        <w:rPr>
          <w:color w:val="000000"/>
        </w:rPr>
        <w:t>(3), chorób wewnętrznych</w:t>
      </w:r>
      <w:r w:rsidRPr="002E4C65">
        <w:rPr>
          <w:color w:val="FF0000"/>
        </w:rPr>
        <w:t xml:space="preserve"> </w:t>
      </w:r>
      <w:r w:rsidRPr="002E4C65">
        <w:rPr>
          <w:color w:val="000000"/>
        </w:rPr>
        <w:t>(3), nefrologii i transplatologii (1), pulmonologiczny (1), dermatologii (1), neurologii</w:t>
      </w:r>
      <w:r w:rsidRPr="002E4C65">
        <w:rPr>
          <w:color w:val="FF0000"/>
        </w:rPr>
        <w:t xml:space="preserve"> </w:t>
      </w:r>
      <w:r w:rsidRPr="002E4C65">
        <w:rPr>
          <w:color w:val="000000"/>
        </w:rPr>
        <w:t>(1), gastroenterologii</w:t>
      </w:r>
      <w:r w:rsidRPr="002E4C65">
        <w:rPr>
          <w:color w:val="FF0000"/>
        </w:rPr>
        <w:t xml:space="preserve"> </w:t>
      </w:r>
      <w:r w:rsidRPr="002E4C65">
        <w:rPr>
          <w:color w:val="000000"/>
        </w:rPr>
        <w:t>(1), radioterapii</w:t>
      </w:r>
      <w:r w:rsidRPr="002E4C65">
        <w:rPr>
          <w:color w:val="FF0000"/>
        </w:rPr>
        <w:t xml:space="preserve"> </w:t>
      </w:r>
      <w:r w:rsidRPr="002E4C65">
        <w:rPr>
          <w:color w:val="000000"/>
        </w:rPr>
        <w:t>(1) kardiologii</w:t>
      </w:r>
      <w:r w:rsidRPr="002E4C65">
        <w:rPr>
          <w:color w:val="FF0000"/>
        </w:rPr>
        <w:t xml:space="preserve"> </w:t>
      </w:r>
      <w:r w:rsidRPr="002E4C65">
        <w:rPr>
          <w:color w:val="000000"/>
        </w:rPr>
        <w:t xml:space="preserve">(1). </w:t>
      </w:r>
    </w:p>
    <w:p w:rsidR="00AF0FDB" w:rsidRDefault="00AF0FDB" w:rsidP="003B27DD">
      <w:pPr>
        <w:pStyle w:val="Caption"/>
        <w:keepNext/>
      </w:pPr>
    </w:p>
    <w:p w:rsidR="00AF0FDB" w:rsidRPr="003B27DD" w:rsidRDefault="00AF0FDB" w:rsidP="003B27DD">
      <w:pPr>
        <w:pStyle w:val="Caption"/>
        <w:keepNext/>
        <w:rPr>
          <w:b w:val="0"/>
          <w:bCs w:val="0"/>
        </w:rPr>
      </w:pPr>
      <w:r>
        <w:t xml:space="preserve">Tab. 8 </w:t>
      </w:r>
      <w:r>
        <w:rPr>
          <w:b w:val="0"/>
          <w:bCs w:val="0"/>
        </w:rPr>
        <w:t xml:space="preserve"> Ogniska zakażeń </w:t>
      </w:r>
      <w:bookmarkStart w:id="336" w:name="_Hlk506465843"/>
      <w:r>
        <w:rPr>
          <w:b w:val="0"/>
          <w:bCs w:val="0"/>
        </w:rPr>
        <w:t>szpitalnych w 2018 r.</w:t>
      </w:r>
      <w:bookmarkEnd w:id="336"/>
    </w:p>
    <w:tbl>
      <w:tblPr>
        <w:tblW w:w="10109" w:type="dxa"/>
        <w:tblInd w:w="-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A0"/>
      </w:tblPr>
      <w:tblGrid>
        <w:gridCol w:w="568"/>
        <w:gridCol w:w="2268"/>
        <w:gridCol w:w="2449"/>
        <w:gridCol w:w="10"/>
        <w:gridCol w:w="2456"/>
        <w:gridCol w:w="10"/>
        <w:gridCol w:w="1704"/>
        <w:gridCol w:w="600"/>
        <w:gridCol w:w="44"/>
      </w:tblGrid>
      <w:tr w:rsidR="00AF0FDB" w:rsidRPr="002E4C65">
        <w:trPr>
          <w:gridAfter w:val="1"/>
          <w:wAfter w:w="44" w:type="dxa"/>
          <w:trHeight w:val="495"/>
          <w:tblHeader/>
        </w:trPr>
        <w:tc>
          <w:tcPr>
            <w:tcW w:w="10065" w:type="dxa"/>
            <w:gridSpan w:val="8"/>
            <w:tcBorders>
              <w:bottom w:val="single" w:sz="18" w:space="0" w:color="A5A5A5"/>
            </w:tcBorders>
          </w:tcPr>
          <w:p w:rsidR="00AF0FDB" w:rsidRPr="002C4F7C" w:rsidRDefault="00AF0FDB" w:rsidP="002C4F7C">
            <w:pPr>
              <w:suppressAutoHyphens/>
              <w:snapToGrid w:val="0"/>
              <w:spacing w:after="0" w:line="240" w:lineRule="auto"/>
              <w:jc w:val="center"/>
              <w:rPr>
                <w:b/>
                <w:bCs/>
                <w:color w:val="2F5496"/>
                <w:sz w:val="22"/>
                <w:szCs w:val="22"/>
                <w:lang w:eastAsia="ar-SA"/>
              </w:rPr>
            </w:pPr>
            <w:r w:rsidRPr="002C4F7C">
              <w:rPr>
                <w:b/>
                <w:bCs/>
                <w:sz w:val="22"/>
                <w:szCs w:val="22"/>
                <w:lang w:eastAsia="ar-SA"/>
              </w:rPr>
              <w:t>2018</w:t>
            </w:r>
          </w:p>
        </w:tc>
      </w:tr>
      <w:tr w:rsidR="00AF0FDB" w:rsidRPr="002E4C65">
        <w:trPr>
          <w:gridAfter w:val="1"/>
          <w:wAfter w:w="44" w:type="dxa"/>
          <w:trHeight w:val="843"/>
          <w:tblHeader/>
        </w:trPr>
        <w:tc>
          <w:tcPr>
            <w:tcW w:w="568" w:type="dxa"/>
            <w:vMerge w:val="restart"/>
            <w:tcBorders>
              <w:bottom w:val="single" w:sz="18" w:space="0" w:color="A5A5A5"/>
            </w:tcBorders>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Lp.</w:t>
            </w:r>
          </w:p>
        </w:tc>
        <w:tc>
          <w:tcPr>
            <w:tcW w:w="2268" w:type="dxa"/>
            <w:vMerge w:val="restart"/>
            <w:tcBorders>
              <w:bottom w:val="single" w:sz="18" w:space="0" w:color="A5A5A5"/>
            </w:tcBorders>
          </w:tcPr>
          <w:p w:rsidR="00AF0FDB" w:rsidRPr="002C4F7C" w:rsidRDefault="00AF0FDB" w:rsidP="002C4F7C">
            <w:pPr>
              <w:suppressAutoHyphens/>
              <w:spacing w:before="0" w:after="0" w:line="240" w:lineRule="auto"/>
              <w:jc w:val="center"/>
              <w:rPr>
                <w:b/>
                <w:bCs/>
                <w:sz w:val="20"/>
                <w:szCs w:val="20"/>
                <w:lang w:eastAsia="ar-SA"/>
              </w:rPr>
            </w:pPr>
          </w:p>
          <w:p w:rsidR="00AF0FDB" w:rsidRPr="002C4F7C" w:rsidRDefault="00AF0FDB" w:rsidP="002C4F7C">
            <w:pPr>
              <w:suppressAutoHyphens/>
              <w:spacing w:before="0" w:after="0" w:line="240" w:lineRule="auto"/>
              <w:jc w:val="center"/>
              <w:rPr>
                <w:b/>
                <w:bCs/>
                <w:sz w:val="20"/>
                <w:szCs w:val="20"/>
                <w:lang w:eastAsia="ar-SA"/>
              </w:rPr>
            </w:pPr>
            <w:r w:rsidRPr="002C4F7C">
              <w:rPr>
                <w:b/>
                <w:bCs/>
                <w:sz w:val="20"/>
                <w:szCs w:val="20"/>
                <w:lang w:eastAsia="ar-SA"/>
              </w:rPr>
              <w:t xml:space="preserve">Szpital </w:t>
            </w:r>
          </w:p>
          <w:p w:rsidR="00AF0FDB" w:rsidRPr="002C4F7C" w:rsidRDefault="00AF0FDB" w:rsidP="002C4F7C">
            <w:pPr>
              <w:suppressAutoHyphens/>
              <w:spacing w:before="0" w:after="0" w:line="240" w:lineRule="auto"/>
              <w:jc w:val="center"/>
              <w:rPr>
                <w:b/>
                <w:bCs/>
                <w:sz w:val="20"/>
                <w:szCs w:val="20"/>
                <w:lang w:eastAsia="ar-SA"/>
              </w:rPr>
            </w:pPr>
            <w:r w:rsidRPr="002C4F7C">
              <w:rPr>
                <w:b/>
                <w:bCs/>
                <w:sz w:val="20"/>
                <w:szCs w:val="20"/>
                <w:lang w:eastAsia="ar-SA"/>
              </w:rPr>
              <w:t xml:space="preserve">(w tym oddział lub oddziały) objęte ogniskiem epidemicznym </w:t>
            </w:r>
          </w:p>
        </w:tc>
        <w:tc>
          <w:tcPr>
            <w:tcW w:w="4915" w:type="dxa"/>
            <w:gridSpan w:val="3"/>
            <w:tcBorders>
              <w:bottom w:val="single" w:sz="18" w:space="0" w:color="A5A5A5"/>
            </w:tcBorders>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Status zgłoszenia ogniska epidemicznego</w:t>
            </w:r>
          </w:p>
        </w:tc>
        <w:tc>
          <w:tcPr>
            <w:tcW w:w="2314" w:type="dxa"/>
            <w:gridSpan w:val="3"/>
            <w:vMerge w:val="restart"/>
            <w:tcBorders>
              <w:bottom w:val="single" w:sz="18" w:space="0" w:color="A5A5A5"/>
            </w:tcBorders>
          </w:tcPr>
          <w:p w:rsidR="00AF0FDB" w:rsidRPr="002C4F7C" w:rsidRDefault="00AF0FDB" w:rsidP="002C4F7C">
            <w:pPr>
              <w:suppressAutoHyphens/>
              <w:snapToGrid w:val="0"/>
              <w:spacing w:after="0" w:line="240" w:lineRule="auto"/>
              <w:rPr>
                <w:b/>
                <w:bCs/>
                <w:color w:val="2F5496"/>
                <w:sz w:val="22"/>
                <w:szCs w:val="22"/>
                <w:lang w:eastAsia="ar-SA"/>
              </w:rPr>
            </w:pPr>
            <w:r w:rsidRPr="002C4F7C">
              <w:rPr>
                <w:b/>
                <w:bCs/>
                <w:sz w:val="20"/>
                <w:szCs w:val="20"/>
                <w:lang w:eastAsia="ar-SA"/>
              </w:rPr>
              <w:t>Drobnoustrój epidemiczny (gatunek i jego istotna lekooporność)</w:t>
            </w:r>
          </w:p>
        </w:tc>
      </w:tr>
      <w:tr w:rsidR="00AF0FDB" w:rsidRPr="002E4C65">
        <w:trPr>
          <w:gridAfter w:val="1"/>
          <w:wAfter w:w="44" w:type="dxa"/>
          <w:trHeight w:val="679"/>
          <w:tblHeader/>
        </w:trPr>
        <w:tc>
          <w:tcPr>
            <w:tcW w:w="568" w:type="dxa"/>
            <w:vMerge/>
            <w:tcBorders>
              <w:bottom w:val="single" w:sz="18" w:space="0" w:color="A5A5A5"/>
            </w:tcBorders>
          </w:tcPr>
          <w:p w:rsidR="00AF0FDB" w:rsidRPr="002C4F7C" w:rsidRDefault="00AF0FDB" w:rsidP="002C4F7C">
            <w:pPr>
              <w:spacing w:after="0" w:line="240" w:lineRule="auto"/>
              <w:rPr>
                <w:b/>
                <w:bCs/>
                <w:sz w:val="20"/>
                <w:szCs w:val="20"/>
                <w:lang w:eastAsia="ar-SA"/>
              </w:rPr>
            </w:pPr>
          </w:p>
        </w:tc>
        <w:tc>
          <w:tcPr>
            <w:tcW w:w="2268" w:type="dxa"/>
            <w:vMerge/>
            <w:tcBorders>
              <w:bottom w:val="single" w:sz="18" w:space="0" w:color="A5A5A5"/>
            </w:tcBorders>
          </w:tcPr>
          <w:p w:rsidR="00AF0FDB" w:rsidRPr="002C4F7C" w:rsidRDefault="00AF0FDB" w:rsidP="002C4F7C">
            <w:pPr>
              <w:spacing w:after="0" w:line="240" w:lineRule="auto"/>
              <w:rPr>
                <w:b/>
                <w:bCs/>
                <w:sz w:val="20"/>
                <w:szCs w:val="20"/>
                <w:lang w:eastAsia="ar-SA"/>
              </w:rPr>
            </w:pPr>
          </w:p>
        </w:tc>
        <w:tc>
          <w:tcPr>
            <w:tcW w:w="2449" w:type="dxa"/>
            <w:tcBorders>
              <w:bottom w:val="single" w:sz="18" w:space="0" w:color="A5A5A5"/>
            </w:tcBorders>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 xml:space="preserve">Otrzymano raport o </w:t>
            </w:r>
            <w:r w:rsidRPr="002C4F7C">
              <w:rPr>
                <w:b/>
                <w:bCs/>
                <w:spacing w:val="-20"/>
                <w:sz w:val="20"/>
                <w:szCs w:val="20"/>
                <w:lang w:eastAsia="ar-SA"/>
              </w:rPr>
              <w:t>podejrzeniu</w:t>
            </w:r>
          </w:p>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(TAK/NIE)</w:t>
            </w:r>
          </w:p>
        </w:tc>
        <w:tc>
          <w:tcPr>
            <w:tcW w:w="2466" w:type="dxa"/>
            <w:gridSpan w:val="2"/>
            <w:tcBorders>
              <w:bottom w:val="single" w:sz="18" w:space="0" w:color="A5A5A5"/>
            </w:tcBorders>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Otrzymano raport końcowy</w:t>
            </w:r>
          </w:p>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(TAK/NIE)</w:t>
            </w:r>
          </w:p>
        </w:tc>
        <w:tc>
          <w:tcPr>
            <w:tcW w:w="2314" w:type="dxa"/>
            <w:gridSpan w:val="3"/>
            <w:vMerge/>
            <w:tcBorders>
              <w:bottom w:val="single" w:sz="18" w:space="0" w:color="A5A5A5"/>
            </w:tcBorders>
          </w:tcPr>
          <w:p w:rsidR="00AF0FDB" w:rsidRPr="002C4F7C" w:rsidRDefault="00AF0FDB" w:rsidP="002C4F7C">
            <w:pPr>
              <w:suppressAutoHyphens/>
              <w:snapToGrid w:val="0"/>
              <w:spacing w:after="0" w:line="240" w:lineRule="auto"/>
              <w:rPr>
                <w:b/>
                <w:bCs/>
                <w:color w:val="2F5496"/>
                <w:sz w:val="22"/>
                <w:szCs w:val="22"/>
                <w:lang w:eastAsia="ar-SA"/>
              </w:rPr>
            </w:pPr>
          </w:p>
        </w:tc>
      </w:tr>
      <w:tr w:rsidR="00AF0FDB" w:rsidRPr="002E4C65">
        <w:trPr>
          <w:gridAfter w:val="1"/>
          <w:wAfter w:w="44" w:type="dxa"/>
          <w:trHeight w:val="347"/>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w:t>
            </w:r>
          </w:p>
        </w:tc>
        <w:tc>
          <w:tcPr>
            <w:tcW w:w="2268" w:type="dxa"/>
            <w:shd w:val="clear" w:color="auto" w:fill="E8E8E8"/>
          </w:tcPr>
          <w:p w:rsidR="00AF0FDB" w:rsidRPr="002C4F7C" w:rsidRDefault="00AF0FDB" w:rsidP="002C4F7C">
            <w:pPr>
              <w:suppressAutoHyphens/>
              <w:spacing w:after="0" w:line="240" w:lineRule="auto"/>
              <w:jc w:val="center"/>
              <w:rPr>
                <w:sz w:val="20"/>
                <w:szCs w:val="20"/>
                <w:lang w:eastAsia="ar-SA"/>
              </w:rPr>
            </w:pPr>
            <w:r w:rsidRPr="002C4F7C">
              <w:rPr>
                <w:sz w:val="20"/>
                <w:szCs w:val="20"/>
                <w:lang w:eastAsia="ar-SA"/>
              </w:rPr>
              <w:t>2</w:t>
            </w:r>
          </w:p>
        </w:tc>
        <w:tc>
          <w:tcPr>
            <w:tcW w:w="2449" w:type="dxa"/>
            <w:shd w:val="clear" w:color="auto" w:fill="E8E8E8"/>
          </w:tcPr>
          <w:p w:rsidR="00AF0FDB" w:rsidRPr="002C4F7C" w:rsidRDefault="00AF0FDB" w:rsidP="002C4F7C">
            <w:pPr>
              <w:suppressAutoHyphens/>
              <w:spacing w:after="0" w:line="240" w:lineRule="auto"/>
              <w:jc w:val="center"/>
              <w:rPr>
                <w:sz w:val="20"/>
                <w:szCs w:val="20"/>
                <w:lang w:eastAsia="ar-SA"/>
              </w:rPr>
            </w:pPr>
            <w:r w:rsidRPr="002C4F7C">
              <w:rPr>
                <w:sz w:val="20"/>
                <w:szCs w:val="20"/>
                <w:lang w:eastAsia="ar-SA"/>
              </w:rPr>
              <w:t>3</w:t>
            </w:r>
          </w:p>
        </w:tc>
        <w:tc>
          <w:tcPr>
            <w:tcW w:w="2466" w:type="dxa"/>
            <w:gridSpan w:val="2"/>
            <w:shd w:val="clear" w:color="auto" w:fill="E8E8E8"/>
          </w:tcPr>
          <w:p w:rsidR="00AF0FDB" w:rsidRPr="002C4F7C" w:rsidRDefault="00AF0FDB" w:rsidP="002C4F7C">
            <w:pPr>
              <w:suppressAutoHyphens/>
              <w:spacing w:after="0" w:line="240" w:lineRule="auto"/>
              <w:jc w:val="center"/>
              <w:rPr>
                <w:sz w:val="20"/>
                <w:szCs w:val="20"/>
                <w:lang w:eastAsia="ar-SA"/>
              </w:rPr>
            </w:pPr>
            <w:r w:rsidRPr="002C4F7C">
              <w:rPr>
                <w:sz w:val="20"/>
                <w:szCs w:val="20"/>
                <w:lang w:eastAsia="ar-SA"/>
              </w:rPr>
              <w:t>4</w:t>
            </w:r>
          </w:p>
        </w:tc>
        <w:tc>
          <w:tcPr>
            <w:tcW w:w="1714" w:type="dxa"/>
            <w:gridSpan w:val="2"/>
            <w:shd w:val="clear" w:color="auto" w:fill="E8E8E8"/>
          </w:tcPr>
          <w:p w:rsidR="00AF0FDB" w:rsidRPr="002C4F7C" w:rsidRDefault="00AF0FDB" w:rsidP="002C4F7C">
            <w:pPr>
              <w:suppressAutoHyphens/>
              <w:spacing w:after="0" w:line="240" w:lineRule="auto"/>
              <w:jc w:val="center"/>
              <w:rPr>
                <w:sz w:val="22"/>
                <w:szCs w:val="22"/>
                <w:lang w:eastAsia="ar-SA"/>
              </w:rPr>
            </w:pPr>
            <w:r w:rsidRPr="002C4F7C">
              <w:rPr>
                <w:sz w:val="20"/>
                <w:szCs w:val="20"/>
                <w:lang w:eastAsia="ar-SA"/>
              </w:rPr>
              <w:t>5</w:t>
            </w:r>
          </w:p>
        </w:tc>
        <w:tc>
          <w:tcPr>
            <w:tcW w:w="600" w:type="dxa"/>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w:t>
            </w:r>
          </w:p>
        </w:tc>
        <w:tc>
          <w:tcPr>
            <w:tcW w:w="2268" w:type="dxa"/>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 xml:space="preserve">ul. Przybyszewskiego 49, </w:t>
            </w:r>
            <w:r w:rsidRPr="002C4F7C">
              <w:rPr>
                <w:sz w:val="20"/>
                <w:szCs w:val="20"/>
              </w:rPr>
              <w:br/>
              <w:t>Oddział Chorób Wewnętrznych i Diabetologii</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i/>
                <w:iCs/>
                <w:sz w:val="20"/>
                <w:szCs w:val="20"/>
              </w:rPr>
            </w:pPr>
            <w:r w:rsidRPr="002C4F7C">
              <w:rPr>
                <w:i/>
                <w:iCs/>
                <w:sz w:val="20"/>
                <w:szCs w:val="20"/>
              </w:rPr>
              <w:t>Clostridium difficile</w:t>
            </w:r>
          </w:p>
          <w:p w:rsidR="00AF0FDB" w:rsidRPr="002C4F7C" w:rsidRDefault="00AF0FDB" w:rsidP="002C4F7C">
            <w:pPr>
              <w:snapToGrid w:val="0"/>
              <w:spacing w:after="0" w:line="240" w:lineRule="auto"/>
              <w:jc w:val="center"/>
              <w:rPr>
                <w:sz w:val="20"/>
                <w:szCs w:val="20"/>
              </w:rPr>
            </w:pP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2.</w:t>
            </w:r>
          </w:p>
        </w:tc>
        <w:tc>
          <w:tcPr>
            <w:tcW w:w="2268" w:type="dxa"/>
            <w:shd w:val="clear" w:color="auto" w:fill="E8E8E8"/>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 xml:space="preserve">ul. Przybyszewskiego 49, </w:t>
            </w:r>
            <w:r w:rsidRPr="002C4F7C">
              <w:rPr>
                <w:sz w:val="20"/>
                <w:szCs w:val="20"/>
              </w:rPr>
              <w:br/>
              <w:t>Oddział Kliniczny Chirurgii Ogólnej</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sz w:val="20"/>
                <w:szCs w:val="20"/>
              </w:rPr>
            </w:pPr>
            <w:r w:rsidRPr="002C4F7C">
              <w:rPr>
                <w:i/>
                <w:iCs/>
                <w:sz w:val="20"/>
                <w:szCs w:val="20"/>
              </w:rPr>
              <w:t>Klebsiella pneumoniae</w:t>
            </w:r>
            <w:r w:rsidRPr="002C4F7C">
              <w:rPr>
                <w:i/>
                <w:iCs/>
                <w:sz w:val="20"/>
                <w:szCs w:val="20"/>
              </w:rPr>
              <w:br/>
            </w:r>
            <w:r w:rsidRPr="002C4F7C">
              <w:rPr>
                <w:sz w:val="20"/>
                <w:szCs w:val="20"/>
              </w:rPr>
              <w:t>(MBL-NDM)</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3.</w:t>
            </w:r>
          </w:p>
        </w:tc>
        <w:tc>
          <w:tcPr>
            <w:tcW w:w="2268" w:type="dxa"/>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ul. Przybyszewskiego 49,</w:t>
            </w:r>
            <w:r w:rsidRPr="002C4F7C">
              <w:rPr>
                <w:sz w:val="20"/>
                <w:szCs w:val="20"/>
              </w:rPr>
              <w:br/>
              <w:t>Oddział Chorób Wewnętrznych i Diabetologii</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i/>
                <w:iCs/>
                <w:sz w:val="20"/>
                <w:szCs w:val="20"/>
              </w:rPr>
            </w:pPr>
            <w:r w:rsidRPr="002C4F7C">
              <w:rPr>
                <w:i/>
                <w:iCs/>
                <w:sz w:val="20"/>
                <w:szCs w:val="20"/>
              </w:rPr>
              <w:br/>
              <w:t>Clostridium difficile</w:t>
            </w:r>
          </w:p>
          <w:p w:rsidR="00AF0FDB" w:rsidRPr="002C4F7C" w:rsidRDefault="00AF0FDB" w:rsidP="002C4F7C">
            <w:pPr>
              <w:snapToGrid w:val="0"/>
              <w:spacing w:after="0" w:line="240" w:lineRule="auto"/>
              <w:jc w:val="center"/>
              <w:rPr>
                <w:i/>
                <w:iCs/>
                <w:sz w:val="20"/>
                <w:szCs w:val="20"/>
              </w:rPr>
            </w:pP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4.</w:t>
            </w:r>
          </w:p>
        </w:tc>
        <w:tc>
          <w:tcPr>
            <w:tcW w:w="2268" w:type="dxa"/>
            <w:shd w:val="clear" w:color="auto" w:fill="E8E8E8"/>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ul. Przybyszewskiego 49,</w:t>
            </w:r>
            <w:r w:rsidRPr="002C4F7C">
              <w:rPr>
                <w:sz w:val="20"/>
                <w:szCs w:val="20"/>
              </w:rPr>
              <w:br/>
              <w:t>Oddział Kardiologii, Pulmonologii z Salą Intensywnego Nadzoru Kardiologicznego</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i/>
                <w:iCs/>
                <w:sz w:val="20"/>
                <w:szCs w:val="20"/>
              </w:rPr>
            </w:pPr>
            <w:r w:rsidRPr="002C4F7C">
              <w:rPr>
                <w:i/>
                <w:iCs/>
                <w:sz w:val="20"/>
                <w:szCs w:val="20"/>
              </w:rPr>
              <w:br/>
              <w:t>Clostridium difficile</w:t>
            </w:r>
          </w:p>
          <w:p w:rsidR="00AF0FDB" w:rsidRPr="002C4F7C" w:rsidRDefault="00AF0FDB" w:rsidP="002C4F7C">
            <w:pPr>
              <w:snapToGrid w:val="0"/>
              <w:spacing w:after="0" w:line="240" w:lineRule="auto"/>
              <w:jc w:val="center"/>
              <w:rPr>
                <w:i/>
                <w:iCs/>
                <w:sz w:val="20"/>
                <w:szCs w:val="20"/>
              </w:rPr>
            </w:pP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5.</w:t>
            </w:r>
          </w:p>
        </w:tc>
        <w:tc>
          <w:tcPr>
            <w:tcW w:w="2268" w:type="dxa"/>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ul. Przybyszewskiego 49,</w:t>
            </w:r>
            <w:r w:rsidRPr="002C4F7C">
              <w:rPr>
                <w:sz w:val="20"/>
                <w:szCs w:val="20"/>
              </w:rPr>
              <w:br/>
              <w:t>Oddział Kliniczny Dermatologii</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i/>
                <w:iCs/>
                <w:sz w:val="20"/>
                <w:szCs w:val="20"/>
              </w:rPr>
            </w:pPr>
            <w:r w:rsidRPr="002C4F7C">
              <w:rPr>
                <w:i/>
                <w:iCs/>
                <w:sz w:val="20"/>
                <w:szCs w:val="20"/>
              </w:rPr>
              <w:t>Acinetobacter baumannii</w:t>
            </w: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6.</w:t>
            </w:r>
          </w:p>
        </w:tc>
        <w:tc>
          <w:tcPr>
            <w:tcW w:w="2268" w:type="dxa"/>
            <w:shd w:val="clear" w:color="auto" w:fill="E8E8E8"/>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ul. Przybyszewskiego 49,</w:t>
            </w:r>
            <w:r w:rsidRPr="002C4F7C">
              <w:rPr>
                <w:sz w:val="20"/>
                <w:szCs w:val="20"/>
              </w:rPr>
              <w:br/>
              <w:t>Oddział Kliniczny Nefrologii, Transplantologii i Chorób Wewnętrznych</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sz w:val="20"/>
                <w:szCs w:val="20"/>
              </w:rPr>
            </w:pPr>
          </w:p>
          <w:p w:rsidR="00AF0FDB" w:rsidRPr="002C4F7C" w:rsidRDefault="00AF0FDB" w:rsidP="002C4F7C">
            <w:pPr>
              <w:spacing w:after="0" w:line="240" w:lineRule="auto"/>
              <w:jc w:val="center"/>
              <w:rPr>
                <w:sz w:val="20"/>
                <w:szCs w:val="20"/>
              </w:rPr>
            </w:pPr>
            <w:r w:rsidRPr="002C4F7C">
              <w:rPr>
                <w:sz w:val="20"/>
                <w:szCs w:val="20"/>
              </w:rPr>
              <w:t>wirus grypy</w:t>
            </w:r>
          </w:p>
          <w:p w:rsidR="00AF0FDB" w:rsidRPr="002C4F7C" w:rsidRDefault="00AF0FDB" w:rsidP="002C4F7C">
            <w:pPr>
              <w:snapToGrid w:val="0"/>
              <w:spacing w:after="0" w:line="240" w:lineRule="auto"/>
              <w:rPr>
                <w:sz w:val="20"/>
                <w:szCs w:val="20"/>
              </w:rPr>
            </w:pP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7.</w:t>
            </w:r>
          </w:p>
        </w:tc>
        <w:tc>
          <w:tcPr>
            <w:tcW w:w="2268" w:type="dxa"/>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ul. Przybyszewskiego 49,</w:t>
            </w:r>
            <w:r w:rsidRPr="002C4F7C">
              <w:rPr>
                <w:sz w:val="20"/>
                <w:szCs w:val="20"/>
              </w:rPr>
              <w:br/>
              <w:t xml:space="preserve">Oddział Kliniczny Neurologii </w:t>
            </w:r>
            <w:r w:rsidRPr="002C4F7C">
              <w:rPr>
                <w:sz w:val="20"/>
                <w:szCs w:val="20"/>
              </w:rPr>
              <w:br/>
              <w:t>z Pododdziałem Udarowym</w:t>
            </w:r>
          </w:p>
          <w:p w:rsidR="00AF0FDB" w:rsidRPr="002C4F7C" w:rsidRDefault="00AF0FDB" w:rsidP="002C4F7C">
            <w:pPr>
              <w:spacing w:after="0" w:line="240" w:lineRule="auto"/>
              <w:jc w:val="center"/>
              <w:rPr>
                <w:sz w:val="20"/>
                <w:szCs w:val="20"/>
              </w:rPr>
            </w:pP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sz w:val="20"/>
                <w:szCs w:val="20"/>
              </w:rPr>
            </w:pPr>
          </w:p>
          <w:p w:rsidR="00AF0FDB" w:rsidRPr="002C4F7C" w:rsidRDefault="00AF0FDB" w:rsidP="002C4F7C">
            <w:pPr>
              <w:spacing w:after="0" w:line="240" w:lineRule="auto"/>
              <w:jc w:val="center"/>
              <w:rPr>
                <w:sz w:val="20"/>
                <w:szCs w:val="20"/>
              </w:rPr>
            </w:pPr>
            <w:r w:rsidRPr="002C4F7C">
              <w:rPr>
                <w:sz w:val="20"/>
                <w:szCs w:val="20"/>
              </w:rPr>
              <w:t>wirus grypy</w:t>
            </w:r>
          </w:p>
          <w:p w:rsidR="00AF0FDB" w:rsidRPr="002C4F7C" w:rsidRDefault="00AF0FDB" w:rsidP="002C4F7C">
            <w:pPr>
              <w:snapToGrid w:val="0"/>
              <w:spacing w:after="0" w:line="240" w:lineRule="auto"/>
              <w:jc w:val="center"/>
              <w:rPr>
                <w:sz w:val="20"/>
                <w:szCs w:val="20"/>
              </w:rPr>
            </w:pP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8.</w:t>
            </w:r>
          </w:p>
        </w:tc>
        <w:tc>
          <w:tcPr>
            <w:tcW w:w="2268" w:type="dxa"/>
            <w:shd w:val="clear" w:color="auto" w:fill="E8E8E8"/>
          </w:tcPr>
          <w:p w:rsidR="00AF0FDB" w:rsidRPr="002C4F7C" w:rsidRDefault="00AF0FDB" w:rsidP="002C4F7C">
            <w:pPr>
              <w:spacing w:after="0" w:line="240" w:lineRule="auto"/>
              <w:jc w:val="center"/>
              <w:rPr>
                <w:sz w:val="20"/>
                <w:szCs w:val="20"/>
              </w:rPr>
            </w:pPr>
            <w:r w:rsidRPr="002C4F7C">
              <w:rPr>
                <w:sz w:val="20"/>
                <w:szCs w:val="20"/>
              </w:rPr>
              <w:t xml:space="preserve">S.K. im. H. Święcickiego </w:t>
            </w:r>
            <w:r w:rsidRPr="002C4F7C">
              <w:rPr>
                <w:sz w:val="20"/>
                <w:szCs w:val="20"/>
              </w:rPr>
              <w:br/>
              <w:t>ul. Przybyszewskiego 49,</w:t>
            </w:r>
            <w:r w:rsidRPr="002C4F7C">
              <w:rPr>
                <w:sz w:val="20"/>
                <w:szCs w:val="20"/>
              </w:rPr>
              <w:br/>
              <w:t>Oddział Gastroenterologii</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sz w:val="20"/>
                <w:szCs w:val="20"/>
              </w:rPr>
            </w:pPr>
          </w:p>
          <w:p w:rsidR="00AF0FDB" w:rsidRPr="002C4F7C" w:rsidRDefault="00AF0FDB" w:rsidP="002C4F7C">
            <w:pPr>
              <w:spacing w:after="0" w:line="240" w:lineRule="auto"/>
              <w:jc w:val="center"/>
              <w:rPr>
                <w:sz w:val="20"/>
                <w:szCs w:val="20"/>
              </w:rPr>
            </w:pPr>
            <w:r w:rsidRPr="002C4F7C">
              <w:rPr>
                <w:sz w:val="20"/>
                <w:szCs w:val="20"/>
              </w:rPr>
              <w:t>wirus grypy</w:t>
            </w:r>
          </w:p>
          <w:p w:rsidR="00AF0FDB" w:rsidRPr="002C4F7C" w:rsidRDefault="00AF0FDB" w:rsidP="002C4F7C">
            <w:pPr>
              <w:snapToGrid w:val="0"/>
              <w:spacing w:after="0" w:line="240" w:lineRule="auto"/>
              <w:jc w:val="center"/>
              <w:rPr>
                <w:sz w:val="20"/>
                <w:szCs w:val="20"/>
              </w:rPr>
            </w:pP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9.</w:t>
            </w:r>
          </w:p>
        </w:tc>
        <w:tc>
          <w:tcPr>
            <w:tcW w:w="2268" w:type="dxa"/>
          </w:tcPr>
          <w:p w:rsidR="00AF0FDB" w:rsidRPr="002C4F7C" w:rsidRDefault="00AF0FDB" w:rsidP="002C4F7C">
            <w:pPr>
              <w:spacing w:after="0" w:line="240" w:lineRule="auto"/>
              <w:jc w:val="center"/>
              <w:rPr>
                <w:sz w:val="20"/>
                <w:szCs w:val="20"/>
              </w:rPr>
            </w:pPr>
            <w:r w:rsidRPr="002C4F7C">
              <w:rPr>
                <w:sz w:val="20"/>
                <w:szCs w:val="20"/>
              </w:rPr>
              <w:t xml:space="preserve">S.K. im. K. Jonschera, </w:t>
            </w:r>
            <w:r w:rsidRPr="002C4F7C">
              <w:rPr>
                <w:sz w:val="20"/>
                <w:szCs w:val="20"/>
              </w:rPr>
              <w:br/>
              <w:t>ul. Szpitalna 27/33</w:t>
            </w:r>
            <w:r w:rsidRPr="002C4F7C">
              <w:rPr>
                <w:sz w:val="20"/>
                <w:szCs w:val="20"/>
              </w:rPr>
              <w:br/>
              <w:t>Oddział III Hematologiczno-Onkologiczny</w:t>
            </w:r>
          </w:p>
          <w:p w:rsidR="00AF0FDB" w:rsidRPr="002C4F7C" w:rsidRDefault="00AF0FDB" w:rsidP="002C4F7C">
            <w:pPr>
              <w:spacing w:after="0" w:line="240" w:lineRule="auto"/>
              <w:jc w:val="center"/>
              <w:rPr>
                <w:sz w:val="20"/>
                <w:szCs w:val="20"/>
              </w:rPr>
            </w:pP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napToGrid w:val="0"/>
              <w:spacing w:after="0" w:line="240" w:lineRule="auto"/>
              <w:jc w:val="center"/>
              <w:rPr>
                <w:sz w:val="20"/>
                <w:szCs w:val="20"/>
              </w:rPr>
            </w:pPr>
            <w:r w:rsidRPr="002C4F7C">
              <w:rPr>
                <w:sz w:val="20"/>
                <w:szCs w:val="20"/>
              </w:rPr>
              <w:t>RSV</w:t>
            </w: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10.</w:t>
            </w:r>
          </w:p>
        </w:tc>
        <w:tc>
          <w:tcPr>
            <w:tcW w:w="2268" w:type="dxa"/>
            <w:shd w:val="clear" w:color="auto" w:fill="E8E8E8"/>
          </w:tcPr>
          <w:p w:rsidR="00AF0FDB" w:rsidRPr="002C4F7C" w:rsidRDefault="00AF0FDB" w:rsidP="002C4F7C">
            <w:pPr>
              <w:suppressAutoHyphens/>
              <w:snapToGrid w:val="0"/>
              <w:spacing w:after="0" w:line="240" w:lineRule="auto"/>
              <w:jc w:val="center"/>
              <w:rPr>
                <w:sz w:val="20"/>
                <w:szCs w:val="20"/>
              </w:rPr>
            </w:pPr>
            <w:r w:rsidRPr="002C4F7C">
              <w:rPr>
                <w:sz w:val="20"/>
                <w:szCs w:val="20"/>
              </w:rPr>
              <w:t>S.K. im. Przemienienia Pańskiego, ul. Długa ½</w:t>
            </w:r>
            <w:r w:rsidRPr="002C4F7C">
              <w:rPr>
                <w:sz w:val="20"/>
                <w:szCs w:val="20"/>
              </w:rPr>
              <w:br/>
              <w:t xml:space="preserve">Oddział Chirurgii Ogólnej </w:t>
            </w:r>
            <w:r w:rsidRPr="002C4F7C">
              <w:rPr>
                <w:sz w:val="20"/>
                <w:szCs w:val="20"/>
              </w:rPr>
              <w:br/>
              <w:t>i Naczyniowej</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uppressAutoHyphens/>
              <w:snapToGrid w:val="0"/>
              <w:spacing w:before="0" w:after="0" w:line="240" w:lineRule="auto"/>
              <w:jc w:val="center"/>
              <w:rPr>
                <w:sz w:val="20"/>
                <w:szCs w:val="20"/>
                <w:lang w:eastAsia="ar-SA"/>
              </w:rPr>
            </w:pPr>
          </w:p>
          <w:p w:rsidR="00AF0FDB" w:rsidRPr="002C4F7C" w:rsidRDefault="00AF0FDB" w:rsidP="002C4F7C">
            <w:pPr>
              <w:suppressAutoHyphens/>
              <w:snapToGrid w:val="0"/>
              <w:spacing w:before="0" w:after="0" w:line="240" w:lineRule="auto"/>
              <w:jc w:val="center"/>
              <w:rPr>
                <w:sz w:val="20"/>
                <w:szCs w:val="20"/>
                <w:lang w:eastAsia="ar-SA"/>
              </w:rPr>
            </w:pPr>
            <w:r w:rsidRPr="002C4F7C">
              <w:rPr>
                <w:sz w:val="20"/>
                <w:szCs w:val="20"/>
                <w:lang w:eastAsia="ar-SA"/>
              </w:rPr>
              <w:t>wirus grypy</w:t>
            </w:r>
          </w:p>
          <w:p w:rsidR="00AF0FDB" w:rsidRPr="002C4F7C" w:rsidRDefault="00AF0FDB" w:rsidP="002C4F7C">
            <w:pPr>
              <w:suppressAutoHyphens/>
              <w:snapToGrid w:val="0"/>
              <w:spacing w:before="0" w:after="0" w:line="240" w:lineRule="auto"/>
              <w:jc w:val="center"/>
              <w:rPr>
                <w:sz w:val="20"/>
                <w:szCs w:val="20"/>
                <w:lang w:eastAsia="ar-SA"/>
              </w:rPr>
            </w:pPr>
            <w:r w:rsidRPr="002C4F7C">
              <w:rPr>
                <w:sz w:val="20"/>
                <w:szCs w:val="20"/>
                <w:lang w:eastAsia="ar-SA"/>
              </w:rPr>
              <w:t>typu A</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11.</w:t>
            </w:r>
          </w:p>
        </w:tc>
        <w:tc>
          <w:tcPr>
            <w:tcW w:w="2268" w:type="dxa"/>
          </w:tcPr>
          <w:p w:rsidR="00AF0FDB" w:rsidRPr="002C4F7C" w:rsidRDefault="00AF0FDB" w:rsidP="002C4F7C">
            <w:pPr>
              <w:spacing w:after="0" w:line="240" w:lineRule="auto"/>
              <w:jc w:val="center"/>
              <w:rPr>
                <w:color w:val="000000"/>
                <w:sz w:val="20"/>
                <w:szCs w:val="20"/>
              </w:rPr>
            </w:pPr>
            <w:r w:rsidRPr="002C4F7C">
              <w:rPr>
                <w:color w:val="000000"/>
                <w:sz w:val="20"/>
                <w:szCs w:val="20"/>
              </w:rPr>
              <w:t>S.K. im. Przemienienia Pańskiego, ul. Długa ½</w:t>
            </w:r>
            <w:r w:rsidRPr="002C4F7C">
              <w:rPr>
                <w:color w:val="000000"/>
                <w:sz w:val="20"/>
                <w:szCs w:val="20"/>
              </w:rPr>
              <w:br/>
              <w:t>Oddział Hematologii i Chorób Rozrostowych Układu Krwionośnego</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color w:val="000000"/>
                <w:sz w:val="20"/>
                <w:szCs w:val="20"/>
              </w:rPr>
            </w:pPr>
          </w:p>
          <w:p w:rsidR="00AF0FDB" w:rsidRPr="002C4F7C" w:rsidRDefault="00AF0FDB" w:rsidP="002C4F7C">
            <w:pPr>
              <w:spacing w:after="0" w:line="240" w:lineRule="auto"/>
              <w:jc w:val="center"/>
              <w:rPr>
                <w:color w:val="000000"/>
                <w:sz w:val="20"/>
                <w:szCs w:val="20"/>
              </w:rPr>
            </w:pPr>
            <w:r w:rsidRPr="002C4F7C">
              <w:rPr>
                <w:color w:val="000000"/>
                <w:sz w:val="20"/>
                <w:szCs w:val="20"/>
              </w:rPr>
              <w:t>RSV</w:t>
            </w:r>
          </w:p>
          <w:p w:rsidR="00AF0FDB" w:rsidRPr="002C4F7C" w:rsidRDefault="00AF0FDB" w:rsidP="002C4F7C">
            <w:pPr>
              <w:snapToGrid w:val="0"/>
              <w:spacing w:after="0" w:line="240" w:lineRule="auto"/>
              <w:jc w:val="center"/>
              <w:rPr>
                <w:sz w:val="20"/>
                <w:szCs w:val="20"/>
              </w:rPr>
            </w:pP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12.</w:t>
            </w:r>
          </w:p>
        </w:tc>
        <w:tc>
          <w:tcPr>
            <w:tcW w:w="2268"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t>S.K. im. Przemienienia Pańskiego, ul. Długa ½</w:t>
            </w:r>
            <w:r w:rsidRPr="002C4F7C">
              <w:rPr>
                <w:color w:val="000000"/>
                <w:sz w:val="20"/>
                <w:szCs w:val="20"/>
              </w:rPr>
              <w:br/>
              <w:t>Oddział Hematologii i Chorób Rozrostowych Układu Krwionośnego</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i/>
                <w:iCs/>
                <w:color w:val="000000"/>
                <w:sz w:val="20"/>
                <w:szCs w:val="20"/>
              </w:rPr>
            </w:pPr>
            <w:r w:rsidRPr="002C4F7C">
              <w:rPr>
                <w:i/>
                <w:iCs/>
                <w:color w:val="000000"/>
                <w:sz w:val="20"/>
                <w:szCs w:val="20"/>
              </w:rPr>
              <w:t>Pseudomonas aeruginosa</w:t>
            </w:r>
            <w:r w:rsidRPr="002C4F7C">
              <w:rPr>
                <w:i/>
                <w:iCs/>
                <w:color w:val="000000"/>
                <w:sz w:val="20"/>
                <w:szCs w:val="20"/>
              </w:rPr>
              <w:br/>
            </w:r>
            <w:r w:rsidRPr="002C4F7C">
              <w:rPr>
                <w:color w:val="000000"/>
                <w:sz w:val="22"/>
                <w:szCs w:val="22"/>
              </w:rPr>
              <w:t>(MBL-VIM)</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13.</w:t>
            </w:r>
          </w:p>
        </w:tc>
        <w:tc>
          <w:tcPr>
            <w:tcW w:w="2268" w:type="dxa"/>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SZOZ Nad Matką i Dzieckiem </w:t>
            </w:r>
            <w:r w:rsidRPr="002C4F7C">
              <w:rPr>
                <w:color w:val="000000"/>
                <w:sz w:val="20"/>
                <w:szCs w:val="20"/>
              </w:rPr>
              <w:br/>
              <w:t>ul. Krysiewicza 7/8</w:t>
            </w:r>
            <w:r w:rsidRPr="002C4F7C">
              <w:rPr>
                <w:color w:val="000000"/>
                <w:sz w:val="20"/>
                <w:szCs w:val="20"/>
              </w:rPr>
              <w:br/>
              <w:t xml:space="preserve">Oddział Chirurgiczny i Leczenia Oparzeń </w:t>
            </w:r>
            <w:r w:rsidRPr="002C4F7C">
              <w:rPr>
                <w:color w:val="000000"/>
                <w:sz w:val="20"/>
                <w:szCs w:val="20"/>
              </w:rPr>
              <w:br/>
              <w:t>(odcinek C)</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wirus grypy </w:t>
            </w:r>
            <w:r w:rsidRPr="002C4F7C">
              <w:rPr>
                <w:color w:val="000000"/>
                <w:sz w:val="20"/>
                <w:szCs w:val="20"/>
              </w:rPr>
              <w:br/>
              <w:t>typu A</w:t>
            </w:r>
          </w:p>
          <w:p w:rsidR="00AF0FDB" w:rsidRPr="002C4F7C" w:rsidRDefault="00AF0FDB" w:rsidP="002C4F7C">
            <w:pPr>
              <w:snapToGrid w:val="0"/>
              <w:spacing w:after="0" w:line="240" w:lineRule="auto"/>
              <w:jc w:val="center"/>
              <w:rPr>
                <w:sz w:val="20"/>
                <w:szCs w:val="20"/>
              </w:rPr>
            </w:pPr>
          </w:p>
          <w:p w:rsidR="00AF0FDB" w:rsidRPr="002C4F7C" w:rsidRDefault="00AF0FDB" w:rsidP="002C4F7C">
            <w:pPr>
              <w:snapToGrid w:val="0"/>
              <w:spacing w:after="0" w:line="240" w:lineRule="auto"/>
              <w:jc w:val="center"/>
              <w:rPr>
                <w:sz w:val="20"/>
                <w:szCs w:val="20"/>
              </w:rPr>
            </w:pP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14.</w:t>
            </w:r>
          </w:p>
        </w:tc>
        <w:tc>
          <w:tcPr>
            <w:tcW w:w="2268"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SZOZ Nad Matką i Dzieckiem </w:t>
            </w:r>
            <w:r w:rsidRPr="002C4F7C">
              <w:rPr>
                <w:color w:val="000000"/>
                <w:sz w:val="20"/>
                <w:szCs w:val="20"/>
              </w:rPr>
              <w:br/>
              <w:t>ul. Krysiewicza 7/8</w:t>
            </w:r>
            <w:r w:rsidRPr="002C4F7C">
              <w:rPr>
                <w:color w:val="000000"/>
                <w:sz w:val="20"/>
                <w:szCs w:val="20"/>
              </w:rPr>
              <w:br/>
              <w:t>Oddział Obserwacyjno-Zakaźny (odcinek B)</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wirus grypy </w:t>
            </w:r>
            <w:r w:rsidRPr="002C4F7C">
              <w:rPr>
                <w:color w:val="000000"/>
                <w:sz w:val="20"/>
                <w:szCs w:val="20"/>
              </w:rPr>
              <w:br/>
              <w:t>(AH1N1)</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15.</w:t>
            </w:r>
          </w:p>
        </w:tc>
        <w:tc>
          <w:tcPr>
            <w:tcW w:w="2268" w:type="dxa"/>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SZOZ Nad Matką i Dzieckiem </w:t>
            </w:r>
            <w:r w:rsidRPr="002C4F7C">
              <w:rPr>
                <w:color w:val="000000"/>
                <w:sz w:val="20"/>
                <w:szCs w:val="20"/>
              </w:rPr>
              <w:br/>
              <w:t>ul. Krysiewicza 7/8</w:t>
            </w:r>
            <w:r w:rsidRPr="002C4F7C">
              <w:rPr>
                <w:color w:val="000000"/>
                <w:sz w:val="20"/>
                <w:szCs w:val="20"/>
              </w:rPr>
              <w:br/>
              <w:t>Oddział Dzieci Starszych I</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color w:val="000000"/>
                <w:sz w:val="20"/>
                <w:szCs w:val="20"/>
              </w:rPr>
            </w:pPr>
            <w:r w:rsidRPr="002C4F7C">
              <w:rPr>
                <w:color w:val="000000"/>
                <w:sz w:val="20"/>
                <w:szCs w:val="20"/>
              </w:rPr>
              <w:br/>
              <w:t xml:space="preserve">wirus grypy </w:t>
            </w:r>
            <w:r w:rsidRPr="002C4F7C">
              <w:rPr>
                <w:color w:val="000000"/>
                <w:sz w:val="20"/>
                <w:szCs w:val="20"/>
              </w:rPr>
              <w:br/>
              <w:t>(AH1N1)</w:t>
            </w: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16.</w:t>
            </w:r>
          </w:p>
        </w:tc>
        <w:tc>
          <w:tcPr>
            <w:tcW w:w="2268"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SZOZ Nad Matką i Dzieckiem </w:t>
            </w:r>
            <w:r w:rsidRPr="002C4F7C">
              <w:rPr>
                <w:color w:val="000000"/>
                <w:sz w:val="20"/>
                <w:szCs w:val="20"/>
              </w:rPr>
              <w:br/>
              <w:t>ul. Krysiewicza 7/8</w:t>
            </w:r>
            <w:r w:rsidRPr="002C4F7C">
              <w:rPr>
                <w:color w:val="000000"/>
                <w:sz w:val="20"/>
                <w:szCs w:val="20"/>
              </w:rPr>
              <w:br/>
              <w:t>Oddział Obserwacyjno-Zakaźny (odcinek B)</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br/>
              <w:t>norowirusy</w:t>
            </w:r>
          </w:p>
          <w:p w:rsidR="00AF0FDB" w:rsidRPr="002C4F7C" w:rsidRDefault="00AF0FDB" w:rsidP="002C4F7C">
            <w:pPr>
              <w:spacing w:after="0" w:line="240" w:lineRule="auto"/>
              <w:jc w:val="center"/>
              <w:rPr>
                <w:color w:val="000000"/>
                <w:sz w:val="20"/>
                <w:szCs w:val="20"/>
              </w:rPr>
            </w:pP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17.</w:t>
            </w:r>
          </w:p>
        </w:tc>
        <w:tc>
          <w:tcPr>
            <w:tcW w:w="2268" w:type="dxa"/>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SZOZ Nad Matką i Dzieckiem </w:t>
            </w:r>
            <w:r w:rsidRPr="002C4F7C">
              <w:rPr>
                <w:color w:val="000000"/>
                <w:sz w:val="20"/>
                <w:szCs w:val="20"/>
              </w:rPr>
              <w:br/>
              <w:t>ul. Krysiewicza 7/8</w:t>
            </w:r>
            <w:r w:rsidRPr="002C4F7C">
              <w:rPr>
                <w:color w:val="000000"/>
                <w:sz w:val="20"/>
                <w:szCs w:val="20"/>
              </w:rPr>
              <w:br/>
              <w:t>Oddział Chirurgiczny i Leczenia Oparzeń</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color w:val="000000"/>
                <w:sz w:val="20"/>
                <w:szCs w:val="20"/>
              </w:rPr>
            </w:pPr>
            <w:r w:rsidRPr="002C4F7C">
              <w:rPr>
                <w:color w:val="000000"/>
                <w:sz w:val="20"/>
                <w:szCs w:val="20"/>
              </w:rPr>
              <w:br/>
              <w:t>rotawirusy, norowirusy</w:t>
            </w: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18.</w:t>
            </w:r>
          </w:p>
        </w:tc>
        <w:tc>
          <w:tcPr>
            <w:tcW w:w="2268"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Szpital Wojewódzki </w:t>
            </w:r>
            <w:r w:rsidRPr="002C4F7C">
              <w:rPr>
                <w:color w:val="000000"/>
                <w:sz w:val="20"/>
                <w:szCs w:val="20"/>
              </w:rPr>
              <w:br/>
              <w:t>ul. Juraszów 7/19</w:t>
            </w:r>
            <w:r w:rsidRPr="002C4F7C">
              <w:rPr>
                <w:color w:val="000000"/>
                <w:sz w:val="20"/>
                <w:szCs w:val="20"/>
              </w:rPr>
              <w:br/>
              <w:t>Oddział Kardiologii Inwazyjnej i Chorób Wewnętrznych z Pododdziałem Intensywnej Opieki Kardiologicznej</w:t>
            </w:r>
          </w:p>
          <w:p w:rsidR="00AF0FDB" w:rsidRPr="002C4F7C" w:rsidRDefault="00AF0FDB" w:rsidP="002C4F7C">
            <w:pPr>
              <w:spacing w:after="0" w:line="240" w:lineRule="auto"/>
              <w:jc w:val="center"/>
              <w:rPr>
                <w:color w:val="000000"/>
                <w:sz w:val="20"/>
                <w:szCs w:val="20"/>
              </w:rPr>
            </w:pP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br/>
            </w:r>
            <w:r w:rsidRPr="002C4F7C">
              <w:rPr>
                <w:color w:val="000000"/>
                <w:sz w:val="20"/>
                <w:szCs w:val="20"/>
              </w:rPr>
              <w:br/>
              <w:t xml:space="preserve">wirus grypy </w:t>
            </w:r>
            <w:r w:rsidRPr="002C4F7C">
              <w:rPr>
                <w:color w:val="000000"/>
                <w:sz w:val="20"/>
                <w:szCs w:val="20"/>
              </w:rPr>
              <w:br/>
              <w:t>typu A</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19.</w:t>
            </w:r>
          </w:p>
        </w:tc>
        <w:tc>
          <w:tcPr>
            <w:tcW w:w="2268" w:type="dxa"/>
          </w:tcPr>
          <w:p w:rsidR="00AF0FDB" w:rsidRPr="002C4F7C" w:rsidRDefault="00AF0FDB" w:rsidP="002C4F7C">
            <w:pPr>
              <w:spacing w:after="0" w:line="240" w:lineRule="auto"/>
              <w:jc w:val="center"/>
              <w:rPr>
                <w:color w:val="000000"/>
                <w:sz w:val="20"/>
                <w:szCs w:val="20"/>
              </w:rPr>
            </w:pPr>
            <w:r w:rsidRPr="002C4F7C">
              <w:rPr>
                <w:color w:val="000000"/>
                <w:sz w:val="20"/>
                <w:szCs w:val="20"/>
              </w:rPr>
              <w:t xml:space="preserve">Szpital Miejski im. F. Raszei Oddział Chirurgii Ogólnej </w:t>
            </w:r>
            <w:r w:rsidRPr="002C4F7C">
              <w:rPr>
                <w:color w:val="000000"/>
                <w:sz w:val="20"/>
                <w:szCs w:val="20"/>
              </w:rPr>
              <w:br/>
              <w:t>i Minimalnie Inwazyjnej</w:t>
            </w:r>
          </w:p>
          <w:p w:rsidR="00AF0FDB" w:rsidRPr="002C4F7C" w:rsidRDefault="00AF0FDB" w:rsidP="002C4F7C">
            <w:pPr>
              <w:spacing w:after="0" w:line="240" w:lineRule="auto"/>
              <w:jc w:val="center"/>
              <w:rPr>
                <w:color w:val="000000"/>
                <w:sz w:val="20"/>
                <w:szCs w:val="20"/>
              </w:rPr>
            </w:pP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color w:val="000000"/>
                <w:sz w:val="20"/>
                <w:szCs w:val="20"/>
              </w:rPr>
            </w:pPr>
            <w:r w:rsidRPr="002C4F7C">
              <w:rPr>
                <w:i/>
                <w:iCs/>
                <w:color w:val="000000"/>
                <w:sz w:val="20"/>
                <w:szCs w:val="20"/>
              </w:rPr>
              <w:t>Enterococcus faecalis</w:t>
            </w:r>
            <w:r w:rsidRPr="002C4F7C">
              <w:rPr>
                <w:color w:val="000000"/>
                <w:sz w:val="20"/>
                <w:szCs w:val="20"/>
              </w:rPr>
              <w:t xml:space="preserve"> (VRE)</w:t>
            </w: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1358"/>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20.</w:t>
            </w:r>
          </w:p>
        </w:tc>
        <w:tc>
          <w:tcPr>
            <w:tcW w:w="2268" w:type="dxa"/>
            <w:shd w:val="clear" w:color="auto" w:fill="E8E8E8"/>
          </w:tcPr>
          <w:p w:rsidR="00AF0FDB" w:rsidRPr="002C4F7C" w:rsidRDefault="00AF0FDB" w:rsidP="002C4F7C">
            <w:pPr>
              <w:spacing w:after="0" w:line="240" w:lineRule="auto"/>
              <w:jc w:val="center"/>
              <w:rPr>
                <w:color w:val="000000"/>
                <w:sz w:val="20"/>
                <w:szCs w:val="20"/>
              </w:rPr>
            </w:pPr>
            <w:r w:rsidRPr="002C4F7C">
              <w:rPr>
                <w:color w:val="000000"/>
                <w:sz w:val="20"/>
                <w:szCs w:val="20"/>
              </w:rPr>
              <w:t>Wielkopolskie Centrum Onkologii ul. Garbary 15</w:t>
            </w:r>
            <w:r w:rsidRPr="002C4F7C">
              <w:rPr>
                <w:color w:val="000000"/>
                <w:sz w:val="20"/>
                <w:szCs w:val="20"/>
              </w:rPr>
              <w:br/>
              <w:t>Oddział Radioterapii Onkologicznej II</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pacing w:after="0" w:line="240" w:lineRule="auto"/>
              <w:jc w:val="center"/>
              <w:rPr>
                <w:color w:val="000000"/>
                <w:sz w:val="20"/>
                <w:szCs w:val="20"/>
              </w:rPr>
            </w:pPr>
            <w:r w:rsidRPr="002C4F7C">
              <w:rPr>
                <w:i/>
                <w:iCs/>
                <w:color w:val="000000"/>
                <w:sz w:val="20"/>
                <w:szCs w:val="20"/>
              </w:rPr>
              <w:t>Staphylococcus aureus</w:t>
            </w:r>
            <w:r w:rsidRPr="002C4F7C">
              <w:rPr>
                <w:color w:val="000000"/>
                <w:sz w:val="20"/>
                <w:szCs w:val="20"/>
              </w:rPr>
              <w:t xml:space="preserve"> (MRSA)</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21.</w:t>
            </w:r>
          </w:p>
        </w:tc>
        <w:tc>
          <w:tcPr>
            <w:tcW w:w="2268" w:type="dxa"/>
          </w:tcPr>
          <w:p w:rsidR="00AF0FDB" w:rsidRPr="002C4F7C" w:rsidRDefault="00AF0FDB" w:rsidP="002C4F7C">
            <w:pPr>
              <w:suppressAutoHyphens/>
              <w:snapToGrid w:val="0"/>
              <w:spacing w:after="0" w:line="240" w:lineRule="auto"/>
              <w:jc w:val="center"/>
              <w:rPr>
                <w:color w:val="2F5496"/>
                <w:sz w:val="20"/>
                <w:szCs w:val="20"/>
                <w:lang w:eastAsia="ar-SA"/>
              </w:rPr>
            </w:pPr>
            <w:r w:rsidRPr="002C4F7C">
              <w:rPr>
                <w:color w:val="000000"/>
                <w:sz w:val="20"/>
                <w:szCs w:val="20"/>
              </w:rPr>
              <w:t xml:space="preserve">SZOZ Nad Matką i Dzieckiem </w:t>
            </w:r>
            <w:r w:rsidRPr="002C4F7C">
              <w:rPr>
                <w:color w:val="000000"/>
                <w:sz w:val="20"/>
                <w:szCs w:val="20"/>
              </w:rPr>
              <w:br/>
              <w:t>ul. Krysiewicza 7/8</w:t>
            </w:r>
            <w:r w:rsidRPr="002C4F7C">
              <w:rPr>
                <w:color w:val="000000"/>
                <w:sz w:val="20"/>
                <w:szCs w:val="20"/>
              </w:rPr>
              <w:br/>
              <w:t>Oddział Wewnętrzny Hematologiczny (odcinek niemowlęcy)</w:t>
            </w:r>
          </w:p>
        </w:tc>
        <w:tc>
          <w:tcPr>
            <w:tcW w:w="2459" w:type="dxa"/>
            <w:gridSpan w:val="2"/>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tcPr>
          <w:p w:rsidR="00AF0FDB" w:rsidRPr="002C4F7C" w:rsidRDefault="00AF0FDB" w:rsidP="002C4F7C">
            <w:pPr>
              <w:suppressAutoHyphens/>
              <w:snapToGrid w:val="0"/>
              <w:spacing w:after="0" w:line="240" w:lineRule="auto"/>
              <w:jc w:val="center"/>
              <w:rPr>
                <w:sz w:val="20"/>
                <w:szCs w:val="20"/>
                <w:lang w:eastAsia="ar-SA"/>
              </w:rPr>
            </w:pPr>
          </w:p>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tcPr>
          <w:p w:rsidR="00AF0FDB" w:rsidRPr="002C4F7C" w:rsidRDefault="00AF0FDB" w:rsidP="002C4F7C">
            <w:pPr>
              <w:spacing w:after="0" w:line="240" w:lineRule="auto"/>
              <w:jc w:val="center"/>
              <w:rPr>
                <w:color w:val="000000"/>
                <w:sz w:val="20"/>
                <w:szCs w:val="20"/>
              </w:rPr>
            </w:pPr>
          </w:p>
          <w:p w:rsidR="00AF0FDB" w:rsidRPr="002C4F7C" w:rsidRDefault="00AF0FDB" w:rsidP="002C4F7C">
            <w:pPr>
              <w:spacing w:after="0" w:line="240" w:lineRule="auto"/>
              <w:jc w:val="center"/>
              <w:rPr>
                <w:color w:val="000000"/>
                <w:sz w:val="20"/>
                <w:szCs w:val="20"/>
              </w:rPr>
            </w:pPr>
            <w:r w:rsidRPr="002C4F7C">
              <w:rPr>
                <w:color w:val="000000"/>
                <w:sz w:val="20"/>
                <w:szCs w:val="20"/>
              </w:rPr>
              <w:t>rotawirusy</w:t>
            </w:r>
          </w:p>
          <w:p w:rsidR="00AF0FDB" w:rsidRPr="002C4F7C" w:rsidRDefault="00AF0FDB" w:rsidP="002C4F7C">
            <w:pPr>
              <w:spacing w:after="0" w:line="240" w:lineRule="auto"/>
              <w:jc w:val="center"/>
              <w:rPr>
                <w:color w:val="000000"/>
                <w:sz w:val="20"/>
                <w:szCs w:val="20"/>
              </w:rPr>
            </w:pPr>
          </w:p>
        </w:tc>
        <w:tc>
          <w:tcPr>
            <w:tcW w:w="644" w:type="dxa"/>
            <w:gridSpan w:val="2"/>
          </w:tcPr>
          <w:p w:rsidR="00AF0FDB" w:rsidRPr="002C4F7C" w:rsidRDefault="00AF0FDB" w:rsidP="002C4F7C">
            <w:pPr>
              <w:suppressAutoHyphens/>
              <w:snapToGrid w:val="0"/>
              <w:spacing w:after="0" w:line="240" w:lineRule="auto"/>
              <w:rPr>
                <w:color w:val="2F5496"/>
                <w:sz w:val="22"/>
                <w:szCs w:val="22"/>
                <w:lang w:eastAsia="ar-SA"/>
              </w:rPr>
            </w:pPr>
          </w:p>
        </w:tc>
      </w:tr>
      <w:tr w:rsidR="00AF0FDB" w:rsidRPr="002E4C65">
        <w:trPr>
          <w:trHeight w:val="400"/>
        </w:trPr>
        <w:tc>
          <w:tcPr>
            <w:tcW w:w="568" w:type="dxa"/>
            <w:shd w:val="clear" w:color="auto" w:fill="E8E8E8"/>
          </w:tcPr>
          <w:p w:rsidR="00AF0FDB" w:rsidRPr="002C4F7C" w:rsidRDefault="00AF0FDB" w:rsidP="002C4F7C">
            <w:pPr>
              <w:suppressAutoHyphens/>
              <w:spacing w:after="0" w:line="240" w:lineRule="auto"/>
              <w:jc w:val="center"/>
              <w:rPr>
                <w:b/>
                <w:bCs/>
                <w:sz w:val="20"/>
                <w:szCs w:val="20"/>
                <w:lang w:eastAsia="ar-SA"/>
              </w:rPr>
            </w:pPr>
            <w:r w:rsidRPr="002C4F7C">
              <w:rPr>
                <w:b/>
                <w:bCs/>
                <w:sz w:val="20"/>
                <w:szCs w:val="20"/>
                <w:lang w:eastAsia="ar-SA"/>
              </w:rPr>
              <w:t>22.</w:t>
            </w:r>
          </w:p>
        </w:tc>
        <w:tc>
          <w:tcPr>
            <w:tcW w:w="2268" w:type="dxa"/>
            <w:shd w:val="clear" w:color="auto" w:fill="E8E8E8"/>
          </w:tcPr>
          <w:p w:rsidR="00AF0FDB" w:rsidRPr="002C4F7C" w:rsidRDefault="00AF0FDB" w:rsidP="002C4F7C">
            <w:pPr>
              <w:suppressAutoHyphens/>
              <w:snapToGrid w:val="0"/>
              <w:spacing w:after="0" w:line="240" w:lineRule="auto"/>
              <w:jc w:val="center"/>
              <w:rPr>
                <w:color w:val="2F5496"/>
                <w:sz w:val="20"/>
                <w:szCs w:val="20"/>
                <w:lang w:eastAsia="ar-SA"/>
              </w:rPr>
            </w:pPr>
            <w:r w:rsidRPr="002C4F7C">
              <w:rPr>
                <w:color w:val="000000"/>
                <w:sz w:val="20"/>
                <w:szCs w:val="20"/>
              </w:rPr>
              <w:t>S.K. im. Przemienienia Pańskiego, ul. Długa 1/2</w:t>
            </w:r>
            <w:r w:rsidRPr="002C4F7C">
              <w:rPr>
                <w:color w:val="000000"/>
                <w:sz w:val="20"/>
                <w:szCs w:val="20"/>
              </w:rPr>
              <w:br/>
              <w:t>Oddział Hematologii i Chorób Rozrostowych Układu Krwiotwórczego</w:t>
            </w:r>
          </w:p>
        </w:tc>
        <w:tc>
          <w:tcPr>
            <w:tcW w:w="2459"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2466" w:type="dxa"/>
            <w:gridSpan w:val="2"/>
            <w:shd w:val="clear" w:color="auto" w:fill="E8E8E8"/>
          </w:tcPr>
          <w:p w:rsidR="00AF0FDB" w:rsidRPr="002C4F7C" w:rsidRDefault="00AF0FDB" w:rsidP="002C4F7C">
            <w:pPr>
              <w:suppressAutoHyphens/>
              <w:snapToGrid w:val="0"/>
              <w:spacing w:after="0" w:line="240" w:lineRule="auto"/>
              <w:jc w:val="center"/>
              <w:rPr>
                <w:sz w:val="20"/>
                <w:szCs w:val="20"/>
                <w:lang w:eastAsia="ar-SA"/>
              </w:rPr>
            </w:pPr>
            <w:r w:rsidRPr="002C4F7C">
              <w:rPr>
                <w:sz w:val="20"/>
                <w:szCs w:val="20"/>
                <w:lang w:eastAsia="ar-SA"/>
              </w:rPr>
              <w:t>TAK</w:t>
            </w:r>
          </w:p>
        </w:tc>
        <w:tc>
          <w:tcPr>
            <w:tcW w:w="1704" w:type="dxa"/>
            <w:shd w:val="clear" w:color="auto" w:fill="E8E8E8"/>
          </w:tcPr>
          <w:p w:rsidR="00AF0FDB" w:rsidRPr="002C4F7C" w:rsidRDefault="00AF0FDB" w:rsidP="002C4F7C">
            <w:pPr>
              <w:suppressAutoHyphens/>
              <w:snapToGrid w:val="0"/>
              <w:spacing w:after="0" w:line="240" w:lineRule="auto"/>
              <w:jc w:val="center"/>
              <w:rPr>
                <w:color w:val="2F5496"/>
                <w:sz w:val="20"/>
                <w:szCs w:val="20"/>
                <w:lang w:eastAsia="ar-SA"/>
              </w:rPr>
            </w:pPr>
            <w:r w:rsidRPr="002C4F7C">
              <w:rPr>
                <w:i/>
                <w:iCs/>
                <w:color w:val="000000"/>
                <w:sz w:val="20"/>
                <w:szCs w:val="20"/>
              </w:rPr>
              <w:t xml:space="preserve">Enterobacter cloacae </w:t>
            </w:r>
            <w:r w:rsidRPr="002C4F7C">
              <w:rPr>
                <w:color w:val="000000"/>
                <w:sz w:val="20"/>
                <w:szCs w:val="20"/>
              </w:rPr>
              <w:t>(MBL-NDM)</w:t>
            </w:r>
          </w:p>
        </w:tc>
        <w:tc>
          <w:tcPr>
            <w:tcW w:w="644" w:type="dxa"/>
            <w:gridSpan w:val="2"/>
            <w:shd w:val="clear" w:color="auto" w:fill="E8E8E8"/>
          </w:tcPr>
          <w:p w:rsidR="00AF0FDB" w:rsidRPr="002C4F7C" w:rsidRDefault="00AF0FDB" w:rsidP="002C4F7C">
            <w:pPr>
              <w:suppressAutoHyphens/>
              <w:snapToGrid w:val="0"/>
              <w:spacing w:after="0" w:line="240" w:lineRule="auto"/>
              <w:rPr>
                <w:color w:val="2F5496"/>
                <w:sz w:val="22"/>
                <w:szCs w:val="22"/>
                <w:lang w:eastAsia="ar-SA"/>
              </w:rPr>
            </w:pPr>
          </w:p>
        </w:tc>
      </w:tr>
    </w:tbl>
    <w:p w:rsidR="00AF0FDB" w:rsidRPr="002E4C65" w:rsidRDefault="00AF0FDB" w:rsidP="00F13322">
      <w:pPr>
        <w:keepNext/>
        <w:suppressAutoHyphens/>
        <w:spacing w:after="0" w:line="240" w:lineRule="auto"/>
        <w:rPr>
          <w:sz w:val="20"/>
          <w:szCs w:val="20"/>
          <w:lang w:eastAsia="ar-SA"/>
        </w:rPr>
      </w:pPr>
      <w:r>
        <w:rPr>
          <w:b/>
          <w:bCs/>
          <w:sz w:val="20"/>
          <w:szCs w:val="20"/>
          <w:lang w:eastAsia="ar-SA"/>
        </w:rPr>
        <w:t>Tab. 9</w:t>
      </w:r>
      <w:r w:rsidRPr="002E4C65">
        <w:rPr>
          <w:sz w:val="20"/>
          <w:szCs w:val="20"/>
          <w:lang w:eastAsia="ar-SA"/>
        </w:rPr>
        <w:t xml:space="preserve"> Ogólne dane o ogniskach epidemicznych w 2017 i 2018 roku.</w:t>
      </w:r>
    </w:p>
    <w:tbl>
      <w:tblPr>
        <w:tblW w:w="9923"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1E0"/>
      </w:tblPr>
      <w:tblGrid>
        <w:gridCol w:w="5983"/>
        <w:gridCol w:w="1769"/>
        <w:gridCol w:w="2171"/>
      </w:tblGrid>
      <w:tr w:rsidR="00AF0FDB" w:rsidRPr="002E4C65">
        <w:trPr>
          <w:tblHeader/>
        </w:trPr>
        <w:tc>
          <w:tcPr>
            <w:tcW w:w="5983" w:type="dxa"/>
            <w:tcBorders>
              <w:bottom w:val="single" w:sz="18" w:space="0" w:color="A5A5A5"/>
            </w:tcBorders>
          </w:tcPr>
          <w:p w:rsidR="00AF0FDB" w:rsidRPr="002C4F7C" w:rsidRDefault="00AF0FDB" w:rsidP="002C4F7C">
            <w:pPr>
              <w:spacing w:after="0"/>
              <w:jc w:val="center"/>
              <w:rPr>
                <w:b/>
                <w:bCs/>
                <w:sz w:val="22"/>
                <w:szCs w:val="22"/>
              </w:rPr>
            </w:pPr>
            <w:r w:rsidRPr="002C4F7C">
              <w:rPr>
                <w:b/>
                <w:bCs/>
                <w:sz w:val="22"/>
                <w:szCs w:val="22"/>
              </w:rPr>
              <w:t>Dane o ogniskach epidemicznych</w:t>
            </w:r>
          </w:p>
        </w:tc>
        <w:tc>
          <w:tcPr>
            <w:tcW w:w="1769" w:type="dxa"/>
            <w:tcBorders>
              <w:bottom w:val="single" w:sz="18" w:space="0" w:color="A5A5A5"/>
            </w:tcBorders>
            <w:shd w:val="clear" w:color="auto" w:fill="E8E8E8"/>
          </w:tcPr>
          <w:p w:rsidR="00AF0FDB" w:rsidRPr="002C4F7C" w:rsidRDefault="00AF0FDB" w:rsidP="002C4F7C">
            <w:pPr>
              <w:spacing w:after="0"/>
              <w:jc w:val="center"/>
              <w:rPr>
                <w:b/>
                <w:bCs/>
                <w:sz w:val="22"/>
                <w:szCs w:val="22"/>
              </w:rPr>
            </w:pPr>
            <w:r w:rsidRPr="002C4F7C">
              <w:rPr>
                <w:sz w:val="22"/>
                <w:szCs w:val="22"/>
              </w:rPr>
              <w:t>2017</w:t>
            </w:r>
          </w:p>
        </w:tc>
        <w:tc>
          <w:tcPr>
            <w:tcW w:w="2171" w:type="dxa"/>
            <w:tcBorders>
              <w:bottom w:val="single" w:sz="18" w:space="0" w:color="A5A5A5"/>
            </w:tcBorders>
          </w:tcPr>
          <w:p w:rsidR="00AF0FDB" w:rsidRPr="002C4F7C" w:rsidRDefault="00AF0FDB" w:rsidP="002C4F7C">
            <w:pPr>
              <w:spacing w:after="0"/>
              <w:jc w:val="center"/>
              <w:rPr>
                <w:b/>
                <w:bCs/>
                <w:sz w:val="22"/>
                <w:szCs w:val="22"/>
              </w:rPr>
            </w:pPr>
            <w:r w:rsidRPr="002C4F7C">
              <w:rPr>
                <w:b/>
                <w:bCs/>
                <w:sz w:val="22"/>
                <w:szCs w:val="22"/>
              </w:rPr>
              <w:t>2018</w:t>
            </w:r>
          </w:p>
        </w:tc>
      </w:tr>
      <w:tr w:rsidR="00AF0FDB" w:rsidRPr="002E4C65">
        <w:tc>
          <w:tcPr>
            <w:tcW w:w="5983" w:type="dxa"/>
            <w:shd w:val="clear" w:color="auto" w:fill="E8E8E8"/>
          </w:tcPr>
          <w:p w:rsidR="00AF0FDB" w:rsidRPr="002C4F7C" w:rsidRDefault="00AF0FDB" w:rsidP="002C4F7C">
            <w:pPr>
              <w:spacing w:after="0"/>
              <w:rPr>
                <w:b/>
                <w:bCs/>
                <w:sz w:val="20"/>
                <w:szCs w:val="20"/>
              </w:rPr>
            </w:pPr>
            <w:r w:rsidRPr="002C4F7C">
              <w:rPr>
                <w:sz w:val="20"/>
                <w:szCs w:val="20"/>
              </w:rPr>
              <w:t>Ogólna liczba ognisk</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30</w:t>
            </w:r>
          </w:p>
        </w:tc>
        <w:tc>
          <w:tcPr>
            <w:tcW w:w="2171" w:type="dxa"/>
            <w:shd w:val="clear" w:color="auto" w:fill="E8E8E8"/>
          </w:tcPr>
          <w:p w:rsidR="00AF0FDB" w:rsidRPr="002C4F7C" w:rsidRDefault="00AF0FDB" w:rsidP="002C4F7C">
            <w:pPr>
              <w:spacing w:after="0"/>
              <w:jc w:val="center"/>
              <w:rPr>
                <w:b/>
                <w:bCs/>
                <w:sz w:val="22"/>
                <w:szCs w:val="22"/>
              </w:rPr>
            </w:pPr>
            <w:r w:rsidRPr="002C4F7C">
              <w:rPr>
                <w:b/>
                <w:bCs/>
                <w:sz w:val="22"/>
                <w:szCs w:val="22"/>
              </w:rPr>
              <w:t>22</w:t>
            </w:r>
          </w:p>
        </w:tc>
      </w:tr>
      <w:tr w:rsidR="00AF0FDB" w:rsidRPr="002E4C65">
        <w:tc>
          <w:tcPr>
            <w:tcW w:w="5983" w:type="dxa"/>
          </w:tcPr>
          <w:p w:rsidR="00AF0FDB" w:rsidRPr="002C4F7C" w:rsidRDefault="00AF0FDB" w:rsidP="002C4F7C">
            <w:pPr>
              <w:spacing w:after="0"/>
              <w:rPr>
                <w:b/>
                <w:bCs/>
                <w:sz w:val="20"/>
                <w:szCs w:val="20"/>
              </w:rPr>
            </w:pPr>
            <w:r w:rsidRPr="002C4F7C">
              <w:rPr>
                <w:sz w:val="20"/>
                <w:szCs w:val="20"/>
              </w:rPr>
              <w:t>Liczba ognisk w oddziałach zabiegowych</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7</w:t>
            </w:r>
          </w:p>
        </w:tc>
        <w:tc>
          <w:tcPr>
            <w:tcW w:w="2171" w:type="dxa"/>
          </w:tcPr>
          <w:p w:rsidR="00AF0FDB" w:rsidRPr="002C4F7C" w:rsidRDefault="00AF0FDB" w:rsidP="002C4F7C">
            <w:pPr>
              <w:spacing w:after="0"/>
              <w:jc w:val="center"/>
              <w:rPr>
                <w:b/>
                <w:bCs/>
                <w:sz w:val="22"/>
                <w:szCs w:val="22"/>
              </w:rPr>
            </w:pPr>
            <w:r w:rsidRPr="002C4F7C">
              <w:rPr>
                <w:b/>
                <w:bCs/>
                <w:sz w:val="22"/>
                <w:szCs w:val="22"/>
              </w:rPr>
              <w:t>6</w:t>
            </w:r>
          </w:p>
        </w:tc>
      </w:tr>
      <w:tr w:rsidR="00AF0FDB" w:rsidRPr="002E4C65">
        <w:tc>
          <w:tcPr>
            <w:tcW w:w="5983" w:type="dxa"/>
            <w:shd w:val="clear" w:color="auto" w:fill="E8E8E8"/>
          </w:tcPr>
          <w:p w:rsidR="00AF0FDB" w:rsidRPr="002C4F7C" w:rsidRDefault="00AF0FDB" w:rsidP="002C4F7C">
            <w:pPr>
              <w:spacing w:after="0"/>
              <w:rPr>
                <w:b/>
                <w:bCs/>
                <w:sz w:val="20"/>
                <w:szCs w:val="20"/>
              </w:rPr>
            </w:pPr>
            <w:r w:rsidRPr="002C4F7C">
              <w:rPr>
                <w:sz w:val="20"/>
                <w:szCs w:val="20"/>
              </w:rPr>
              <w:t>Liczba ognisk w oddziałach niezabiegowych</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12</w:t>
            </w:r>
          </w:p>
        </w:tc>
        <w:tc>
          <w:tcPr>
            <w:tcW w:w="2171" w:type="dxa"/>
            <w:shd w:val="clear" w:color="auto" w:fill="E8E8E8"/>
          </w:tcPr>
          <w:p w:rsidR="00AF0FDB" w:rsidRPr="002C4F7C" w:rsidRDefault="00AF0FDB" w:rsidP="002C4F7C">
            <w:pPr>
              <w:spacing w:after="0"/>
              <w:jc w:val="center"/>
              <w:rPr>
                <w:b/>
                <w:bCs/>
                <w:sz w:val="22"/>
                <w:szCs w:val="22"/>
              </w:rPr>
            </w:pPr>
            <w:r w:rsidRPr="002C4F7C">
              <w:rPr>
                <w:b/>
                <w:bCs/>
                <w:sz w:val="22"/>
                <w:szCs w:val="22"/>
              </w:rPr>
              <w:t>14</w:t>
            </w:r>
          </w:p>
        </w:tc>
      </w:tr>
      <w:tr w:rsidR="00AF0FDB" w:rsidRPr="002E4C65">
        <w:tc>
          <w:tcPr>
            <w:tcW w:w="5983" w:type="dxa"/>
          </w:tcPr>
          <w:p w:rsidR="00AF0FDB" w:rsidRPr="002C4F7C" w:rsidRDefault="00AF0FDB" w:rsidP="002C4F7C">
            <w:pPr>
              <w:spacing w:after="0"/>
              <w:rPr>
                <w:b/>
                <w:bCs/>
                <w:sz w:val="20"/>
                <w:szCs w:val="20"/>
              </w:rPr>
            </w:pPr>
            <w:r w:rsidRPr="002C4F7C">
              <w:rPr>
                <w:sz w:val="20"/>
                <w:szCs w:val="20"/>
              </w:rPr>
              <w:t xml:space="preserve">Liczba ognisk w oddziałach intensywnej opieki </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10</w:t>
            </w:r>
          </w:p>
        </w:tc>
        <w:tc>
          <w:tcPr>
            <w:tcW w:w="2171" w:type="dxa"/>
          </w:tcPr>
          <w:p w:rsidR="00AF0FDB" w:rsidRPr="002C4F7C" w:rsidRDefault="00AF0FDB" w:rsidP="002C4F7C">
            <w:pPr>
              <w:spacing w:after="0"/>
              <w:jc w:val="center"/>
              <w:rPr>
                <w:b/>
                <w:bCs/>
                <w:sz w:val="22"/>
                <w:szCs w:val="22"/>
              </w:rPr>
            </w:pPr>
            <w:r w:rsidRPr="002C4F7C">
              <w:rPr>
                <w:b/>
                <w:bCs/>
                <w:sz w:val="22"/>
                <w:szCs w:val="22"/>
              </w:rPr>
              <w:t>2</w:t>
            </w:r>
          </w:p>
        </w:tc>
      </w:tr>
      <w:tr w:rsidR="00AF0FDB" w:rsidRPr="002E4C65">
        <w:tc>
          <w:tcPr>
            <w:tcW w:w="5983" w:type="dxa"/>
            <w:shd w:val="clear" w:color="auto" w:fill="E8E8E8"/>
          </w:tcPr>
          <w:p w:rsidR="00AF0FDB" w:rsidRPr="002C4F7C" w:rsidRDefault="00AF0FDB" w:rsidP="002C4F7C">
            <w:pPr>
              <w:spacing w:after="0"/>
              <w:rPr>
                <w:b/>
                <w:bCs/>
                <w:sz w:val="20"/>
                <w:szCs w:val="20"/>
              </w:rPr>
            </w:pPr>
            <w:r w:rsidRPr="002C4F7C">
              <w:rPr>
                <w:sz w:val="20"/>
                <w:szCs w:val="20"/>
              </w:rPr>
              <w:t>Liczba ognisk w oddziałach dziecięcych</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1</w:t>
            </w:r>
          </w:p>
        </w:tc>
        <w:tc>
          <w:tcPr>
            <w:tcW w:w="2171" w:type="dxa"/>
            <w:shd w:val="clear" w:color="auto" w:fill="E8E8E8"/>
          </w:tcPr>
          <w:p w:rsidR="00AF0FDB" w:rsidRPr="002C4F7C" w:rsidRDefault="00AF0FDB" w:rsidP="002C4F7C">
            <w:pPr>
              <w:spacing w:after="0"/>
              <w:jc w:val="center"/>
              <w:rPr>
                <w:b/>
                <w:bCs/>
                <w:sz w:val="22"/>
                <w:szCs w:val="22"/>
              </w:rPr>
            </w:pPr>
            <w:r w:rsidRPr="002C4F7C">
              <w:rPr>
                <w:b/>
                <w:bCs/>
                <w:sz w:val="22"/>
                <w:szCs w:val="22"/>
              </w:rPr>
              <w:t>7</w:t>
            </w:r>
          </w:p>
        </w:tc>
      </w:tr>
      <w:tr w:rsidR="00AF0FDB" w:rsidRPr="002E4C65">
        <w:tc>
          <w:tcPr>
            <w:tcW w:w="5983" w:type="dxa"/>
          </w:tcPr>
          <w:p w:rsidR="00AF0FDB" w:rsidRPr="002C4F7C" w:rsidRDefault="00AF0FDB" w:rsidP="002C4F7C">
            <w:pPr>
              <w:spacing w:after="0"/>
              <w:rPr>
                <w:b/>
                <w:bCs/>
                <w:sz w:val="20"/>
                <w:szCs w:val="20"/>
              </w:rPr>
            </w:pPr>
            <w:r w:rsidRPr="002C4F7C">
              <w:rPr>
                <w:sz w:val="20"/>
                <w:szCs w:val="20"/>
              </w:rPr>
              <w:t>Liczba osób objętych ogniskiem (w tym liczba osób z personelu)</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155(29)</w:t>
            </w:r>
          </w:p>
        </w:tc>
        <w:tc>
          <w:tcPr>
            <w:tcW w:w="2171" w:type="dxa"/>
          </w:tcPr>
          <w:p w:rsidR="00AF0FDB" w:rsidRPr="002C4F7C" w:rsidRDefault="00AF0FDB" w:rsidP="002C4F7C">
            <w:pPr>
              <w:spacing w:after="0"/>
              <w:jc w:val="center"/>
              <w:rPr>
                <w:b/>
                <w:bCs/>
                <w:sz w:val="22"/>
                <w:szCs w:val="22"/>
              </w:rPr>
            </w:pPr>
            <w:r w:rsidRPr="002C4F7C">
              <w:rPr>
                <w:b/>
                <w:bCs/>
                <w:sz w:val="22"/>
                <w:szCs w:val="22"/>
              </w:rPr>
              <w:t>120(7)</w:t>
            </w:r>
          </w:p>
        </w:tc>
      </w:tr>
      <w:tr w:rsidR="00AF0FDB" w:rsidRPr="002E4C65">
        <w:tc>
          <w:tcPr>
            <w:tcW w:w="5983" w:type="dxa"/>
            <w:shd w:val="clear" w:color="auto" w:fill="E8E8E8"/>
          </w:tcPr>
          <w:p w:rsidR="00AF0FDB" w:rsidRPr="002C4F7C" w:rsidRDefault="00AF0FDB" w:rsidP="002C4F7C">
            <w:pPr>
              <w:spacing w:after="0"/>
              <w:rPr>
                <w:b/>
                <w:bCs/>
                <w:sz w:val="20"/>
                <w:szCs w:val="20"/>
              </w:rPr>
            </w:pPr>
            <w:r w:rsidRPr="002C4F7C">
              <w:rPr>
                <w:sz w:val="20"/>
                <w:szCs w:val="20"/>
              </w:rPr>
              <w:t>Liczba osób z ogniska, u których potwierdzono czynnik biol. badaniami laboratoryjnymi (%)</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95(61,3%)</w:t>
            </w:r>
          </w:p>
        </w:tc>
        <w:tc>
          <w:tcPr>
            <w:tcW w:w="2171" w:type="dxa"/>
            <w:shd w:val="clear" w:color="auto" w:fill="E8E8E8"/>
          </w:tcPr>
          <w:p w:rsidR="00AF0FDB" w:rsidRPr="002C4F7C" w:rsidRDefault="00AF0FDB" w:rsidP="002C4F7C">
            <w:pPr>
              <w:spacing w:after="0"/>
              <w:jc w:val="center"/>
              <w:rPr>
                <w:b/>
                <w:bCs/>
                <w:sz w:val="22"/>
                <w:szCs w:val="22"/>
              </w:rPr>
            </w:pPr>
            <w:r w:rsidRPr="002C4F7C">
              <w:rPr>
                <w:b/>
                <w:bCs/>
                <w:sz w:val="22"/>
                <w:szCs w:val="22"/>
              </w:rPr>
              <w:t>104(86,7%)</w:t>
            </w:r>
          </w:p>
        </w:tc>
      </w:tr>
      <w:tr w:rsidR="00AF0FDB" w:rsidRPr="002E4C65">
        <w:tc>
          <w:tcPr>
            <w:tcW w:w="5983" w:type="dxa"/>
          </w:tcPr>
          <w:p w:rsidR="00AF0FDB" w:rsidRPr="002C4F7C" w:rsidRDefault="00AF0FDB" w:rsidP="002C4F7C">
            <w:pPr>
              <w:spacing w:after="0"/>
              <w:rPr>
                <w:b/>
                <w:bCs/>
                <w:sz w:val="20"/>
                <w:szCs w:val="20"/>
              </w:rPr>
            </w:pPr>
            <w:r w:rsidRPr="002C4F7C">
              <w:rPr>
                <w:sz w:val="20"/>
                <w:szCs w:val="20"/>
              </w:rPr>
              <w:t>Liczba ognisk o etiologii bakteryjnej</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20(66,7%)</w:t>
            </w:r>
          </w:p>
        </w:tc>
        <w:tc>
          <w:tcPr>
            <w:tcW w:w="2171" w:type="dxa"/>
          </w:tcPr>
          <w:p w:rsidR="00AF0FDB" w:rsidRPr="002C4F7C" w:rsidRDefault="00AF0FDB" w:rsidP="002C4F7C">
            <w:pPr>
              <w:spacing w:after="0"/>
              <w:jc w:val="center"/>
              <w:rPr>
                <w:b/>
                <w:bCs/>
                <w:sz w:val="22"/>
                <w:szCs w:val="22"/>
              </w:rPr>
            </w:pPr>
            <w:r w:rsidRPr="002C4F7C">
              <w:rPr>
                <w:b/>
                <w:bCs/>
                <w:sz w:val="22"/>
                <w:szCs w:val="22"/>
              </w:rPr>
              <w:t>9(40,9%)</w:t>
            </w:r>
          </w:p>
        </w:tc>
      </w:tr>
      <w:tr w:rsidR="00AF0FDB" w:rsidRPr="002E4C65">
        <w:tc>
          <w:tcPr>
            <w:tcW w:w="5983" w:type="dxa"/>
            <w:shd w:val="clear" w:color="auto" w:fill="E8E8E8"/>
          </w:tcPr>
          <w:p w:rsidR="00AF0FDB" w:rsidRPr="002C4F7C" w:rsidRDefault="00AF0FDB" w:rsidP="002C4F7C">
            <w:pPr>
              <w:spacing w:after="0"/>
              <w:rPr>
                <w:b/>
                <w:bCs/>
                <w:sz w:val="20"/>
                <w:szCs w:val="20"/>
              </w:rPr>
            </w:pPr>
            <w:r w:rsidRPr="002C4F7C">
              <w:rPr>
                <w:sz w:val="20"/>
                <w:szCs w:val="20"/>
              </w:rPr>
              <w:t>Liczba ognisk o etiologii wirusowej</w:t>
            </w:r>
          </w:p>
        </w:tc>
        <w:tc>
          <w:tcPr>
            <w:tcW w:w="1769" w:type="dxa"/>
            <w:shd w:val="clear" w:color="auto" w:fill="E8E8E8"/>
          </w:tcPr>
          <w:p w:rsidR="00AF0FDB" w:rsidRPr="002C4F7C" w:rsidRDefault="00AF0FDB" w:rsidP="002C4F7C">
            <w:pPr>
              <w:spacing w:after="0"/>
              <w:jc w:val="center"/>
              <w:rPr>
                <w:sz w:val="22"/>
                <w:szCs w:val="22"/>
              </w:rPr>
            </w:pPr>
            <w:r w:rsidRPr="002C4F7C">
              <w:rPr>
                <w:sz w:val="22"/>
                <w:szCs w:val="22"/>
              </w:rPr>
              <w:t>9(30%)</w:t>
            </w:r>
          </w:p>
        </w:tc>
        <w:tc>
          <w:tcPr>
            <w:tcW w:w="2171" w:type="dxa"/>
            <w:shd w:val="clear" w:color="auto" w:fill="E8E8E8"/>
          </w:tcPr>
          <w:p w:rsidR="00AF0FDB" w:rsidRPr="002C4F7C" w:rsidRDefault="00AF0FDB" w:rsidP="002C4F7C">
            <w:pPr>
              <w:spacing w:after="0"/>
              <w:jc w:val="center"/>
              <w:rPr>
                <w:b/>
                <w:bCs/>
                <w:sz w:val="22"/>
                <w:szCs w:val="22"/>
              </w:rPr>
            </w:pPr>
            <w:r w:rsidRPr="002C4F7C">
              <w:rPr>
                <w:b/>
                <w:bCs/>
                <w:sz w:val="22"/>
                <w:szCs w:val="22"/>
              </w:rPr>
              <w:t>13(59,1%)</w:t>
            </w:r>
          </w:p>
        </w:tc>
      </w:tr>
      <w:tr w:rsidR="00AF0FDB" w:rsidRPr="002E4C65">
        <w:tc>
          <w:tcPr>
            <w:tcW w:w="5983" w:type="dxa"/>
            <w:tcBorders>
              <w:top w:val="double" w:sz="6" w:space="0" w:color="A5A5A5"/>
            </w:tcBorders>
          </w:tcPr>
          <w:p w:rsidR="00AF0FDB" w:rsidRPr="002C4F7C" w:rsidRDefault="00AF0FDB" w:rsidP="002C4F7C">
            <w:pPr>
              <w:spacing w:after="0"/>
              <w:jc w:val="center"/>
              <w:rPr>
                <w:b/>
                <w:bCs/>
                <w:sz w:val="20"/>
                <w:szCs w:val="20"/>
              </w:rPr>
            </w:pPr>
            <w:r w:rsidRPr="002C4F7C">
              <w:rPr>
                <w:b/>
                <w:bCs/>
                <w:sz w:val="20"/>
                <w:szCs w:val="20"/>
              </w:rPr>
              <w:t>Liczba ognisk o etiologii pasożytniczej</w:t>
            </w:r>
          </w:p>
        </w:tc>
        <w:tc>
          <w:tcPr>
            <w:tcW w:w="1769" w:type="dxa"/>
            <w:tcBorders>
              <w:top w:val="double" w:sz="6" w:space="0" w:color="A5A5A5"/>
            </w:tcBorders>
            <w:shd w:val="clear" w:color="auto" w:fill="E8E8E8"/>
          </w:tcPr>
          <w:p w:rsidR="00AF0FDB" w:rsidRPr="002C4F7C" w:rsidRDefault="00AF0FDB" w:rsidP="002C4F7C">
            <w:pPr>
              <w:spacing w:after="0"/>
              <w:jc w:val="center"/>
              <w:rPr>
                <w:b/>
                <w:bCs/>
                <w:sz w:val="22"/>
                <w:szCs w:val="22"/>
              </w:rPr>
            </w:pPr>
            <w:r w:rsidRPr="002C4F7C">
              <w:rPr>
                <w:b/>
                <w:bCs/>
                <w:sz w:val="22"/>
                <w:szCs w:val="22"/>
              </w:rPr>
              <w:t>1(3,3%)</w:t>
            </w:r>
          </w:p>
        </w:tc>
        <w:tc>
          <w:tcPr>
            <w:tcW w:w="2171" w:type="dxa"/>
            <w:tcBorders>
              <w:top w:val="double" w:sz="6" w:space="0" w:color="A5A5A5"/>
            </w:tcBorders>
          </w:tcPr>
          <w:p w:rsidR="00AF0FDB" w:rsidRPr="002C4F7C" w:rsidRDefault="00AF0FDB" w:rsidP="002C4F7C">
            <w:pPr>
              <w:spacing w:after="0"/>
              <w:jc w:val="center"/>
              <w:rPr>
                <w:b/>
                <w:bCs/>
                <w:sz w:val="22"/>
                <w:szCs w:val="22"/>
              </w:rPr>
            </w:pPr>
            <w:r w:rsidRPr="002C4F7C">
              <w:rPr>
                <w:b/>
                <w:bCs/>
                <w:sz w:val="22"/>
                <w:szCs w:val="22"/>
              </w:rPr>
              <w:t>-</w:t>
            </w:r>
          </w:p>
        </w:tc>
      </w:tr>
    </w:tbl>
    <w:p w:rsidR="00AF0FDB" w:rsidRPr="002E4C65" w:rsidRDefault="00AF0FDB" w:rsidP="00C136FC">
      <w:pPr>
        <w:spacing w:after="0"/>
        <w:jc w:val="both"/>
      </w:pPr>
      <w:r w:rsidRPr="002E4C65">
        <w:t>W 2018 roku wśród zdiagnozowanych patogenów wywołujących ogniska epidemiczne najliczniejszą grupę stanowiły ogniska o etiologii wirusowej, odnotowano 13 ognisk epidemicznych, w roku poprzednim zaś największą grupę stanowiły ogniska o etiologii bakteryjnej (20). W 2018 roku czynnik bakteryjny był przyczyną 9 ognisk epidemicznych, co stanowi 40,9% wszystkich zgłoszonych ognisk. W 2018 roku nie zgłoszono ognisk o etiologii pasożytniczej, które w poprzednim roku stanowiły 3,3% wszystkich zarejestrowanych ognisk. Zarówn</w:t>
      </w:r>
      <w:r>
        <w:t>o w roku 2018, jak i w 2017</w:t>
      </w:r>
      <w:r w:rsidRPr="002E4C65">
        <w:t xml:space="preserve"> do Powiatowej Państwowej Stacji Sanitarno-Epidemiologicznej w Poznaniu nie zgłoszono żadnych przypadków wystąpienia ogniska epidemicznego o etiologii grzybiczej. </w:t>
      </w:r>
    </w:p>
    <w:p w:rsidR="00AF0FDB" w:rsidRPr="002E4C65" w:rsidRDefault="00AF0FDB" w:rsidP="00F13322">
      <w:pPr>
        <w:spacing w:after="0"/>
        <w:jc w:val="both"/>
      </w:pPr>
      <w:r w:rsidRPr="002E4C65">
        <w:t>W 2018 roku zgłoszono:</w:t>
      </w:r>
    </w:p>
    <w:p w:rsidR="00AF0FDB" w:rsidRPr="002E4C65" w:rsidRDefault="00AF0FDB" w:rsidP="00DE0EFA">
      <w:pPr>
        <w:numPr>
          <w:ilvl w:val="0"/>
          <w:numId w:val="36"/>
        </w:numPr>
        <w:spacing w:before="0" w:after="0"/>
        <w:jc w:val="both"/>
      </w:pPr>
      <w:r w:rsidRPr="002E4C65">
        <w:t>14 ognisk z oddziałów niezabiegowych (w 2017 roku – 12 ognisk).</w:t>
      </w:r>
    </w:p>
    <w:p w:rsidR="00AF0FDB" w:rsidRPr="002E4C65" w:rsidRDefault="00AF0FDB" w:rsidP="00DE0EFA">
      <w:pPr>
        <w:numPr>
          <w:ilvl w:val="0"/>
          <w:numId w:val="36"/>
        </w:numPr>
        <w:spacing w:before="0" w:after="0"/>
        <w:jc w:val="both"/>
      </w:pPr>
      <w:r w:rsidRPr="002E4C65">
        <w:t>6 ognisk z oddziałów zabiegowych (w 2017 roku – 7 ognisk),</w:t>
      </w:r>
    </w:p>
    <w:p w:rsidR="00AF0FDB" w:rsidRPr="002E4C65" w:rsidRDefault="00AF0FDB" w:rsidP="00DE0EFA">
      <w:pPr>
        <w:numPr>
          <w:ilvl w:val="0"/>
          <w:numId w:val="36"/>
        </w:numPr>
        <w:spacing w:before="0" w:after="0"/>
        <w:jc w:val="both"/>
      </w:pPr>
      <w:r w:rsidRPr="002E4C65">
        <w:t>2 ogniska z oddziałów intensywnej opieki medycznej (kardiologicznej) - (w 2017 roku – 10 ognisk z oddziałów intensywnej opieki medycznej).</w:t>
      </w:r>
    </w:p>
    <w:p w:rsidR="00AF0FDB" w:rsidRPr="00050A5D" w:rsidRDefault="00AF0FDB" w:rsidP="00050A5D">
      <w:pPr>
        <w:spacing w:after="0"/>
        <w:jc w:val="both"/>
      </w:pPr>
      <w:r w:rsidRPr="002E4C65">
        <w:t>W 2018 roku podjęto czynności kontrolne w 5 przypadkach zgłoszeń przez podmioty lecznicze wystąpienia ognisk epidemicznych. Kontrolą objęto m.in. wyniki prowadzonego dochodzenia epidemiologicznego, podjęte działania przez Zespół Kontroli Zakażeń Szpitalnych mające na celu wygaszenie ogniska epidemicznego oraz wdrożenie i realizację procedur zapobiegających zakażeniom i chorobom zakaźnym. Ponadto, w przebiegu kontroli prowadzono dochodzenia epidemiologiczne na podstawie indywidualnej dokumentacji medycznej pacjentów zakwalifikowanych do ogniska epidemicznego oraz osób z kontaktu z pacjentami z rozpoznanym zakażeniem lub kolonizacją. W wyniku przeprowadzonych kontroli</w:t>
      </w:r>
      <w:r w:rsidRPr="002E4C65">
        <w:rPr>
          <w:color w:val="2F5496"/>
        </w:rPr>
        <w:t xml:space="preserve"> </w:t>
      </w:r>
      <w:r w:rsidRPr="002E4C65">
        <w:t>nie wydano zaleceń pokontrolnych.</w:t>
      </w:r>
      <w:r w:rsidRPr="002E4C65">
        <w:rPr>
          <w:color w:val="2F5496"/>
        </w:rPr>
        <w:t xml:space="preserve"> </w:t>
      </w:r>
      <w:r w:rsidRPr="002E4C65">
        <w:t>W placówkach, w których w 2018 roku wystąpiły ogniska epidemiczne stwierdzono powołanie przez Dyrektorów szpitali Zespołów Kontroli Zakażeń Szpitalnych o składzie i kwalifikacjach zgodnych z obowiązującymi przepisami prawa. Wszystkie ogniska epidemiczne zgłoszone zostały do Powiatowej Państwowej Stacji Sanitarno-Epidemiologicznej w Poznaniu zgodnie z obowiązującym wzorem „</w:t>
      </w:r>
      <w:r>
        <w:rPr>
          <w:i/>
          <w:iCs/>
        </w:rPr>
        <w:t>Raportu</w:t>
      </w:r>
      <w:r w:rsidRPr="002E4C65">
        <w:rPr>
          <w:i/>
          <w:iCs/>
        </w:rPr>
        <w:t xml:space="preserve"> wstępnego o podejrzeniu lub rozpoznaniu ogniska epidemicznego</w:t>
      </w:r>
      <w:r w:rsidRPr="002E4C65">
        <w:t>”. We wszystkich przypadkach zgłoszonych ognisk epidemicznych do końca 2018 roku Zespoły Kontroli Zakażeń Szpitalnych zakończyły działania podjęte na okoliczność wystąpienia ognisk epidemicznych oraz przesłały do Powiatowej Państwowej Stacji Sanitarno-Epidemiologicznej w Poznaniu „</w:t>
      </w:r>
      <w:r w:rsidRPr="002E4C65">
        <w:rPr>
          <w:i/>
          <w:iCs/>
        </w:rPr>
        <w:t>Raporty końcowe o wygaszeniu ogniska epidemicznego</w:t>
      </w:r>
      <w:r w:rsidRPr="002E4C65">
        <w:t>”.</w:t>
      </w:r>
    </w:p>
    <w:p w:rsidR="00AF0FDB" w:rsidRPr="00F25CAA" w:rsidRDefault="00AF0FDB" w:rsidP="00F25CAA">
      <w:pPr>
        <w:pStyle w:val="Heading1"/>
        <w:rPr>
          <w:rFonts w:ascii="Times New Roman" w:hAnsi="Times New Roman" w:cs="Times New Roman"/>
          <w:sz w:val="24"/>
          <w:szCs w:val="24"/>
          <w:lang w:eastAsia="ar-SA"/>
        </w:rPr>
      </w:pPr>
      <w:bookmarkStart w:id="337" w:name="_Toc938872"/>
      <w:r w:rsidRPr="001C2774">
        <w:rPr>
          <w:rFonts w:ascii="Times New Roman" w:hAnsi="Times New Roman" w:cs="Times New Roman"/>
          <w:sz w:val="24"/>
          <w:szCs w:val="24"/>
          <w:lang w:eastAsia="ar-SA"/>
        </w:rPr>
        <w:t xml:space="preserve">Sytuacja epidemiologiczna na terenie miasta Poznania – w związku </w:t>
      </w:r>
      <w:r w:rsidRPr="001C2774">
        <w:rPr>
          <w:rFonts w:ascii="Times New Roman" w:hAnsi="Times New Roman" w:cs="Times New Roman"/>
          <w:sz w:val="24"/>
          <w:szCs w:val="24"/>
          <w:lang w:eastAsia="ar-SA"/>
        </w:rPr>
        <w:br/>
        <w:t xml:space="preserve">z rozprzestrzenianiem się wieloopornych szczepów </w:t>
      </w:r>
      <w:r w:rsidRPr="001C2774">
        <w:rPr>
          <w:rFonts w:ascii="Times New Roman" w:hAnsi="Times New Roman" w:cs="Times New Roman"/>
          <w:i/>
          <w:iCs/>
          <w:sz w:val="24"/>
          <w:szCs w:val="24"/>
          <w:lang w:eastAsia="ar-SA"/>
        </w:rPr>
        <w:t>Enterobacteriaceae</w:t>
      </w:r>
      <w:r w:rsidRPr="001C2774">
        <w:rPr>
          <w:rFonts w:ascii="Times New Roman" w:hAnsi="Times New Roman" w:cs="Times New Roman"/>
          <w:sz w:val="24"/>
          <w:szCs w:val="24"/>
          <w:lang w:eastAsia="ar-SA"/>
        </w:rPr>
        <w:t xml:space="preserve"> produkujących karbapenemazy</w:t>
      </w:r>
      <w:bookmarkEnd w:id="337"/>
      <w:r w:rsidRPr="001C2774">
        <w:rPr>
          <w:rFonts w:ascii="Times New Roman" w:hAnsi="Times New Roman" w:cs="Times New Roman"/>
          <w:sz w:val="24"/>
          <w:szCs w:val="24"/>
          <w:lang w:eastAsia="ar-SA"/>
        </w:rPr>
        <w:t xml:space="preserve"> </w:t>
      </w:r>
    </w:p>
    <w:p w:rsidR="00AF0FDB" w:rsidRDefault="00AF0FDB" w:rsidP="00F25CAA">
      <w:pPr>
        <w:tabs>
          <w:tab w:val="left" w:pos="360"/>
        </w:tabs>
        <w:spacing w:after="0"/>
        <w:jc w:val="both"/>
        <w:rPr>
          <w:lang w:eastAsia="ar-SA"/>
        </w:rPr>
      </w:pPr>
      <w:r w:rsidRPr="002E4C65">
        <w:t xml:space="preserve">Od 2013 roku na terenie Wielkopolski odnotowano niepokojące zjawisko, jakim jest zwiększenie ilości wieloopornych szczepów bakteryjnych wytwarzających karbapenemazy. Zidentyfikowanie drobnoustrojów opornych na większość dostępnych antybiotyków stanowi poważne zagrożenie dla zdrowia publicznego. Państwowy Powiatowy Inspektor Sanitarny w Poznaniu prowadzi rejestr pacjentów, u których uzyskano dodatni wynik w kierunku </w:t>
      </w:r>
      <w:r w:rsidRPr="002E4C65">
        <w:rPr>
          <w:i/>
          <w:iCs/>
        </w:rPr>
        <w:t>Klebsiella pneumoniae</w:t>
      </w:r>
      <w:r w:rsidRPr="002E4C65">
        <w:t xml:space="preserve"> produkujących karbapenemazy oraz innych drobnoustrojów z rodziny </w:t>
      </w:r>
      <w:r w:rsidRPr="002E4C65">
        <w:rPr>
          <w:i/>
          <w:iCs/>
        </w:rPr>
        <w:t>Enterobacteriaceae</w:t>
      </w:r>
      <w:r w:rsidRPr="002E4C65">
        <w:t xml:space="preserve">, zgłoszonych przez nadzorowane podmioty lecznicze. W ramach monitorowania sytuacji epidemiologicznej szpitali na terenie miasta Poznania w 2018 roku zarejestrowano 18 przypadków wyhodowania </w:t>
      </w:r>
      <w:bookmarkStart w:id="338" w:name="_Hlk518899"/>
      <w:r w:rsidRPr="002E4C65">
        <w:rPr>
          <w:i/>
          <w:iCs/>
        </w:rPr>
        <w:t xml:space="preserve">Klebsiella pneumoniae </w:t>
      </w:r>
      <w:bookmarkEnd w:id="338"/>
      <w:r w:rsidRPr="002E4C65">
        <w:t xml:space="preserve">produkujących karbapenemazy, w tym 17 MBL typu NDM oraz 1 KPC. Oprócz wspomnianych szczepów bakterii, w roku sprawozdawczym odnotowano 8 przypadków izolatów innych pałeczek należących do rodziny </w:t>
      </w:r>
      <w:r w:rsidRPr="002E4C65">
        <w:rPr>
          <w:i/>
          <w:iCs/>
        </w:rPr>
        <w:t>Enterobacteriaceae</w:t>
      </w:r>
      <w:r w:rsidRPr="002E4C65">
        <w:t xml:space="preserve">, tj.: </w:t>
      </w:r>
      <w:r w:rsidRPr="002E4C65">
        <w:rPr>
          <w:i/>
          <w:iCs/>
        </w:rPr>
        <w:t>Escherichia coli</w:t>
      </w:r>
      <w:r w:rsidRPr="002E4C65">
        <w:t xml:space="preserve"> MBL-NDM (3 przypadki), </w:t>
      </w:r>
      <w:r w:rsidRPr="002E4C65">
        <w:rPr>
          <w:i/>
          <w:iCs/>
        </w:rPr>
        <w:t>Enterobacter cloacae</w:t>
      </w:r>
      <w:r w:rsidRPr="002E4C65">
        <w:t xml:space="preserve"> MBL (2 przypadki), </w:t>
      </w:r>
      <w:r w:rsidRPr="002E4C65">
        <w:rPr>
          <w:i/>
          <w:iCs/>
        </w:rPr>
        <w:t>Citrobacter freundii</w:t>
      </w:r>
      <w:r w:rsidRPr="002E4C65">
        <w:t xml:space="preserve">  MBL typu VIM oraz MBL </w:t>
      </w:r>
      <w:bookmarkStart w:id="339" w:name="_Hlk424254"/>
      <w:r w:rsidRPr="002E4C65">
        <w:br/>
        <w:t>(2 przypadki)</w:t>
      </w:r>
      <w:bookmarkEnd w:id="339"/>
      <w:r w:rsidRPr="002E4C65">
        <w:t xml:space="preserve"> oraz </w:t>
      </w:r>
      <w:r w:rsidRPr="002E4C65">
        <w:rPr>
          <w:i/>
          <w:iCs/>
        </w:rPr>
        <w:t>Citrobacter braakii</w:t>
      </w:r>
      <w:r w:rsidRPr="002E4C65">
        <w:t xml:space="preserve"> MBL typu NDM (1 przypadek). Spośród wszystkich 26 przypadków zakażeń/nosicielstwa drobnoustrojami wytwarzającymi karbapenemazy, 14 zakwalifikowano do 1 ogniska epidemicznego, natomiast pozostałych 12 zakwalifikowano jako pojedyncze zakażenia niezwiązane z ogniskami zakażeń szpitalnych. Jako główny czynnik ryzyka zakażenia wśród zarejestrowanych pacjentów w 2018 roku należy wskazać wielokrotną hospitalizację pacjentów w różnych placówkach lub zmiany oddziałów w tej samej placówce. Inne stwierdzone czynniki ryzyka dotyczyły hospitalizacji w oddziałach anestezjologii i intensywnej terapii, wykonywania inwazyjnych procedur medycznych oraz prowadzenia przewlekłej antybiotykoterapii. Najwięcej zarejestrowanych w 2018 roku przypadków zakażeń przebiegało pod postacią nosicielstwa (92,3%), pozostałe były objawowymi zakażeniami (7,7%). </w:t>
      </w:r>
      <w:r w:rsidRPr="002E4C65">
        <w:rPr>
          <w:lang w:eastAsia="ar-SA"/>
        </w:rPr>
        <w:t xml:space="preserve">Według prowadzonych dochodzeń epidemiologicznych w szpitalach wyżej opisane przypadki zakażeń/nosicielstwa </w:t>
      </w:r>
      <w:r w:rsidRPr="002E4C65">
        <w:rPr>
          <w:i/>
          <w:iCs/>
          <w:lang w:eastAsia="ar-SA"/>
        </w:rPr>
        <w:t>Klebsiella pneumoniae</w:t>
      </w:r>
      <w:r w:rsidRPr="002E4C65">
        <w:rPr>
          <w:lang w:eastAsia="ar-SA"/>
        </w:rPr>
        <w:t xml:space="preserve"> produkujących karbapenemazy występowały u większości pacjentów obciążonych wieloma czynnikami ryzyka oraz u osób z historią hospitalizacji. </w:t>
      </w:r>
    </w:p>
    <w:p w:rsidR="00AF0FDB" w:rsidRDefault="00AF0FDB" w:rsidP="00050A5D">
      <w:pPr>
        <w:tabs>
          <w:tab w:val="left" w:pos="360"/>
        </w:tabs>
        <w:spacing w:before="0" w:after="0"/>
        <w:jc w:val="both"/>
        <w:rPr>
          <w:lang w:eastAsia="ar-SA"/>
        </w:rPr>
      </w:pPr>
    </w:p>
    <w:p w:rsidR="00AF0FDB" w:rsidRDefault="00AF0FDB" w:rsidP="00050A5D">
      <w:pPr>
        <w:tabs>
          <w:tab w:val="left" w:pos="360"/>
        </w:tabs>
        <w:spacing w:before="0" w:after="0"/>
        <w:jc w:val="both"/>
        <w:rPr>
          <w:lang w:eastAsia="ar-SA"/>
        </w:rPr>
      </w:pPr>
    </w:p>
    <w:p w:rsidR="00AF0FDB" w:rsidRDefault="00AF0FDB" w:rsidP="00050A5D">
      <w:pPr>
        <w:tabs>
          <w:tab w:val="left" w:pos="360"/>
        </w:tabs>
        <w:spacing w:before="0" w:after="0"/>
        <w:jc w:val="both"/>
        <w:rPr>
          <w:lang w:eastAsia="ar-SA"/>
        </w:rPr>
      </w:pPr>
      <w:r w:rsidRPr="002E4C65">
        <w:rPr>
          <w:lang w:eastAsia="ar-SA"/>
        </w:rPr>
        <w:t xml:space="preserve">Wiek pacjentów, u których stwierdzono obecność wieloopornych szczepów </w:t>
      </w:r>
      <w:r w:rsidRPr="002E4C65">
        <w:rPr>
          <w:i/>
          <w:iCs/>
        </w:rPr>
        <w:t>Klebsiella pneumoniae</w:t>
      </w:r>
      <w:r w:rsidRPr="002E4C65">
        <w:rPr>
          <w:lang w:eastAsia="ar-SA"/>
        </w:rPr>
        <w:t xml:space="preserve">: </w:t>
      </w:r>
    </w:p>
    <w:p w:rsidR="00AF0FDB" w:rsidRPr="002E4C65" w:rsidRDefault="00AF0FDB" w:rsidP="00050A5D">
      <w:pPr>
        <w:tabs>
          <w:tab w:val="left" w:pos="360"/>
        </w:tabs>
        <w:spacing w:before="0" w:after="0"/>
        <w:jc w:val="both"/>
      </w:pPr>
      <w:r w:rsidRPr="002E4C65">
        <w:rPr>
          <w:lang w:eastAsia="ar-SA"/>
        </w:rPr>
        <w:t>- przedział wiekowy 20-49 lat (4 przypadków, 22,2% ogółu przypadków)</w:t>
      </w:r>
      <w:r>
        <w:rPr>
          <w:lang w:eastAsia="ar-SA"/>
        </w:rPr>
        <w:t>,</w:t>
      </w:r>
    </w:p>
    <w:p w:rsidR="00AF0FDB" w:rsidRPr="002E4C65" w:rsidRDefault="00AF0FDB" w:rsidP="00050A5D">
      <w:pPr>
        <w:tabs>
          <w:tab w:val="left" w:pos="360"/>
        </w:tabs>
        <w:spacing w:before="0" w:after="0"/>
        <w:jc w:val="both"/>
      </w:pPr>
      <w:r w:rsidRPr="002E4C65">
        <w:rPr>
          <w:lang w:eastAsia="ar-SA"/>
        </w:rPr>
        <w:t xml:space="preserve">- przedział wiekowy 50-69 lat (7 </w:t>
      </w:r>
      <w:bookmarkStart w:id="340" w:name="_Hlk518682"/>
      <w:r w:rsidRPr="002E4C65">
        <w:rPr>
          <w:lang w:eastAsia="ar-SA"/>
        </w:rPr>
        <w:t>przypadków</w:t>
      </w:r>
      <w:bookmarkEnd w:id="340"/>
      <w:r w:rsidRPr="002E4C65">
        <w:rPr>
          <w:lang w:eastAsia="ar-SA"/>
        </w:rPr>
        <w:t>, 38,9% ogółu),</w:t>
      </w:r>
    </w:p>
    <w:p w:rsidR="00AF0FDB" w:rsidRPr="002E4C65" w:rsidRDefault="00AF0FDB" w:rsidP="00050A5D">
      <w:pPr>
        <w:tabs>
          <w:tab w:val="left" w:pos="360"/>
        </w:tabs>
        <w:suppressAutoHyphens/>
        <w:spacing w:before="0" w:after="0"/>
        <w:jc w:val="both"/>
        <w:rPr>
          <w:lang w:eastAsia="ar-SA"/>
        </w:rPr>
      </w:pPr>
      <w:r w:rsidRPr="002E4C65">
        <w:rPr>
          <w:lang w:eastAsia="ar-SA"/>
        </w:rPr>
        <w:t>- przedział wiekowy 70–91 lat (7 przy</w:t>
      </w:r>
      <w:r>
        <w:rPr>
          <w:lang w:eastAsia="ar-SA"/>
        </w:rPr>
        <w:t>padków, 38,9% ogółu przypadków).</w:t>
      </w:r>
      <w:r w:rsidRPr="002E4C65">
        <w:rPr>
          <w:lang w:eastAsia="ar-SA"/>
        </w:rPr>
        <w:t xml:space="preserve"> </w:t>
      </w:r>
    </w:p>
    <w:p w:rsidR="00AF0FDB" w:rsidRPr="001C2774" w:rsidRDefault="00AF0FDB" w:rsidP="001C2774">
      <w:pPr>
        <w:pStyle w:val="Heading1"/>
        <w:rPr>
          <w:rFonts w:ascii="Times New Roman" w:hAnsi="Times New Roman" w:cs="Times New Roman"/>
          <w:sz w:val="24"/>
          <w:szCs w:val="24"/>
          <w:lang w:eastAsia="zh-CN"/>
        </w:rPr>
      </w:pPr>
      <w:bookmarkStart w:id="341" w:name="_Toc938873"/>
      <w:r w:rsidRPr="001C2774">
        <w:rPr>
          <w:rFonts w:ascii="Times New Roman" w:hAnsi="Times New Roman" w:cs="Times New Roman"/>
          <w:sz w:val="24"/>
          <w:szCs w:val="24"/>
        </w:rPr>
        <w:t>Realizacja szczepień ochronnych</w:t>
      </w:r>
      <w:bookmarkEnd w:id="341"/>
    </w:p>
    <w:p w:rsidR="00AF0FDB" w:rsidRPr="00D13CA3" w:rsidRDefault="00AF0FDB" w:rsidP="00646B54">
      <w:pPr>
        <w:pStyle w:val="Standard"/>
        <w:spacing w:line="360" w:lineRule="auto"/>
        <w:jc w:val="both"/>
        <w:rPr>
          <w:rFonts w:ascii="Times New Roman" w:hAnsi="Times New Roman" w:cs="Times New Roman"/>
        </w:rPr>
      </w:pPr>
      <w:r>
        <w:rPr>
          <w:rFonts w:ascii="Times New Roman" w:hAnsi="Times New Roman" w:cs="Times New Roman"/>
        </w:rPr>
        <w:t>W roku 2018</w:t>
      </w:r>
      <w:r w:rsidRPr="00D13CA3">
        <w:rPr>
          <w:rFonts w:ascii="Times New Roman" w:hAnsi="Times New Roman" w:cs="Times New Roman"/>
        </w:rPr>
        <w:t xml:space="preserve"> r. pracownicy Sekcji Szczepień Oddziału Epidemiologii prowadzili nadzór nad wykonawstwem szczepień ochronnych poprzez:</w:t>
      </w:r>
    </w:p>
    <w:p w:rsidR="00AF0FDB" w:rsidRDefault="00AF0FDB" w:rsidP="00DE0EFA">
      <w:pPr>
        <w:numPr>
          <w:ilvl w:val="0"/>
          <w:numId w:val="37"/>
        </w:numPr>
        <w:tabs>
          <w:tab w:val="left" w:pos="0"/>
        </w:tabs>
        <w:autoSpaceDN w:val="0"/>
        <w:spacing w:before="0" w:after="0"/>
        <w:ind w:left="426" w:hanging="426"/>
        <w:jc w:val="both"/>
        <w:textAlignment w:val="baseline"/>
      </w:pPr>
      <w:r>
        <w:t xml:space="preserve">Realizację zadań w zakresie czynności kontrolno–represyjnych, planowanych </w:t>
      </w:r>
      <w:r>
        <w:br/>
        <w:t xml:space="preserve">oraz </w:t>
      </w:r>
      <w:r w:rsidRPr="00D13CA3">
        <w:t>doraźn</w:t>
      </w:r>
      <w:r>
        <w:t>ych i interwencyjnych</w:t>
      </w:r>
      <w:r w:rsidRPr="00D13CA3">
        <w:t xml:space="preserve"> punktów szczepień</w:t>
      </w:r>
      <w:r>
        <w:t xml:space="preserve"> znajdujących się w podmiotach leczniczych.</w:t>
      </w:r>
      <w:r w:rsidRPr="007E0C25">
        <w:t xml:space="preserve"> </w:t>
      </w:r>
    </w:p>
    <w:p w:rsidR="00AF0FDB" w:rsidRDefault="00AF0FDB" w:rsidP="00DE0EFA">
      <w:pPr>
        <w:numPr>
          <w:ilvl w:val="0"/>
          <w:numId w:val="37"/>
        </w:numPr>
        <w:tabs>
          <w:tab w:val="left" w:pos="0"/>
        </w:tabs>
        <w:autoSpaceDN w:val="0"/>
        <w:spacing w:before="0" w:after="0"/>
        <w:ind w:left="426" w:hanging="426"/>
        <w:jc w:val="both"/>
        <w:textAlignment w:val="baseline"/>
      </w:pPr>
      <w:r>
        <w:t>P</w:t>
      </w:r>
      <w:r w:rsidRPr="00D13CA3">
        <w:t>rzygotowanie rocznego zapotrzebowania na preparaty szczepionkowe</w:t>
      </w:r>
      <w:r>
        <w:t>.</w:t>
      </w:r>
    </w:p>
    <w:p w:rsidR="00AF0FDB" w:rsidRPr="00D13CA3" w:rsidRDefault="00AF0FDB" w:rsidP="00DE0EFA">
      <w:pPr>
        <w:numPr>
          <w:ilvl w:val="0"/>
          <w:numId w:val="37"/>
        </w:numPr>
        <w:tabs>
          <w:tab w:val="left" w:pos="0"/>
        </w:tabs>
        <w:autoSpaceDN w:val="0"/>
        <w:spacing w:before="0" w:after="0"/>
        <w:ind w:left="426" w:hanging="426"/>
        <w:jc w:val="both"/>
        <w:textAlignment w:val="baseline"/>
      </w:pPr>
      <w:r>
        <w:t>P</w:t>
      </w:r>
      <w:r w:rsidRPr="00D13CA3">
        <w:t xml:space="preserve">rzygotowanie analizy procentowego wykorzystania preparatów wielodawkowych </w:t>
      </w:r>
      <w:r>
        <w:br/>
      </w:r>
      <w:r w:rsidRPr="00D13CA3">
        <w:t>w ramach Programu Szczepień Ochronnych</w:t>
      </w:r>
      <w:r>
        <w:t>.</w:t>
      </w:r>
    </w:p>
    <w:p w:rsidR="00AF0FDB" w:rsidRPr="00D13CA3" w:rsidRDefault="00AF0FDB" w:rsidP="00DE0EFA">
      <w:pPr>
        <w:numPr>
          <w:ilvl w:val="0"/>
          <w:numId w:val="37"/>
        </w:numPr>
        <w:tabs>
          <w:tab w:val="left" w:pos="0"/>
        </w:tabs>
        <w:autoSpaceDN w:val="0"/>
        <w:spacing w:before="0" w:after="0"/>
        <w:ind w:left="426" w:hanging="426"/>
        <w:jc w:val="both"/>
        <w:textAlignment w:val="baseline"/>
      </w:pPr>
      <w:r>
        <w:t>Analizowanie i opracowywanie</w:t>
      </w:r>
      <w:r w:rsidRPr="00D13CA3">
        <w:t xml:space="preserve"> kwartalnych sprawozdań z przeprowadzonych szczepień ochronnych wg ilości wykorzystanych szczepion</w:t>
      </w:r>
      <w:r>
        <w:t xml:space="preserve">ek oraz wg informacji zawartych </w:t>
      </w:r>
      <w:r w:rsidRPr="00D13CA3">
        <w:t>w kartach uodpornienia przechowywanych przez składającego sprawozdanie</w:t>
      </w:r>
      <w:r>
        <w:t>.</w:t>
      </w:r>
    </w:p>
    <w:p w:rsidR="00AF0FDB" w:rsidRPr="00D13CA3" w:rsidRDefault="00AF0FDB" w:rsidP="00DE0EFA">
      <w:pPr>
        <w:numPr>
          <w:ilvl w:val="0"/>
          <w:numId w:val="37"/>
        </w:numPr>
        <w:tabs>
          <w:tab w:val="left" w:pos="0"/>
        </w:tabs>
        <w:autoSpaceDN w:val="0"/>
        <w:spacing w:before="0" w:after="0"/>
        <w:ind w:left="426" w:hanging="426"/>
        <w:jc w:val="both"/>
        <w:textAlignment w:val="baseline"/>
      </w:pPr>
      <w:r>
        <w:t>Podejmowanie działań</w:t>
      </w:r>
      <w:r w:rsidRPr="00D13CA3">
        <w:t xml:space="preserve"> </w:t>
      </w:r>
      <w:r>
        <w:t>w zakresie bieżącego nadzoru nad poborem preparatów szczepionkowych i ich realnym zużyciem w ramach realizacji Programu Szczepień Ochronnych.</w:t>
      </w:r>
    </w:p>
    <w:p w:rsidR="00AF0FDB" w:rsidRDefault="00AF0FDB" w:rsidP="00DE0EFA">
      <w:pPr>
        <w:numPr>
          <w:ilvl w:val="0"/>
          <w:numId w:val="37"/>
        </w:numPr>
        <w:tabs>
          <w:tab w:val="left" w:pos="0"/>
        </w:tabs>
        <w:autoSpaceDN w:val="0"/>
        <w:spacing w:before="0" w:after="0"/>
        <w:ind w:left="426" w:hanging="426"/>
        <w:jc w:val="both"/>
        <w:textAlignment w:val="baseline"/>
      </w:pPr>
      <w:r>
        <w:t>D</w:t>
      </w:r>
      <w:r w:rsidRPr="00D13CA3">
        <w:t xml:space="preserve">ziałalność dotyczącą utylizacji </w:t>
      </w:r>
      <w:r>
        <w:t>zniszczonych lub przeterminowanych szczepionek.</w:t>
      </w:r>
    </w:p>
    <w:p w:rsidR="00AF0FDB" w:rsidRDefault="00AF0FDB" w:rsidP="00DE0EFA">
      <w:pPr>
        <w:numPr>
          <w:ilvl w:val="0"/>
          <w:numId w:val="37"/>
        </w:numPr>
        <w:tabs>
          <w:tab w:val="left" w:pos="0"/>
        </w:tabs>
        <w:autoSpaceDN w:val="0"/>
        <w:spacing w:before="0" w:after="0"/>
        <w:ind w:left="426" w:hanging="426"/>
        <w:jc w:val="both"/>
        <w:textAlignment w:val="baseline"/>
      </w:pPr>
      <w:r>
        <w:t>P</w:t>
      </w:r>
      <w:r w:rsidRPr="00D13CA3">
        <w:t>rzygotowywanie rocznych sprawozdań ze szczepień ochronnych (MZ-54)</w:t>
      </w:r>
      <w:r>
        <w:t>.</w:t>
      </w:r>
    </w:p>
    <w:p w:rsidR="00AF0FDB" w:rsidRPr="00D13CA3" w:rsidRDefault="00AF0FDB" w:rsidP="00DE0EFA">
      <w:pPr>
        <w:numPr>
          <w:ilvl w:val="0"/>
          <w:numId w:val="37"/>
        </w:numPr>
        <w:tabs>
          <w:tab w:val="left" w:pos="0"/>
        </w:tabs>
        <w:autoSpaceDN w:val="0"/>
        <w:spacing w:before="0" w:after="0"/>
        <w:ind w:left="426" w:hanging="426"/>
        <w:jc w:val="both"/>
        <w:textAlignment w:val="baseline"/>
      </w:pPr>
      <w:r>
        <w:t>Analizę i nadzór nad społecznością osób uchylających się od szczepień ochronnych</w:t>
      </w:r>
      <w:r>
        <w:br/>
        <w:t>lub sprzeciwiających się tego typu procesom profilaktyki zdrowotnej.</w:t>
      </w:r>
    </w:p>
    <w:p w:rsidR="00AF0FDB" w:rsidRDefault="00AF0FDB" w:rsidP="00DE0EFA">
      <w:pPr>
        <w:numPr>
          <w:ilvl w:val="0"/>
          <w:numId w:val="37"/>
        </w:numPr>
        <w:tabs>
          <w:tab w:val="left" w:pos="0"/>
        </w:tabs>
        <w:autoSpaceDN w:val="0"/>
        <w:spacing w:before="0" w:after="0"/>
        <w:ind w:left="426" w:hanging="426"/>
        <w:jc w:val="both"/>
        <w:textAlignment w:val="baseline"/>
      </w:pPr>
      <w:r>
        <w:t>Sporządzanie</w:t>
      </w:r>
      <w:r w:rsidRPr="00D13CA3">
        <w:t xml:space="preserve"> rocznego sprawozdania o osobach uchylających się </w:t>
      </w:r>
      <w:r>
        <w:t xml:space="preserve">od obowiązku </w:t>
      </w:r>
      <w:r w:rsidRPr="00D13CA3">
        <w:t>szczepień ochronnych</w:t>
      </w:r>
      <w:r>
        <w:t>.</w:t>
      </w:r>
    </w:p>
    <w:p w:rsidR="00AF0FDB" w:rsidRPr="00D13CA3" w:rsidRDefault="00AF0FDB" w:rsidP="00DE0EFA">
      <w:pPr>
        <w:numPr>
          <w:ilvl w:val="0"/>
          <w:numId w:val="37"/>
        </w:numPr>
        <w:tabs>
          <w:tab w:val="left" w:pos="0"/>
        </w:tabs>
        <w:autoSpaceDN w:val="0"/>
        <w:spacing w:before="0" w:after="0"/>
        <w:ind w:left="426" w:hanging="426"/>
        <w:jc w:val="both"/>
        <w:textAlignment w:val="baseline"/>
      </w:pPr>
      <w:r>
        <w:t>Zastosowanie procedur administracyjnych w</w:t>
      </w:r>
      <w:r w:rsidRPr="00D13CA3">
        <w:t xml:space="preserve"> ce</w:t>
      </w:r>
      <w:r>
        <w:t>lu egzekwowania wykonania szczepień</w:t>
      </w:r>
      <w:r>
        <w:br/>
        <w:t>przez opiekunów prawnych (</w:t>
      </w:r>
      <w:r w:rsidRPr="00D13CA3">
        <w:t>rodziców</w:t>
      </w:r>
      <w:r>
        <w:t>)</w:t>
      </w:r>
      <w:r w:rsidRPr="00D13CA3">
        <w:t xml:space="preserve"> uchylających się </w:t>
      </w:r>
      <w:r>
        <w:t xml:space="preserve">od </w:t>
      </w:r>
      <w:r w:rsidRPr="00D13CA3">
        <w:t xml:space="preserve">obowiązku szczepień ochronnych </w:t>
      </w:r>
      <w:r>
        <w:t xml:space="preserve">u </w:t>
      </w:r>
      <w:r w:rsidRPr="00D13CA3">
        <w:t xml:space="preserve">małoletnich </w:t>
      </w:r>
      <w:r>
        <w:t>dzieci oraz prowadzenie rejestrów tych działań.</w:t>
      </w:r>
    </w:p>
    <w:p w:rsidR="00AF0FDB" w:rsidRDefault="00AF0FDB" w:rsidP="00DE0EFA">
      <w:pPr>
        <w:numPr>
          <w:ilvl w:val="0"/>
          <w:numId w:val="37"/>
        </w:numPr>
        <w:tabs>
          <w:tab w:val="left" w:pos="0"/>
        </w:tabs>
        <w:autoSpaceDN w:val="0"/>
        <w:spacing w:before="0" w:after="0"/>
        <w:ind w:left="426" w:hanging="426"/>
        <w:jc w:val="both"/>
        <w:textAlignment w:val="baseline"/>
      </w:pPr>
      <w:r>
        <w:t>P</w:t>
      </w:r>
      <w:r w:rsidRPr="00D13CA3">
        <w:t>rowadzenie „Powiatowego rejestru niepożądanych odczynów poszczepiennych”.</w:t>
      </w:r>
    </w:p>
    <w:p w:rsidR="00AF0FDB" w:rsidRDefault="00AF0FDB" w:rsidP="00646B54">
      <w:pPr>
        <w:tabs>
          <w:tab w:val="left" w:pos="0"/>
        </w:tabs>
        <w:autoSpaceDN w:val="0"/>
        <w:spacing w:after="0"/>
        <w:ind w:right="-2"/>
        <w:jc w:val="both"/>
        <w:textAlignment w:val="baseline"/>
        <w:rPr>
          <w:color w:val="000000"/>
        </w:rPr>
      </w:pPr>
    </w:p>
    <w:p w:rsidR="00AF0FDB" w:rsidRPr="00D13CA3" w:rsidRDefault="00AF0FDB" w:rsidP="00646B54">
      <w:pPr>
        <w:tabs>
          <w:tab w:val="left" w:pos="0"/>
        </w:tabs>
        <w:autoSpaceDN w:val="0"/>
        <w:spacing w:after="0"/>
        <w:ind w:right="-2"/>
        <w:jc w:val="both"/>
        <w:textAlignment w:val="baseline"/>
      </w:pPr>
      <w:r>
        <w:rPr>
          <w:color w:val="000000"/>
        </w:rPr>
        <w:t>W roku 2018</w:t>
      </w:r>
      <w:r w:rsidRPr="00D13CA3">
        <w:rPr>
          <w:color w:val="000000"/>
        </w:rPr>
        <w:t xml:space="preserve"> realizacja Programu Szczepień Ochronnych prowadzona była w </w:t>
      </w:r>
      <w:r>
        <w:rPr>
          <w:color w:val="000000"/>
        </w:rPr>
        <w:t>240</w:t>
      </w:r>
      <w:r w:rsidRPr="00D13CA3">
        <w:rPr>
          <w:color w:val="000000"/>
        </w:rPr>
        <w:t xml:space="preserve"> </w:t>
      </w:r>
      <w:r>
        <w:rPr>
          <w:color w:val="000000"/>
        </w:rPr>
        <w:t xml:space="preserve">punktach szczepień. </w:t>
      </w:r>
      <w:r w:rsidRPr="00E60DA5">
        <w:t>Wykonano 325</w:t>
      </w:r>
      <w:r w:rsidRPr="00E60DA5">
        <w:rPr>
          <w:color w:val="000000"/>
        </w:rPr>
        <w:t xml:space="preserve"> kontroli (230 w Poznaniu oraz 95 na terenie powiatu poznańskiego), z czego 39</w:t>
      </w:r>
      <w:r w:rsidRPr="00D13CA3">
        <w:rPr>
          <w:color w:val="000000"/>
        </w:rPr>
        <w:t xml:space="preserve"> kontroli dotyczyło zgłoszeń niepożą</w:t>
      </w:r>
      <w:r>
        <w:rPr>
          <w:color w:val="000000"/>
        </w:rPr>
        <w:t xml:space="preserve">danych odczynów poszczepiennych oraz podjęto 9 </w:t>
      </w:r>
      <w:r w:rsidRPr="00DB5E12">
        <w:t>interwencji.</w:t>
      </w:r>
      <w:r w:rsidRPr="00F72469">
        <w:rPr>
          <w:color w:val="FF0000"/>
        </w:rPr>
        <w:t xml:space="preserve"> </w:t>
      </w:r>
      <w:r w:rsidRPr="00D13CA3">
        <w:rPr>
          <w:color w:val="000000"/>
          <w:kern w:val="1"/>
          <w:lang w:eastAsia="ar-SA"/>
        </w:rPr>
        <w:t xml:space="preserve">Najczęściej wydawane zalecenia pokontrolne dotyczyły </w:t>
      </w:r>
      <w:r>
        <w:rPr>
          <w:color w:val="000000"/>
          <w:kern w:val="1"/>
          <w:lang w:eastAsia="ar-SA"/>
        </w:rPr>
        <w:t>obowiązku przestrzegania przepisów prawa w zakresie systematycznego i rzetelnego sporządzania i uzupełniania dokumentacji medycznej. P</w:t>
      </w:r>
      <w:r w:rsidRPr="00D13CA3">
        <w:rPr>
          <w:color w:val="000000"/>
          <w:kern w:val="1"/>
          <w:lang w:eastAsia="ar-SA"/>
        </w:rPr>
        <w:t xml:space="preserve">odczas kontroli planowanych </w:t>
      </w:r>
      <w:r>
        <w:rPr>
          <w:color w:val="000000"/>
          <w:kern w:val="1"/>
          <w:lang w:eastAsia="ar-SA"/>
        </w:rPr>
        <w:t>dostrzeżono problem w</w:t>
      </w:r>
      <w:r w:rsidRPr="00D13CA3">
        <w:rPr>
          <w:color w:val="000000"/>
          <w:kern w:val="1"/>
          <w:lang w:eastAsia="ar-SA"/>
        </w:rPr>
        <w:t xml:space="preserve"> </w:t>
      </w:r>
      <w:r>
        <w:rPr>
          <w:color w:val="000000"/>
          <w:kern w:val="1"/>
          <w:lang w:eastAsia="ar-SA"/>
        </w:rPr>
        <w:t>terminowym wykonywaniu</w:t>
      </w:r>
      <w:r w:rsidRPr="00D13CA3">
        <w:rPr>
          <w:color w:val="000000"/>
          <w:kern w:val="1"/>
          <w:lang w:eastAsia="ar-SA"/>
        </w:rPr>
        <w:t xml:space="preserve"> szczepień </w:t>
      </w:r>
      <w:r>
        <w:rPr>
          <w:color w:val="000000"/>
          <w:kern w:val="1"/>
          <w:lang w:eastAsia="ar-SA"/>
        </w:rPr>
        <w:t xml:space="preserve">ochronnych stąd wydawano zalecenia wyrównania wyszczepialności </w:t>
      </w:r>
      <w:r w:rsidRPr="00D13CA3">
        <w:rPr>
          <w:color w:val="000000"/>
          <w:kern w:val="1"/>
          <w:lang w:eastAsia="ar-SA"/>
        </w:rPr>
        <w:t>w poszczególnych rocznikach</w:t>
      </w:r>
      <w:r>
        <w:rPr>
          <w:color w:val="000000"/>
          <w:kern w:val="1"/>
          <w:lang w:eastAsia="ar-SA"/>
        </w:rPr>
        <w:t>.</w:t>
      </w:r>
      <w:r w:rsidRPr="00D13CA3">
        <w:rPr>
          <w:color w:val="000000"/>
          <w:kern w:val="1"/>
          <w:lang w:eastAsia="ar-SA"/>
        </w:rPr>
        <w:t xml:space="preserve"> </w:t>
      </w:r>
      <w:r>
        <w:rPr>
          <w:color w:val="000000"/>
          <w:kern w:val="1"/>
          <w:lang w:eastAsia="ar-SA"/>
        </w:rPr>
        <w:t>Informowano przedstawicieli podmiotów leczniczych o konieczności bieżącego zgłaszania osób uchylających się od realizacji szczepień ochronnych do Państwowej Inspekcji Sanitarnej z zastosowaniem opracowanych specjalnie w tym celu dokumentów. Zwracano również uwagę na zachowanie przewidzianej przepisami prawa terminowości w zakresie zgłaszania</w:t>
      </w:r>
      <w:r w:rsidRPr="00D13CA3">
        <w:rPr>
          <w:color w:val="000000"/>
          <w:kern w:val="1"/>
          <w:lang w:eastAsia="ar-SA"/>
        </w:rPr>
        <w:t xml:space="preserve"> niepożądanych odczynów poszczepiennych. </w:t>
      </w:r>
      <w:r>
        <w:rPr>
          <w:color w:val="000000"/>
          <w:kern w:val="1"/>
          <w:lang w:eastAsia="ar-SA"/>
        </w:rPr>
        <w:t xml:space="preserve">Kontrolowano zgodność procedur związanych </w:t>
      </w:r>
      <w:r w:rsidRPr="00D13CA3">
        <w:rPr>
          <w:color w:val="000000"/>
          <w:kern w:val="1"/>
          <w:lang w:eastAsia="ar-SA"/>
        </w:rPr>
        <w:t xml:space="preserve">z </w:t>
      </w:r>
      <w:r>
        <w:rPr>
          <w:color w:val="000000"/>
          <w:kern w:val="1"/>
          <w:lang w:eastAsia="ar-SA"/>
        </w:rPr>
        <w:t>przyjmowaniem, magazynowaniem oraz dysponowaniem preparatami szczepionkowymi z wymogami i standardami normatywnymi, głównie w zakresie</w:t>
      </w:r>
      <w:r w:rsidRPr="00D13CA3">
        <w:rPr>
          <w:color w:val="000000"/>
          <w:kern w:val="1"/>
          <w:lang w:eastAsia="ar-SA"/>
        </w:rPr>
        <w:t xml:space="preserve"> zachowani</w:t>
      </w:r>
      <w:r>
        <w:rPr>
          <w:color w:val="000000"/>
          <w:kern w:val="1"/>
          <w:lang w:eastAsia="ar-SA"/>
        </w:rPr>
        <w:t xml:space="preserve">a rygoru łańcucha chłodniczego, przestrzeganie zasady first in-first out w celu zapobiegania utylizacjom szczepionek oraz optymalizację gospodarki tymi produktami leczniczymi. </w:t>
      </w:r>
      <w:r w:rsidRPr="00E60DA5">
        <w:rPr>
          <w:kern w:val="1"/>
          <w:lang w:eastAsia="ar-SA"/>
        </w:rPr>
        <w:t>Wskutek kontroli problemowych stwierdzono uchybienia w zakresie dokumentowania rotacji preparatów szczepionkowych przeznaczonych do realizacji PSO w podmiotach leczniczych.</w:t>
      </w:r>
      <w:r>
        <w:rPr>
          <w:color w:val="000000"/>
          <w:kern w:val="1"/>
          <w:lang w:eastAsia="ar-SA"/>
        </w:rPr>
        <w:t xml:space="preserve"> W placówkach leczniczych, które do dnia kontroli nie zastosowały automatycznych rozwiązań monitorowania temperatury w urządzeniach chłodniczych, pomimo wcześniejszych zaleceń pokontrolnych, konsekwentnie informowano o możliwości wyposażenia</w:t>
      </w:r>
      <w:r w:rsidRPr="00D13CA3">
        <w:rPr>
          <w:color w:val="000000"/>
          <w:kern w:val="1"/>
          <w:lang w:eastAsia="ar-SA"/>
        </w:rPr>
        <w:t xml:space="preserve"> </w:t>
      </w:r>
      <w:r>
        <w:rPr>
          <w:color w:val="000000"/>
          <w:kern w:val="1"/>
          <w:lang w:eastAsia="ar-SA"/>
        </w:rPr>
        <w:t>sprzętu</w:t>
      </w:r>
      <w:r w:rsidRPr="00D13CA3">
        <w:rPr>
          <w:color w:val="000000"/>
          <w:kern w:val="1"/>
          <w:lang w:eastAsia="ar-SA"/>
        </w:rPr>
        <w:t xml:space="preserve"> </w:t>
      </w:r>
      <w:r>
        <w:rPr>
          <w:color w:val="000000"/>
          <w:kern w:val="1"/>
          <w:lang w:eastAsia="ar-SA"/>
        </w:rPr>
        <w:t>służącego</w:t>
      </w:r>
      <w:r w:rsidRPr="00D13CA3">
        <w:rPr>
          <w:color w:val="000000"/>
          <w:kern w:val="1"/>
          <w:lang w:eastAsia="ar-SA"/>
        </w:rPr>
        <w:t xml:space="preserve"> do przechowyw</w:t>
      </w:r>
      <w:r>
        <w:rPr>
          <w:color w:val="000000"/>
          <w:kern w:val="1"/>
          <w:lang w:eastAsia="ar-SA"/>
        </w:rPr>
        <w:t xml:space="preserve">ania preparatów szczepionkowych </w:t>
      </w:r>
      <w:r w:rsidRPr="00D13CA3">
        <w:rPr>
          <w:color w:val="000000"/>
          <w:kern w:val="1"/>
          <w:lang w:eastAsia="ar-SA"/>
        </w:rPr>
        <w:t xml:space="preserve">w elektroniczny system powiadamiania </w:t>
      </w:r>
      <w:r>
        <w:rPr>
          <w:color w:val="000000"/>
          <w:kern w:val="1"/>
          <w:lang w:eastAsia="ar-SA"/>
        </w:rPr>
        <w:t>o nieprawidłowym funkcjonowaniu lodówek i pogorszeniu warunków chłodniczych mających znaczący wpływ na jakość i bezpieczeństwo szczepionek.</w:t>
      </w:r>
    </w:p>
    <w:p w:rsidR="00AF0FDB" w:rsidRDefault="00AF0FDB" w:rsidP="00646B54">
      <w:pPr>
        <w:pStyle w:val="ListParagraph"/>
        <w:spacing w:line="360" w:lineRule="auto"/>
        <w:ind w:left="0"/>
        <w:jc w:val="both"/>
        <w:rPr>
          <w:rFonts w:ascii="Times New Roman" w:hAnsi="Times New Roman" w:cs="Times New Roman"/>
          <w:color w:val="000000"/>
        </w:rPr>
      </w:pPr>
    </w:p>
    <w:p w:rsidR="00AF0FDB" w:rsidRPr="00F25CAA" w:rsidRDefault="00AF0FDB" w:rsidP="00646B54">
      <w:pPr>
        <w:pStyle w:val="ListParagraph"/>
        <w:spacing w:line="360" w:lineRule="auto"/>
        <w:ind w:left="0"/>
        <w:jc w:val="both"/>
        <w:rPr>
          <w:rFonts w:ascii="Times New Roman" w:hAnsi="Times New Roman" w:cs="Times New Roman"/>
          <w:color w:val="000000"/>
        </w:rPr>
      </w:pPr>
      <w:r w:rsidRPr="00F25CAA">
        <w:rPr>
          <w:rFonts w:ascii="Times New Roman" w:hAnsi="Times New Roman" w:cs="Times New Roman"/>
          <w:color w:val="000000"/>
        </w:rPr>
        <w:t>W 2018 r. wydano 3 decyzje płatnicze w następujących placówkach wykonujących szczepienia ochronne:</w:t>
      </w:r>
    </w:p>
    <w:p w:rsidR="00AF0FDB" w:rsidRPr="00F25CAA" w:rsidRDefault="00AF0FDB" w:rsidP="00DE0EFA">
      <w:pPr>
        <w:pStyle w:val="ListParagraph"/>
        <w:widowControl w:val="0"/>
        <w:numPr>
          <w:ilvl w:val="0"/>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Zespół Lekarza Rodzinnego „Zdrowa Rodzina” s.c., os. Winiary 52, 60-665 Poznań,</w:t>
      </w:r>
      <w:r w:rsidRPr="00F25CAA">
        <w:rPr>
          <w:rFonts w:ascii="Times New Roman" w:hAnsi="Times New Roman" w:cs="Times New Roman"/>
          <w:color w:val="000000"/>
        </w:rPr>
        <w:br/>
        <w:t xml:space="preserve">nakazującą w trybie natychmiastowym: </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systematyczne uzupełnianie dokumentacji medycznej w zakresie pisemnego potwierdzania</w:t>
      </w:r>
      <w:r>
        <w:rPr>
          <w:rFonts w:ascii="Times New Roman" w:hAnsi="Times New Roman" w:cs="Times New Roman"/>
          <w:color w:val="000000"/>
        </w:rPr>
        <w:t>-</w:t>
      </w:r>
      <w:r w:rsidRPr="00F25CAA">
        <w:rPr>
          <w:rFonts w:ascii="Times New Roman" w:hAnsi="Times New Roman" w:cs="Times New Roman"/>
          <w:color w:val="000000"/>
        </w:rPr>
        <w:t xml:space="preserve"> poinformowania rodzica lub opiekuna prawnego dziecka o obowiązku realizacji u niego obowiązkowego kalendarza szczepień ochronnych,</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zgodne z przepisami prawa postępowanie z indywidualną wewnętrzną dokumentacją medyczną dotyczącą szczepień ochronnych w zakresie jej udostępniania,</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 xml:space="preserve">prawidłowe pod względem formalnym prowadzenie dokumentacji medycznej wewnętrznej w zakresie jej sygnowania imieniem i nazwiskiem pacjenta w celach identyfikacyjnych oraz zastosowanie chronologicznej numeracji stron. </w:t>
      </w:r>
    </w:p>
    <w:p w:rsidR="00AF0FDB" w:rsidRPr="00F25CAA" w:rsidRDefault="00AF0FDB" w:rsidP="00DE0EFA">
      <w:pPr>
        <w:pStyle w:val="ListParagraph"/>
        <w:widowControl w:val="0"/>
        <w:numPr>
          <w:ilvl w:val="0"/>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 xml:space="preserve">NZOZ Poradnia Lekarza Rodzinnego ,,Orchidea'' NTS Pharma Sp. z o.o., </w:t>
      </w:r>
      <w:r w:rsidRPr="00F25CAA">
        <w:rPr>
          <w:rFonts w:ascii="Times New Roman" w:hAnsi="Times New Roman" w:cs="Times New Roman"/>
          <w:color w:val="000000"/>
        </w:rPr>
        <w:br/>
        <w:t>ul. Wojska Polskiego 5A, 62-030 Luboń, nakazującą:</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rPr>
      </w:pPr>
      <w:r w:rsidRPr="00F25CAA">
        <w:rPr>
          <w:rFonts w:ascii="Times New Roman" w:hAnsi="Times New Roman" w:cs="Times New Roman"/>
          <w:color w:val="000000"/>
        </w:rPr>
        <w:t>przestrzeganie obowiązujących przepisów prawa określających zasady postępowania z indywidualną wewnętrzną dokumentacją medyczną dotyczącą przeprowadzonych szczepień ochronnych,</w:t>
      </w:r>
      <w:r w:rsidRPr="00F25CAA">
        <w:rPr>
          <w:rFonts w:ascii="Times New Roman" w:hAnsi="Times New Roman" w:cs="Times New Roman"/>
        </w:rPr>
        <w:t xml:space="preserve"> </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rPr>
        <w:t xml:space="preserve">zapewnienie racjonalnej gospodarki preparatami szczepionkowymi </w:t>
      </w:r>
      <w:r w:rsidRPr="00F25CAA">
        <w:rPr>
          <w:rFonts w:ascii="Times New Roman" w:hAnsi="Times New Roman" w:cs="Times New Roman"/>
        </w:rPr>
        <w:br/>
        <w:t>ze szczególnym uwzględnieniem prawidłowego zapotrzebowania na te preparaty zgodnego z realizacją szczepień ochronnych, rzetelne udokumentowanie prowadzonych działań w tym zakresie oraz terminowe sporządzanie sprawozdań ze zużycia szczepionek,</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 xml:space="preserve">zapewnienie właściwego dokumentowania dystrybucji preparatami szczepionkowymi w szczególności </w:t>
      </w:r>
      <w:r w:rsidRPr="00F25CAA">
        <w:rPr>
          <w:rFonts w:ascii="Times New Roman" w:hAnsi="Times New Roman" w:cs="Times New Roman"/>
        </w:rPr>
        <w:t>rozchodu szczepionek w placówce leczniczej w celu rzeczywistej oceny dystrybucji preparatami szczepionkowymi,</w:t>
      </w:r>
    </w:p>
    <w:p w:rsidR="00AF0FDB" w:rsidRPr="00F25CAA" w:rsidRDefault="00AF0FDB" w:rsidP="00DE0EFA">
      <w:pPr>
        <w:pStyle w:val="ListParagraph"/>
        <w:widowControl w:val="0"/>
        <w:numPr>
          <w:ilvl w:val="1"/>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zapewnienie prawidłowego postępowania ze szcz</w:t>
      </w:r>
      <w:r>
        <w:rPr>
          <w:rFonts w:ascii="Times New Roman" w:hAnsi="Times New Roman" w:cs="Times New Roman"/>
          <w:color w:val="000000"/>
        </w:rPr>
        <w:t>epionkowymi odpadami medycznymi.</w:t>
      </w:r>
    </w:p>
    <w:p w:rsidR="00AF0FDB" w:rsidRPr="00F25CAA" w:rsidRDefault="00AF0FDB" w:rsidP="00DE0EFA">
      <w:pPr>
        <w:pStyle w:val="ListParagraph"/>
        <w:widowControl w:val="0"/>
        <w:numPr>
          <w:ilvl w:val="0"/>
          <w:numId w:val="38"/>
        </w:numPr>
        <w:suppressAutoHyphens/>
        <w:spacing w:after="0" w:line="360" w:lineRule="auto"/>
        <w:contextualSpacing w:val="0"/>
        <w:jc w:val="both"/>
        <w:rPr>
          <w:rFonts w:ascii="Times New Roman" w:hAnsi="Times New Roman" w:cs="Times New Roman"/>
          <w:color w:val="000000"/>
        </w:rPr>
      </w:pPr>
      <w:r w:rsidRPr="00F25CAA">
        <w:rPr>
          <w:rFonts w:ascii="Times New Roman" w:hAnsi="Times New Roman" w:cs="Times New Roman"/>
          <w:color w:val="000000"/>
        </w:rPr>
        <w:t xml:space="preserve">NZOZ Poradnia Lekarza Rodzinnego ,,Orchidea'' NTS Pharma Sp. z o.o., </w:t>
      </w:r>
      <w:r w:rsidRPr="00F25CAA">
        <w:rPr>
          <w:rFonts w:ascii="Times New Roman" w:hAnsi="Times New Roman" w:cs="Times New Roman"/>
          <w:color w:val="000000"/>
        </w:rPr>
        <w:br/>
        <w:t>ul. Albańska 8, 61-123 Poznań, nakazującą:</w:t>
      </w:r>
    </w:p>
    <w:p w:rsidR="00AF0FDB" w:rsidRDefault="00AF0FDB" w:rsidP="00081EB2">
      <w:pPr>
        <w:pStyle w:val="ListParagraph"/>
        <w:spacing w:line="360" w:lineRule="auto"/>
        <w:ind w:left="0"/>
        <w:jc w:val="both"/>
        <w:rPr>
          <w:rFonts w:ascii="Times New Roman" w:hAnsi="Times New Roman" w:cs="Times New Roman"/>
        </w:rPr>
      </w:pPr>
      <w:r w:rsidRPr="00F25CAA">
        <w:rPr>
          <w:rFonts w:ascii="Times New Roman" w:hAnsi="Times New Roman" w:cs="Times New Roman"/>
        </w:rPr>
        <w:t>zapewnienie właściwej, rzetelnej i efektywnej gospodarki preparatami szczepionkowymi z uwzględnieniem należytego i sumiennego sporządzania zapotrzebowania na te preparaty zgodnie z realizacją Programu Szczepień Ochronnych, dokumentować działania związane z gospodarowaniem preparatami szczepionkowymi przeznaczonymi na wykonywanie szczepień ochronnych oraz wzmocnienie nadzoru w zakresie regularnej, systematycznej inwentaryzacji i rotacji preparatów szczepionkowych włącznie z bieżącym usuwaniem z zapasów produktów przeterminowanych</w:t>
      </w:r>
      <w:r>
        <w:rPr>
          <w:rFonts w:ascii="Times New Roman" w:hAnsi="Times New Roman" w:cs="Times New Roman"/>
        </w:rPr>
        <w:t>.</w:t>
      </w:r>
    </w:p>
    <w:p w:rsidR="00AF0FDB" w:rsidRDefault="00AF0FDB" w:rsidP="00081EB2">
      <w:pPr>
        <w:pStyle w:val="ListParagraph"/>
        <w:spacing w:line="360" w:lineRule="auto"/>
        <w:ind w:left="0"/>
        <w:jc w:val="both"/>
        <w:rPr>
          <w:rFonts w:ascii="Times New Roman" w:hAnsi="Times New Roman" w:cs="Times New Roman"/>
        </w:rPr>
      </w:pPr>
    </w:p>
    <w:p w:rsidR="00AF0FDB" w:rsidRPr="00081EB2" w:rsidRDefault="00AF0FDB" w:rsidP="00081EB2">
      <w:pPr>
        <w:pStyle w:val="ListParagraph"/>
        <w:spacing w:line="360" w:lineRule="auto"/>
        <w:ind w:left="0"/>
        <w:jc w:val="both"/>
        <w:rPr>
          <w:rFonts w:ascii="Times New Roman" w:hAnsi="Times New Roman" w:cs="Times New Roman"/>
        </w:rPr>
      </w:pPr>
      <w:r w:rsidRPr="00A52ED7">
        <w:rPr>
          <w:rFonts w:ascii="Times New Roman" w:hAnsi="Times New Roman" w:cs="Times New Roman"/>
          <w:b/>
          <w:bCs/>
          <w:sz w:val="20"/>
          <w:szCs w:val="20"/>
        </w:rPr>
        <w:t>Tab. 1</w:t>
      </w:r>
      <w:r>
        <w:rPr>
          <w:rFonts w:ascii="Times New Roman" w:hAnsi="Times New Roman" w:cs="Times New Roman"/>
          <w:b/>
          <w:bCs/>
          <w:sz w:val="20"/>
          <w:szCs w:val="20"/>
        </w:rPr>
        <w:t>0</w:t>
      </w:r>
      <w:r w:rsidRPr="003471A4">
        <w:rPr>
          <w:rFonts w:ascii="Times New Roman" w:hAnsi="Times New Roman" w:cs="Times New Roman"/>
          <w:b/>
          <w:bCs/>
          <w:sz w:val="20"/>
          <w:szCs w:val="20"/>
        </w:rPr>
        <w:t>.</w:t>
      </w:r>
      <w:r w:rsidRPr="003471A4">
        <w:rPr>
          <w:rFonts w:ascii="Times New Roman" w:hAnsi="Times New Roman" w:cs="Times New Roman"/>
          <w:sz w:val="20"/>
          <w:szCs w:val="20"/>
        </w:rPr>
        <w:t xml:space="preserve">  Placówki </w:t>
      </w:r>
      <w:r w:rsidRPr="008F76D1">
        <w:rPr>
          <w:rFonts w:ascii="Times New Roman" w:hAnsi="Times New Roman" w:cs="Times New Roman"/>
          <w:color w:val="000000"/>
          <w:sz w:val="20"/>
          <w:szCs w:val="20"/>
        </w:rPr>
        <w:t>wykonujące szczepienia ochronne w 201</w:t>
      </w:r>
      <w:r>
        <w:rPr>
          <w:rFonts w:ascii="Times New Roman" w:hAnsi="Times New Roman" w:cs="Times New Roman"/>
          <w:color w:val="000000"/>
          <w:sz w:val="20"/>
          <w:szCs w:val="20"/>
        </w:rPr>
        <w:t>8</w:t>
      </w:r>
      <w:r w:rsidRPr="008F76D1">
        <w:rPr>
          <w:rFonts w:ascii="Times New Roman" w:hAnsi="Times New Roman" w:cs="Times New Roman"/>
          <w:color w:val="000000"/>
          <w:sz w:val="20"/>
          <w:szCs w:val="20"/>
        </w:rPr>
        <w:t xml:space="preserve"> r.</w:t>
      </w:r>
    </w:p>
    <w:tbl>
      <w:tblPr>
        <w:tblW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A0"/>
      </w:tblPr>
      <w:tblGrid>
        <w:gridCol w:w="920"/>
        <w:gridCol w:w="802"/>
        <w:gridCol w:w="899"/>
        <w:gridCol w:w="859"/>
        <w:gridCol w:w="863"/>
        <w:gridCol w:w="882"/>
        <w:gridCol w:w="875"/>
        <w:gridCol w:w="845"/>
        <w:gridCol w:w="910"/>
        <w:gridCol w:w="817"/>
      </w:tblGrid>
      <w:tr w:rsidR="00AF0FDB">
        <w:trPr>
          <w:trHeight w:val="684"/>
        </w:trPr>
        <w:tc>
          <w:tcPr>
            <w:tcW w:w="1722" w:type="dxa"/>
            <w:gridSpan w:val="2"/>
            <w:tcBorders>
              <w:bottom w:val="single" w:sz="18" w:space="0" w:color="A5A5A5"/>
            </w:tcBorders>
          </w:tcPr>
          <w:p w:rsidR="00AF0FDB" w:rsidRPr="002C4F7C" w:rsidRDefault="00AF0FDB" w:rsidP="002C4F7C">
            <w:pPr>
              <w:pStyle w:val="ListParagraph"/>
              <w:ind w:left="0"/>
              <w:jc w:val="center"/>
              <w:rPr>
                <w:rFonts w:ascii="Times New Roman" w:hAnsi="Times New Roman" w:cs="Times New Roman"/>
                <w:b/>
                <w:bCs/>
                <w:color w:val="000000"/>
                <w:sz w:val="20"/>
                <w:szCs w:val="20"/>
              </w:rPr>
            </w:pPr>
          </w:p>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Liczba ogółem</w:t>
            </w:r>
          </w:p>
        </w:tc>
        <w:tc>
          <w:tcPr>
            <w:tcW w:w="1758" w:type="dxa"/>
            <w:gridSpan w:val="2"/>
            <w:tcBorders>
              <w:bottom w:val="single" w:sz="18" w:space="0" w:color="A5A5A5"/>
            </w:tcBorders>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Szpitale (w tym oddziały noworodkowe i stacje dializ)</w:t>
            </w:r>
          </w:p>
        </w:tc>
        <w:tc>
          <w:tcPr>
            <w:tcW w:w="1745" w:type="dxa"/>
            <w:gridSpan w:val="2"/>
            <w:tcBorders>
              <w:bottom w:val="single" w:sz="18" w:space="0" w:color="A5A5A5"/>
            </w:tcBorders>
          </w:tcPr>
          <w:p w:rsidR="00AF0FDB" w:rsidRPr="002C4F7C" w:rsidRDefault="00AF0FDB" w:rsidP="002C4F7C">
            <w:pPr>
              <w:pStyle w:val="ListParagraph"/>
              <w:ind w:left="0"/>
              <w:jc w:val="center"/>
              <w:rPr>
                <w:rFonts w:ascii="Times New Roman" w:hAnsi="Times New Roman" w:cs="Times New Roman"/>
                <w:b/>
                <w:bCs/>
                <w:color w:val="000000"/>
                <w:sz w:val="20"/>
                <w:szCs w:val="20"/>
              </w:rPr>
            </w:pPr>
          </w:p>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Gabinety POZ</w:t>
            </w:r>
          </w:p>
        </w:tc>
        <w:tc>
          <w:tcPr>
            <w:tcW w:w="1720" w:type="dxa"/>
            <w:gridSpan w:val="2"/>
            <w:tcBorders>
              <w:bottom w:val="single" w:sz="18" w:space="0" w:color="A5A5A5"/>
            </w:tcBorders>
          </w:tcPr>
          <w:p w:rsidR="00AF0FDB" w:rsidRPr="002C4F7C" w:rsidRDefault="00AF0FDB" w:rsidP="002C4F7C">
            <w:pPr>
              <w:pStyle w:val="ListParagraph"/>
              <w:ind w:left="0"/>
              <w:jc w:val="center"/>
              <w:rPr>
                <w:rFonts w:ascii="Times New Roman" w:hAnsi="Times New Roman" w:cs="Times New Roman"/>
                <w:b/>
                <w:bCs/>
                <w:color w:val="000000"/>
                <w:sz w:val="20"/>
                <w:szCs w:val="20"/>
              </w:rPr>
            </w:pPr>
          </w:p>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Szkoły</w:t>
            </w:r>
          </w:p>
        </w:tc>
        <w:tc>
          <w:tcPr>
            <w:tcW w:w="1727" w:type="dxa"/>
            <w:gridSpan w:val="2"/>
            <w:tcBorders>
              <w:bottom w:val="single" w:sz="18" w:space="0" w:color="A5A5A5"/>
            </w:tcBorders>
          </w:tcPr>
          <w:p w:rsidR="00AF0FDB" w:rsidRPr="002C4F7C" w:rsidRDefault="00AF0FDB" w:rsidP="002C4F7C">
            <w:pPr>
              <w:pStyle w:val="ListParagraph"/>
              <w:ind w:left="0"/>
              <w:jc w:val="center"/>
              <w:rPr>
                <w:rFonts w:ascii="Times New Roman" w:hAnsi="Times New Roman" w:cs="Times New Roman"/>
                <w:b/>
                <w:bCs/>
                <w:color w:val="000000"/>
                <w:sz w:val="20"/>
                <w:szCs w:val="20"/>
              </w:rPr>
            </w:pPr>
          </w:p>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Inne</w:t>
            </w:r>
          </w:p>
        </w:tc>
      </w:tr>
      <w:tr w:rsidR="00AF0FDB">
        <w:trPr>
          <w:trHeight w:val="342"/>
        </w:trPr>
        <w:tc>
          <w:tcPr>
            <w:tcW w:w="920" w:type="dxa"/>
            <w:shd w:val="clear" w:color="auto" w:fill="E8E8E8"/>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miasto</w:t>
            </w:r>
          </w:p>
        </w:tc>
        <w:tc>
          <w:tcPr>
            <w:tcW w:w="802"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powiat</w:t>
            </w:r>
          </w:p>
        </w:tc>
        <w:tc>
          <w:tcPr>
            <w:tcW w:w="899"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miasto</w:t>
            </w:r>
          </w:p>
        </w:tc>
        <w:tc>
          <w:tcPr>
            <w:tcW w:w="859"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powiat</w:t>
            </w:r>
          </w:p>
        </w:tc>
        <w:tc>
          <w:tcPr>
            <w:tcW w:w="863"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miasto</w:t>
            </w:r>
          </w:p>
        </w:tc>
        <w:tc>
          <w:tcPr>
            <w:tcW w:w="882"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powiat</w:t>
            </w:r>
          </w:p>
        </w:tc>
        <w:tc>
          <w:tcPr>
            <w:tcW w:w="875"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miasto</w:t>
            </w:r>
          </w:p>
        </w:tc>
        <w:tc>
          <w:tcPr>
            <w:tcW w:w="845"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powiat</w:t>
            </w:r>
          </w:p>
        </w:tc>
        <w:tc>
          <w:tcPr>
            <w:tcW w:w="910"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miasto</w:t>
            </w:r>
          </w:p>
        </w:tc>
        <w:tc>
          <w:tcPr>
            <w:tcW w:w="817" w:type="dxa"/>
            <w:shd w:val="clear" w:color="auto" w:fill="E8E8E8"/>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powiat</w:t>
            </w:r>
          </w:p>
        </w:tc>
      </w:tr>
      <w:tr w:rsidR="00AF0FDB">
        <w:trPr>
          <w:trHeight w:val="327"/>
        </w:trPr>
        <w:tc>
          <w:tcPr>
            <w:tcW w:w="920" w:type="dxa"/>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158</w:t>
            </w:r>
          </w:p>
        </w:tc>
        <w:tc>
          <w:tcPr>
            <w:tcW w:w="802"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82</w:t>
            </w:r>
          </w:p>
        </w:tc>
        <w:tc>
          <w:tcPr>
            <w:tcW w:w="899"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21/4/2</w:t>
            </w:r>
          </w:p>
        </w:tc>
        <w:tc>
          <w:tcPr>
            <w:tcW w:w="859"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w:t>
            </w:r>
          </w:p>
        </w:tc>
        <w:tc>
          <w:tcPr>
            <w:tcW w:w="863"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126</w:t>
            </w:r>
          </w:p>
        </w:tc>
        <w:tc>
          <w:tcPr>
            <w:tcW w:w="882"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75</w:t>
            </w:r>
          </w:p>
        </w:tc>
        <w:tc>
          <w:tcPr>
            <w:tcW w:w="875"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w:t>
            </w:r>
          </w:p>
        </w:tc>
        <w:tc>
          <w:tcPr>
            <w:tcW w:w="845"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4</w:t>
            </w:r>
          </w:p>
        </w:tc>
        <w:tc>
          <w:tcPr>
            <w:tcW w:w="910" w:type="dxa"/>
          </w:tcPr>
          <w:p w:rsidR="00AF0FDB" w:rsidRPr="002C4F7C" w:rsidRDefault="00AF0FDB" w:rsidP="002C4F7C">
            <w:pPr>
              <w:pStyle w:val="ListParagraph"/>
              <w:ind w:left="0"/>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10</w:t>
            </w:r>
          </w:p>
        </w:tc>
        <w:tc>
          <w:tcPr>
            <w:tcW w:w="817" w:type="dxa"/>
          </w:tcPr>
          <w:p w:rsidR="00AF0FDB" w:rsidRPr="002C4F7C" w:rsidRDefault="00AF0FDB" w:rsidP="002C4F7C">
            <w:pPr>
              <w:pStyle w:val="ListParagraph"/>
              <w:ind w:left="0"/>
              <w:jc w:val="center"/>
              <w:rPr>
                <w:rFonts w:ascii="Times New Roman" w:hAnsi="Times New Roman" w:cs="Times New Roman"/>
                <w:sz w:val="24"/>
                <w:szCs w:val="24"/>
              </w:rPr>
            </w:pPr>
            <w:r w:rsidRPr="002C4F7C">
              <w:rPr>
                <w:rFonts w:ascii="Times New Roman" w:hAnsi="Times New Roman" w:cs="Times New Roman"/>
                <w:color w:val="000000"/>
                <w:sz w:val="20"/>
                <w:szCs w:val="20"/>
              </w:rPr>
              <w:t>2</w:t>
            </w:r>
          </w:p>
        </w:tc>
      </w:tr>
      <w:tr w:rsidR="00AF0FDB">
        <w:trPr>
          <w:trHeight w:val="357"/>
        </w:trPr>
        <w:tc>
          <w:tcPr>
            <w:tcW w:w="1722" w:type="dxa"/>
            <w:gridSpan w:val="2"/>
            <w:shd w:val="clear" w:color="auto" w:fill="E8E8E8"/>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240</w:t>
            </w:r>
          </w:p>
        </w:tc>
        <w:tc>
          <w:tcPr>
            <w:tcW w:w="1758" w:type="dxa"/>
            <w:gridSpan w:val="2"/>
            <w:shd w:val="clear" w:color="auto" w:fill="E8E8E8"/>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22/4/2</w:t>
            </w:r>
          </w:p>
        </w:tc>
        <w:tc>
          <w:tcPr>
            <w:tcW w:w="1745" w:type="dxa"/>
            <w:gridSpan w:val="2"/>
            <w:shd w:val="clear" w:color="auto" w:fill="E8E8E8"/>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201</w:t>
            </w:r>
          </w:p>
        </w:tc>
        <w:tc>
          <w:tcPr>
            <w:tcW w:w="1720" w:type="dxa"/>
            <w:gridSpan w:val="2"/>
            <w:shd w:val="clear" w:color="auto" w:fill="E8E8E8"/>
          </w:tcPr>
          <w:p w:rsidR="00AF0FDB" w:rsidRPr="002C4F7C" w:rsidRDefault="00AF0FDB" w:rsidP="002C4F7C">
            <w:pPr>
              <w:pStyle w:val="ListParagraph"/>
              <w:ind w:left="0"/>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5</w:t>
            </w:r>
          </w:p>
        </w:tc>
        <w:tc>
          <w:tcPr>
            <w:tcW w:w="1727" w:type="dxa"/>
            <w:gridSpan w:val="2"/>
            <w:shd w:val="clear" w:color="auto" w:fill="E8E8E8"/>
          </w:tcPr>
          <w:p w:rsidR="00AF0FDB" w:rsidRPr="002C4F7C" w:rsidRDefault="00AF0FDB" w:rsidP="002C4F7C">
            <w:pPr>
              <w:pStyle w:val="ListParagraph"/>
              <w:ind w:left="0"/>
              <w:jc w:val="center"/>
              <w:rPr>
                <w:rFonts w:ascii="Times New Roman" w:hAnsi="Times New Roman" w:cs="Times New Roman"/>
                <w:b/>
                <w:bCs/>
                <w:sz w:val="24"/>
                <w:szCs w:val="24"/>
              </w:rPr>
            </w:pPr>
            <w:r w:rsidRPr="002C4F7C">
              <w:rPr>
                <w:rFonts w:ascii="Times New Roman" w:hAnsi="Times New Roman" w:cs="Times New Roman"/>
                <w:b/>
                <w:bCs/>
                <w:color w:val="000000"/>
                <w:sz w:val="20"/>
                <w:szCs w:val="20"/>
              </w:rPr>
              <w:t>12</w:t>
            </w:r>
          </w:p>
        </w:tc>
      </w:tr>
    </w:tbl>
    <w:p w:rsidR="00AF0FDB" w:rsidRDefault="00AF0FDB" w:rsidP="00642C07">
      <w:pPr>
        <w:pStyle w:val="Akapitzlist2"/>
        <w:spacing w:line="360" w:lineRule="auto"/>
        <w:ind w:left="0"/>
        <w:jc w:val="both"/>
        <w:rPr>
          <w:rFonts w:ascii="Arial" w:hAnsi="Arial" w:cs="Arial"/>
          <w:b/>
          <w:bCs/>
        </w:rPr>
      </w:pPr>
    </w:p>
    <w:p w:rsidR="00AF0FDB" w:rsidRPr="001C2774" w:rsidRDefault="00AF0FDB" w:rsidP="001C2774">
      <w:pPr>
        <w:pStyle w:val="Heading1"/>
        <w:rPr>
          <w:rFonts w:ascii="Times New Roman" w:hAnsi="Times New Roman" w:cs="Times New Roman"/>
          <w:sz w:val="24"/>
          <w:szCs w:val="24"/>
        </w:rPr>
      </w:pPr>
      <w:bookmarkStart w:id="342" w:name="_Toc938874"/>
      <w:r w:rsidRPr="001C2774">
        <w:rPr>
          <w:rFonts w:ascii="Times New Roman" w:hAnsi="Times New Roman" w:cs="Times New Roman"/>
          <w:sz w:val="24"/>
          <w:szCs w:val="24"/>
        </w:rPr>
        <w:t>Niepożądane odczyny poszczepienne</w:t>
      </w:r>
      <w:bookmarkEnd w:id="342"/>
    </w:p>
    <w:p w:rsidR="00AF0FDB" w:rsidRPr="00825C78" w:rsidRDefault="00AF0FDB" w:rsidP="00646B54">
      <w:pPr>
        <w:pStyle w:val="Standard"/>
        <w:spacing w:line="360" w:lineRule="auto"/>
        <w:jc w:val="both"/>
        <w:rPr>
          <w:rFonts w:ascii="Times New Roman" w:hAnsi="Times New Roman" w:cs="Times New Roman"/>
        </w:rPr>
      </w:pPr>
      <w:r>
        <w:rPr>
          <w:rFonts w:ascii="Times New Roman" w:hAnsi="Times New Roman" w:cs="Times New Roman"/>
        </w:rPr>
        <w:t>W roku 2018</w:t>
      </w:r>
      <w:r w:rsidRPr="00825C78">
        <w:rPr>
          <w:rFonts w:ascii="Times New Roman" w:hAnsi="Times New Roman" w:cs="Times New Roman"/>
        </w:rPr>
        <w:t xml:space="preserve"> do Powiatowej Stacji Sanitarno-Epidemiologicznej w Poznaniu zgłoszono </w:t>
      </w:r>
      <w:r>
        <w:rPr>
          <w:rFonts w:ascii="Times New Roman" w:hAnsi="Times New Roman" w:cs="Times New Roman"/>
        </w:rPr>
        <w:t>190</w:t>
      </w:r>
      <w:r w:rsidRPr="00034738">
        <w:rPr>
          <w:rFonts w:ascii="Times New Roman" w:hAnsi="Times New Roman" w:cs="Times New Roman"/>
          <w:color w:val="FF0000"/>
        </w:rPr>
        <w:t xml:space="preserve"> </w:t>
      </w:r>
      <w:r w:rsidRPr="00825C78">
        <w:rPr>
          <w:rFonts w:ascii="Times New Roman" w:hAnsi="Times New Roman" w:cs="Times New Roman"/>
        </w:rPr>
        <w:t>niepożądanych odczynów poszczepiennych (NOP):</w:t>
      </w:r>
    </w:p>
    <w:p w:rsidR="00AF0FDB" w:rsidRPr="00825C78" w:rsidRDefault="00AF0FDB" w:rsidP="009E386D">
      <w:pPr>
        <w:pStyle w:val="Akapitzlist2"/>
        <w:spacing w:line="360" w:lineRule="auto"/>
        <w:ind w:left="426"/>
        <w:jc w:val="both"/>
      </w:pPr>
      <w:r w:rsidRPr="00825C78">
        <w:tab/>
        <w:t xml:space="preserve">– </w:t>
      </w:r>
      <w:r>
        <w:t>15</w:t>
      </w:r>
      <w:r w:rsidRPr="00825C78">
        <w:t xml:space="preserve"> po podaniu szczepionki BCG</w:t>
      </w:r>
      <w:r>
        <w:t>,</w:t>
      </w:r>
    </w:p>
    <w:p w:rsidR="00AF0FDB" w:rsidRPr="00825C78" w:rsidRDefault="00AF0FDB" w:rsidP="009E386D">
      <w:pPr>
        <w:pStyle w:val="Akapitzlist2"/>
        <w:spacing w:line="360" w:lineRule="auto"/>
        <w:ind w:left="426"/>
        <w:jc w:val="both"/>
      </w:pPr>
      <w:r w:rsidRPr="00825C78">
        <w:tab/>
        <w:t xml:space="preserve">– </w:t>
      </w:r>
      <w:r>
        <w:t xml:space="preserve">175 </w:t>
      </w:r>
      <w:r w:rsidRPr="00825C78">
        <w:t>po podaniu innych szczepionek</w:t>
      </w:r>
      <w:r>
        <w:t>.</w:t>
      </w:r>
    </w:p>
    <w:p w:rsidR="00AF0FDB" w:rsidRDefault="00AF0FDB" w:rsidP="00646B54">
      <w:pPr>
        <w:pStyle w:val="Standard"/>
        <w:spacing w:line="360" w:lineRule="auto"/>
        <w:rPr>
          <w:rFonts w:ascii="Times New Roman" w:hAnsi="Times New Roman" w:cs="Times New Roman"/>
        </w:rPr>
      </w:pPr>
      <w:r>
        <w:rPr>
          <w:rFonts w:ascii="Times New Roman" w:hAnsi="Times New Roman" w:cs="Times New Roman"/>
        </w:rPr>
        <w:t>W stosunku do roku 2017</w:t>
      </w:r>
      <w:r w:rsidRPr="00825C78">
        <w:rPr>
          <w:rFonts w:ascii="Times New Roman" w:hAnsi="Times New Roman" w:cs="Times New Roman"/>
        </w:rPr>
        <w:t xml:space="preserve"> liczba </w:t>
      </w:r>
      <w:r>
        <w:rPr>
          <w:rFonts w:ascii="Times New Roman" w:hAnsi="Times New Roman" w:cs="Times New Roman"/>
        </w:rPr>
        <w:t xml:space="preserve">zgłoszeń </w:t>
      </w:r>
      <w:r w:rsidRPr="00825C78">
        <w:rPr>
          <w:rFonts w:ascii="Times New Roman" w:hAnsi="Times New Roman" w:cs="Times New Roman"/>
        </w:rPr>
        <w:t>niepożądanych odczynó</w:t>
      </w:r>
      <w:r>
        <w:rPr>
          <w:rFonts w:ascii="Times New Roman" w:hAnsi="Times New Roman" w:cs="Times New Roman"/>
        </w:rPr>
        <w:t>w poszczepiennych utrzymuje się na porównywalnym poziomie, odnotowano nieznaczny wzrost ich występowania tj.: o 1 przypadek (0,5</w:t>
      </w:r>
      <w:r w:rsidRPr="00825C78">
        <w:rPr>
          <w:rFonts w:ascii="Times New Roman" w:hAnsi="Times New Roman" w:cs="Times New Roman"/>
        </w:rPr>
        <w:t>%</w:t>
      </w:r>
      <w:r>
        <w:rPr>
          <w:rFonts w:ascii="Times New Roman" w:hAnsi="Times New Roman" w:cs="Times New Roman"/>
        </w:rPr>
        <w:t>)</w:t>
      </w:r>
      <w:r w:rsidRPr="00825C78">
        <w:rPr>
          <w:rFonts w:ascii="Times New Roman" w:hAnsi="Times New Roman" w:cs="Times New Roman"/>
        </w:rPr>
        <w:t>.</w:t>
      </w:r>
    </w:p>
    <w:p w:rsidR="00AF0FDB" w:rsidRDefault="00AF0FDB" w:rsidP="00642C07">
      <w:pPr>
        <w:pStyle w:val="Standard"/>
        <w:spacing w:line="276" w:lineRule="auto"/>
        <w:jc w:val="both"/>
        <w:rPr>
          <w:rFonts w:ascii="Times New Roman" w:hAnsi="Times New Roman" w:cs="Times New Roman"/>
          <w:sz w:val="20"/>
          <w:szCs w:val="20"/>
        </w:rPr>
      </w:pPr>
      <w:r w:rsidRPr="008F76D1">
        <w:rPr>
          <w:rFonts w:ascii="Times New Roman" w:hAnsi="Times New Roman" w:cs="Times New Roman"/>
          <w:b/>
          <w:bCs/>
          <w:sz w:val="20"/>
          <w:szCs w:val="20"/>
        </w:rPr>
        <w:t>Tab. 1</w:t>
      </w:r>
      <w:r>
        <w:rPr>
          <w:rFonts w:ascii="Times New Roman" w:hAnsi="Times New Roman" w:cs="Times New Roman"/>
          <w:b/>
          <w:bCs/>
          <w:sz w:val="20"/>
          <w:szCs w:val="20"/>
        </w:rPr>
        <w:t>1</w:t>
      </w:r>
      <w:r w:rsidRPr="008F76D1">
        <w:rPr>
          <w:rFonts w:ascii="Times New Roman" w:hAnsi="Times New Roman" w:cs="Times New Roman"/>
          <w:b/>
          <w:bCs/>
          <w:sz w:val="20"/>
          <w:szCs w:val="20"/>
        </w:rPr>
        <w:t>.</w:t>
      </w:r>
      <w:r>
        <w:rPr>
          <w:rFonts w:ascii="Times New Roman" w:hAnsi="Times New Roman" w:cs="Times New Roman"/>
          <w:sz w:val="20"/>
          <w:szCs w:val="20"/>
        </w:rPr>
        <w:t xml:space="preserve"> Liczba </w:t>
      </w:r>
      <w:bookmarkStart w:id="343" w:name="_Hlk506278752"/>
      <w:r>
        <w:rPr>
          <w:rFonts w:ascii="Times New Roman" w:hAnsi="Times New Roman" w:cs="Times New Roman"/>
          <w:sz w:val="20"/>
          <w:szCs w:val="20"/>
        </w:rPr>
        <w:t xml:space="preserve">niepożądanych odczynów poszczepiennych </w:t>
      </w:r>
      <w:bookmarkEnd w:id="343"/>
      <w:r>
        <w:rPr>
          <w:rFonts w:ascii="Times New Roman" w:hAnsi="Times New Roman" w:cs="Times New Roman"/>
          <w:sz w:val="20"/>
          <w:szCs w:val="20"/>
        </w:rPr>
        <w:t>po szczepionce BCG zarejestrowanych w PSSE</w:t>
      </w:r>
      <w:r>
        <w:rPr>
          <w:rFonts w:ascii="Times New Roman" w:hAnsi="Times New Roman" w:cs="Times New Roman"/>
          <w:sz w:val="20"/>
          <w:szCs w:val="20"/>
        </w:rPr>
        <w:br/>
        <w:t>w Poznaniu w latach 2016–2018.</w:t>
      </w:r>
    </w:p>
    <w:tbl>
      <w:tblPr>
        <w:tblW w:w="8775"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1553"/>
        <w:gridCol w:w="851"/>
        <w:gridCol w:w="850"/>
        <w:gridCol w:w="851"/>
        <w:gridCol w:w="850"/>
        <w:gridCol w:w="851"/>
        <w:gridCol w:w="850"/>
        <w:gridCol w:w="702"/>
        <w:gridCol w:w="709"/>
        <w:gridCol w:w="708"/>
      </w:tblGrid>
      <w:tr w:rsidR="00AF0FDB" w:rsidRPr="00E511FD">
        <w:tc>
          <w:tcPr>
            <w:tcW w:w="1553" w:type="dxa"/>
            <w:vMerge w:val="restart"/>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Rok</w:t>
            </w:r>
          </w:p>
        </w:tc>
        <w:tc>
          <w:tcPr>
            <w:tcW w:w="5103" w:type="dxa"/>
            <w:gridSpan w:val="6"/>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Liczba zgłoszeń NOP</w:t>
            </w:r>
          </w:p>
        </w:tc>
        <w:tc>
          <w:tcPr>
            <w:tcW w:w="2119" w:type="dxa"/>
            <w:gridSpan w:val="3"/>
            <w:vMerge w:val="restart"/>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Inne zgłoszenia</w:t>
            </w:r>
          </w:p>
        </w:tc>
      </w:tr>
      <w:tr w:rsidR="00AF0FDB" w:rsidRPr="00E511FD">
        <w:tc>
          <w:tcPr>
            <w:tcW w:w="1553" w:type="dxa"/>
            <w:vMerge/>
            <w:shd w:val="clear" w:color="auto" w:fill="E8E8E8"/>
          </w:tcPr>
          <w:p w:rsidR="00AF0FDB" w:rsidRPr="002C4F7C" w:rsidRDefault="00AF0FDB" w:rsidP="002C4F7C">
            <w:pPr>
              <w:jc w:val="center"/>
              <w:rPr>
                <w:sz w:val="22"/>
                <w:szCs w:val="22"/>
              </w:rPr>
            </w:pPr>
          </w:p>
        </w:tc>
        <w:tc>
          <w:tcPr>
            <w:tcW w:w="2552" w:type="dxa"/>
            <w:gridSpan w:val="3"/>
          </w:tcPr>
          <w:p w:rsidR="00AF0FDB" w:rsidRPr="002C4F7C" w:rsidRDefault="00AF0FDB" w:rsidP="002C4F7C">
            <w:pPr>
              <w:pStyle w:val="Akapitzlist2"/>
              <w:spacing w:line="276" w:lineRule="auto"/>
              <w:ind w:left="0"/>
              <w:jc w:val="center"/>
              <w:rPr>
                <w:b/>
                <w:bCs/>
                <w:sz w:val="20"/>
                <w:szCs w:val="20"/>
              </w:rPr>
            </w:pPr>
            <w:r w:rsidRPr="002C4F7C">
              <w:rPr>
                <w:b/>
                <w:bCs/>
                <w:sz w:val="20"/>
                <w:szCs w:val="20"/>
              </w:rPr>
              <w:t>ogółem</w:t>
            </w:r>
          </w:p>
        </w:tc>
        <w:tc>
          <w:tcPr>
            <w:tcW w:w="2551" w:type="dxa"/>
            <w:gridSpan w:val="3"/>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w tym hospitalizacja</w:t>
            </w:r>
          </w:p>
        </w:tc>
        <w:tc>
          <w:tcPr>
            <w:tcW w:w="2119" w:type="dxa"/>
            <w:gridSpan w:val="3"/>
            <w:vMerge/>
          </w:tcPr>
          <w:p w:rsidR="00AF0FDB" w:rsidRPr="002C4F7C" w:rsidRDefault="00AF0FDB" w:rsidP="002C4F7C">
            <w:pPr>
              <w:jc w:val="center"/>
              <w:rPr>
                <w:sz w:val="22"/>
                <w:szCs w:val="22"/>
              </w:rPr>
            </w:pPr>
          </w:p>
        </w:tc>
      </w:tr>
      <w:tr w:rsidR="00AF0FDB" w:rsidRPr="00E511FD">
        <w:tc>
          <w:tcPr>
            <w:tcW w:w="1553" w:type="dxa"/>
            <w:vMerge/>
            <w:shd w:val="clear" w:color="auto" w:fill="E8E8E8"/>
          </w:tcPr>
          <w:p w:rsidR="00AF0FDB" w:rsidRPr="002C4F7C" w:rsidRDefault="00AF0FDB" w:rsidP="002C4F7C">
            <w:pPr>
              <w:jc w:val="center"/>
              <w:rPr>
                <w:sz w:val="22"/>
                <w:szCs w:val="22"/>
              </w:rPr>
            </w:pPr>
          </w:p>
        </w:tc>
        <w:tc>
          <w:tcPr>
            <w:tcW w:w="851"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2016</w:t>
            </w:r>
          </w:p>
        </w:tc>
        <w:tc>
          <w:tcPr>
            <w:tcW w:w="850" w:type="dxa"/>
            <w:shd w:val="clear" w:color="auto" w:fill="E8E8E8"/>
          </w:tcPr>
          <w:p w:rsidR="00AF0FDB" w:rsidRPr="002C4F7C" w:rsidRDefault="00AF0FDB" w:rsidP="002C4F7C">
            <w:pPr>
              <w:pStyle w:val="Akapitzlist2"/>
              <w:spacing w:line="276" w:lineRule="auto"/>
              <w:ind w:left="0"/>
              <w:jc w:val="center"/>
              <w:rPr>
                <w:b/>
                <w:bCs/>
              </w:rPr>
            </w:pPr>
            <w:r w:rsidRPr="002C4F7C">
              <w:rPr>
                <w:b/>
                <w:bCs/>
                <w:sz w:val="20"/>
                <w:szCs w:val="20"/>
              </w:rPr>
              <w:t>2017</w:t>
            </w:r>
          </w:p>
        </w:tc>
        <w:tc>
          <w:tcPr>
            <w:tcW w:w="851"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2018</w:t>
            </w:r>
          </w:p>
        </w:tc>
        <w:tc>
          <w:tcPr>
            <w:tcW w:w="850"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2016</w:t>
            </w:r>
          </w:p>
        </w:tc>
        <w:tc>
          <w:tcPr>
            <w:tcW w:w="851"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2017</w:t>
            </w:r>
          </w:p>
        </w:tc>
        <w:tc>
          <w:tcPr>
            <w:tcW w:w="850"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2018</w:t>
            </w:r>
          </w:p>
        </w:tc>
        <w:tc>
          <w:tcPr>
            <w:tcW w:w="702"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2016</w:t>
            </w:r>
          </w:p>
        </w:tc>
        <w:tc>
          <w:tcPr>
            <w:tcW w:w="709"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2017</w:t>
            </w:r>
          </w:p>
        </w:tc>
        <w:tc>
          <w:tcPr>
            <w:tcW w:w="708"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2018</w:t>
            </w:r>
          </w:p>
        </w:tc>
      </w:tr>
      <w:tr w:rsidR="00AF0FDB" w:rsidRPr="00E511FD">
        <w:tc>
          <w:tcPr>
            <w:tcW w:w="1553" w:type="dxa"/>
            <w:shd w:val="clear" w:color="auto" w:fill="E8E8E8"/>
          </w:tcPr>
          <w:p w:rsidR="00AF0FDB" w:rsidRPr="002C4F7C" w:rsidRDefault="00AF0FDB" w:rsidP="002C4F7C">
            <w:pPr>
              <w:pStyle w:val="Akapitzlist2"/>
              <w:spacing w:line="276" w:lineRule="auto"/>
              <w:ind w:left="0"/>
              <w:jc w:val="center"/>
              <w:rPr>
                <w:sz w:val="20"/>
                <w:szCs w:val="20"/>
              </w:rPr>
            </w:pPr>
            <w:r w:rsidRPr="002C4F7C">
              <w:rPr>
                <w:sz w:val="20"/>
                <w:szCs w:val="20"/>
              </w:rPr>
              <w:t>Liczba</w:t>
            </w:r>
          </w:p>
        </w:tc>
        <w:tc>
          <w:tcPr>
            <w:tcW w:w="851" w:type="dxa"/>
          </w:tcPr>
          <w:p w:rsidR="00AF0FDB" w:rsidRPr="002C4F7C" w:rsidRDefault="00AF0FDB" w:rsidP="002C4F7C">
            <w:pPr>
              <w:pStyle w:val="Akapitzlist2"/>
              <w:spacing w:line="276" w:lineRule="auto"/>
              <w:ind w:left="0"/>
              <w:jc w:val="center"/>
              <w:rPr>
                <w:sz w:val="20"/>
                <w:szCs w:val="20"/>
              </w:rPr>
            </w:pPr>
            <w:r w:rsidRPr="002C4F7C">
              <w:rPr>
                <w:sz w:val="20"/>
                <w:szCs w:val="20"/>
              </w:rPr>
              <w:t>14</w:t>
            </w:r>
          </w:p>
        </w:tc>
        <w:tc>
          <w:tcPr>
            <w:tcW w:w="850" w:type="dxa"/>
            <w:shd w:val="clear" w:color="auto" w:fill="E8E8E8"/>
          </w:tcPr>
          <w:p w:rsidR="00AF0FDB" w:rsidRPr="002C4F7C" w:rsidRDefault="00AF0FDB" w:rsidP="002C4F7C">
            <w:pPr>
              <w:pStyle w:val="Akapitzlist2"/>
              <w:spacing w:line="276" w:lineRule="auto"/>
              <w:ind w:left="0"/>
              <w:jc w:val="center"/>
              <w:rPr>
                <w:sz w:val="20"/>
                <w:szCs w:val="20"/>
              </w:rPr>
            </w:pPr>
            <w:r w:rsidRPr="002C4F7C">
              <w:rPr>
                <w:sz w:val="20"/>
                <w:szCs w:val="20"/>
              </w:rPr>
              <w:t>25</w:t>
            </w:r>
          </w:p>
        </w:tc>
        <w:tc>
          <w:tcPr>
            <w:tcW w:w="851" w:type="dxa"/>
          </w:tcPr>
          <w:p w:rsidR="00AF0FDB" w:rsidRPr="002C4F7C" w:rsidRDefault="00AF0FDB" w:rsidP="002C4F7C">
            <w:pPr>
              <w:pStyle w:val="Akapitzlist2"/>
              <w:spacing w:line="276" w:lineRule="auto"/>
              <w:ind w:left="0"/>
              <w:jc w:val="center"/>
            </w:pPr>
            <w:r w:rsidRPr="002C4F7C">
              <w:rPr>
                <w:sz w:val="20"/>
                <w:szCs w:val="20"/>
              </w:rPr>
              <w:t>15</w:t>
            </w:r>
            <w:r w:rsidRPr="002C4F7C">
              <w:rPr>
                <w:sz w:val="20"/>
                <w:szCs w:val="20"/>
                <w:vertAlign w:val="superscript"/>
              </w:rPr>
              <w:t>x</w:t>
            </w:r>
          </w:p>
        </w:tc>
        <w:tc>
          <w:tcPr>
            <w:tcW w:w="850" w:type="dxa"/>
            <w:shd w:val="clear" w:color="auto" w:fill="E8E8E8"/>
          </w:tcPr>
          <w:p w:rsidR="00AF0FDB" w:rsidRPr="002C4F7C" w:rsidRDefault="00AF0FDB" w:rsidP="002C4F7C">
            <w:pPr>
              <w:pStyle w:val="Akapitzlist2"/>
              <w:spacing w:line="276" w:lineRule="auto"/>
              <w:ind w:left="0"/>
              <w:jc w:val="center"/>
              <w:rPr>
                <w:sz w:val="20"/>
                <w:szCs w:val="20"/>
              </w:rPr>
            </w:pPr>
            <w:r w:rsidRPr="002C4F7C">
              <w:rPr>
                <w:sz w:val="20"/>
                <w:szCs w:val="20"/>
              </w:rPr>
              <w:t>4</w:t>
            </w:r>
          </w:p>
        </w:tc>
        <w:tc>
          <w:tcPr>
            <w:tcW w:w="851" w:type="dxa"/>
          </w:tcPr>
          <w:p w:rsidR="00AF0FDB" w:rsidRPr="002C4F7C" w:rsidRDefault="00AF0FDB" w:rsidP="002C4F7C">
            <w:pPr>
              <w:pStyle w:val="Akapitzlist2"/>
              <w:spacing w:line="276" w:lineRule="auto"/>
              <w:ind w:left="0"/>
              <w:jc w:val="center"/>
              <w:rPr>
                <w:sz w:val="20"/>
                <w:szCs w:val="20"/>
              </w:rPr>
            </w:pPr>
            <w:r w:rsidRPr="002C4F7C">
              <w:rPr>
                <w:sz w:val="20"/>
                <w:szCs w:val="20"/>
              </w:rPr>
              <w:t>8</w:t>
            </w:r>
          </w:p>
        </w:tc>
        <w:tc>
          <w:tcPr>
            <w:tcW w:w="850" w:type="dxa"/>
            <w:shd w:val="clear" w:color="auto" w:fill="E8E8E8"/>
          </w:tcPr>
          <w:p w:rsidR="00AF0FDB" w:rsidRPr="002C4F7C" w:rsidRDefault="00AF0FDB" w:rsidP="002C4F7C">
            <w:pPr>
              <w:pStyle w:val="Akapitzlist2"/>
              <w:spacing w:line="276" w:lineRule="auto"/>
              <w:ind w:left="0"/>
              <w:jc w:val="center"/>
              <w:rPr>
                <w:sz w:val="20"/>
                <w:szCs w:val="20"/>
              </w:rPr>
            </w:pPr>
            <w:r w:rsidRPr="002C4F7C">
              <w:rPr>
                <w:sz w:val="20"/>
                <w:szCs w:val="20"/>
              </w:rPr>
              <w:t>10</w:t>
            </w:r>
          </w:p>
        </w:tc>
        <w:tc>
          <w:tcPr>
            <w:tcW w:w="702" w:type="dxa"/>
          </w:tcPr>
          <w:p w:rsidR="00AF0FDB" w:rsidRPr="002C4F7C" w:rsidRDefault="00AF0FDB" w:rsidP="002C4F7C">
            <w:pPr>
              <w:pStyle w:val="Akapitzlist2"/>
              <w:spacing w:line="276" w:lineRule="auto"/>
              <w:ind w:left="0"/>
              <w:jc w:val="center"/>
              <w:rPr>
                <w:sz w:val="20"/>
                <w:szCs w:val="20"/>
              </w:rPr>
            </w:pPr>
            <w:r w:rsidRPr="002C4F7C">
              <w:rPr>
                <w:sz w:val="20"/>
                <w:szCs w:val="20"/>
              </w:rPr>
              <w:t>0</w:t>
            </w:r>
          </w:p>
        </w:tc>
        <w:tc>
          <w:tcPr>
            <w:tcW w:w="709" w:type="dxa"/>
            <w:shd w:val="clear" w:color="auto" w:fill="E8E8E8"/>
          </w:tcPr>
          <w:p w:rsidR="00AF0FDB" w:rsidRPr="002C4F7C" w:rsidRDefault="00AF0FDB" w:rsidP="002C4F7C">
            <w:pPr>
              <w:pStyle w:val="Akapitzlist2"/>
              <w:spacing w:line="276" w:lineRule="auto"/>
              <w:ind w:left="0"/>
              <w:jc w:val="center"/>
              <w:rPr>
                <w:sz w:val="20"/>
                <w:szCs w:val="20"/>
              </w:rPr>
            </w:pPr>
            <w:r w:rsidRPr="002C4F7C">
              <w:rPr>
                <w:sz w:val="20"/>
                <w:szCs w:val="20"/>
              </w:rPr>
              <w:t>0</w:t>
            </w:r>
          </w:p>
        </w:tc>
        <w:tc>
          <w:tcPr>
            <w:tcW w:w="708" w:type="dxa"/>
          </w:tcPr>
          <w:p w:rsidR="00AF0FDB" w:rsidRPr="002C4F7C" w:rsidRDefault="00AF0FDB" w:rsidP="002C4F7C">
            <w:pPr>
              <w:pStyle w:val="Akapitzlist2"/>
              <w:spacing w:line="276" w:lineRule="auto"/>
              <w:ind w:left="0"/>
              <w:jc w:val="center"/>
              <w:rPr>
                <w:sz w:val="20"/>
                <w:szCs w:val="20"/>
              </w:rPr>
            </w:pPr>
            <w:r w:rsidRPr="002C4F7C">
              <w:rPr>
                <w:sz w:val="20"/>
                <w:szCs w:val="20"/>
              </w:rPr>
              <w:t>0</w:t>
            </w:r>
          </w:p>
        </w:tc>
      </w:tr>
    </w:tbl>
    <w:p w:rsidR="00AF0FDB" w:rsidRPr="00B036E6" w:rsidRDefault="00AF0FDB" w:rsidP="009E386D">
      <w:pPr>
        <w:pStyle w:val="Akapitzlist2"/>
        <w:spacing w:line="276" w:lineRule="auto"/>
        <w:ind w:left="0" w:firstLine="708"/>
        <w:jc w:val="both"/>
        <w:rPr>
          <w:sz w:val="16"/>
          <w:szCs w:val="16"/>
        </w:rPr>
      </w:pPr>
      <w:r w:rsidRPr="00B036E6">
        <w:rPr>
          <w:sz w:val="16"/>
          <w:szCs w:val="16"/>
          <w:vertAlign w:val="superscript"/>
        </w:rPr>
        <w:t>x/</w:t>
      </w:r>
      <w:r w:rsidRPr="00B036E6">
        <w:rPr>
          <w:sz w:val="16"/>
          <w:szCs w:val="16"/>
        </w:rPr>
        <w:t xml:space="preserve">na </w:t>
      </w:r>
      <w:r>
        <w:rPr>
          <w:sz w:val="16"/>
          <w:szCs w:val="16"/>
        </w:rPr>
        <w:t>1</w:t>
      </w:r>
      <w:r w:rsidRPr="00B036E6">
        <w:rPr>
          <w:sz w:val="16"/>
          <w:szCs w:val="16"/>
        </w:rPr>
        <w:t xml:space="preserve">5 zgłoszeń NOP: </w:t>
      </w:r>
      <w:r>
        <w:rPr>
          <w:sz w:val="16"/>
          <w:szCs w:val="16"/>
        </w:rPr>
        <w:t>13</w:t>
      </w:r>
      <w:r w:rsidRPr="00B036E6">
        <w:rPr>
          <w:sz w:val="16"/>
          <w:szCs w:val="16"/>
        </w:rPr>
        <w:t xml:space="preserve"> zakwalifikowano jako NOP łagodny, </w:t>
      </w:r>
      <w:r>
        <w:rPr>
          <w:sz w:val="16"/>
          <w:szCs w:val="16"/>
        </w:rPr>
        <w:t>2</w:t>
      </w:r>
      <w:r w:rsidRPr="00B036E6">
        <w:rPr>
          <w:sz w:val="16"/>
          <w:szCs w:val="16"/>
        </w:rPr>
        <w:t xml:space="preserve"> jako poważny.</w:t>
      </w:r>
    </w:p>
    <w:p w:rsidR="00AF0FDB" w:rsidRDefault="00AF0FDB" w:rsidP="00642C07">
      <w:pPr>
        <w:pStyle w:val="ListParagraph"/>
        <w:ind w:left="426"/>
        <w:jc w:val="both"/>
        <w:rPr>
          <w:color w:val="2E74B5"/>
          <w:sz w:val="20"/>
          <w:szCs w:val="20"/>
        </w:rPr>
      </w:pPr>
    </w:p>
    <w:p w:rsidR="00AF0FDB" w:rsidRDefault="00AF0FDB" w:rsidP="008F76D1">
      <w:pPr>
        <w:pStyle w:val="Standard"/>
        <w:spacing w:line="276" w:lineRule="auto"/>
        <w:ind w:left="1134" w:hanging="1134"/>
        <w:jc w:val="both"/>
        <w:rPr>
          <w:rFonts w:ascii="Times New Roman" w:hAnsi="Times New Roman" w:cs="Times New Roman"/>
          <w:sz w:val="20"/>
          <w:szCs w:val="20"/>
        </w:rPr>
      </w:pPr>
      <w:r w:rsidRPr="008F76D1">
        <w:rPr>
          <w:b/>
          <w:bCs/>
          <w:color w:val="2E74B5"/>
          <w:sz w:val="20"/>
          <w:szCs w:val="20"/>
        </w:rPr>
        <w:t xml:space="preserve">    </w:t>
      </w:r>
      <w:r w:rsidRPr="008F76D1">
        <w:rPr>
          <w:rFonts w:ascii="Times New Roman" w:hAnsi="Times New Roman" w:cs="Times New Roman"/>
          <w:b/>
          <w:bCs/>
          <w:color w:val="2E74B5"/>
          <w:sz w:val="20"/>
          <w:szCs w:val="20"/>
        </w:rPr>
        <w:t xml:space="preserve"> </w:t>
      </w:r>
      <w:r w:rsidRPr="008F76D1">
        <w:rPr>
          <w:rFonts w:ascii="Times New Roman" w:hAnsi="Times New Roman" w:cs="Times New Roman"/>
          <w:b/>
          <w:bCs/>
          <w:sz w:val="20"/>
          <w:szCs w:val="20"/>
        </w:rPr>
        <w:t>Tab. 1</w:t>
      </w:r>
      <w:r>
        <w:rPr>
          <w:rFonts w:ascii="Times New Roman" w:hAnsi="Times New Roman" w:cs="Times New Roman"/>
          <w:b/>
          <w:bCs/>
          <w:sz w:val="20"/>
          <w:szCs w:val="20"/>
        </w:rPr>
        <w:t>2</w:t>
      </w:r>
      <w:r>
        <w:rPr>
          <w:rFonts w:ascii="Times New Roman" w:hAnsi="Times New Roman" w:cs="Times New Roman"/>
          <w:sz w:val="20"/>
          <w:szCs w:val="20"/>
        </w:rPr>
        <w:t xml:space="preserve">.Liczba niepożądanych odczynów poszczepiennych po innych szczepionkach niż BCG zarejestrowanych w PSSE w Poznaniu w 2018 r., według rodzaju preparatu szczepionkowego i zakwalifikowania. </w:t>
      </w:r>
    </w:p>
    <w:tbl>
      <w:tblPr>
        <w:tblW w:w="9157"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522"/>
        <w:gridCol w:w="2115"/>
        <w:gridCol w:w="1699"/>
        <w:gridCol w:w="1607"/>
        <w:gridCol w:w="1607"/>
        <w:gridCol w:w="1607"/>
      </w:tblGrid>
      <w:tr w:rsidR="00AF0FDB" w:rsidRPr="00825C78">
        <w:trPr>
          <w:tblHeader/>
        </w:trPr>
        <w:tc>
          <w:tcPr>
            <w:tcW w:w="522" w:type="dxa"/>
            <w:vMerge w:val="restart"/>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Lp.</w:t>
            </w:r>
          </w:p>
        </w:tc>
        <w:tc>
          <w:tcPr>
            <w:tcW w:w="2115" w:type="dxa"/>
            <w:vMerge w:val="restart"/>
          </w:tcPr>
          <w:p w:rsidR="00AF0FDB" w:rsidRPr="002C4F7C" w:rsidRDefault="00AF0FDB" w:rsidP="002C4F7C">
            <w:pPr>
              <w:pStyle w:val="Akapitzlist2"/>
              <w:spacing w:line="276" w:lineRule="auto"/>
              <w:ind w:left="0"/>
              <w:jc w:val="center"/>
              <w:rPr>
                <w:b/>
                <w:bCs/>
                <w:sz w:val="20"/>
                <w:szCs w:val="20"/>
              </w:rPr>
            </w:pPr>
            <w:r w:rsidRPr="002C4F7C">
              <w:rPr>
                <w:b/>
                <w:bCs/>
                <w:sz w:val="20"/>
                <w:szCs w:val="20"/>
              </w:rPr>
              <w:t>Rodzaj szczepionki</w:t>
            </w:r>
          </w:p>
        </w:tc>
        <w:tc>
          <w:tcPr>
            <w:tcW w:w="1699" w:type="dxa"/>
            <w:vMerge w:val="restart"/>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Liczba zgłoszeń</w:t>
            </w:r>
          </w:p>
        </w:tc>
        <w:tc>
          <w:tcPr>
            <w:tcW w:w="4821" w:type="dxa"/>
            <w:gridSpan w:val="3"/>
          </w:tcPr>
          <w:p w:rsidR="00AF0FDB" w:rsidRPr="002C4F7C" w:rsidRDefault="00AF0FDB" w:rsidP="002C4F7C">
            <w:pPr>
              <w:pStyle w:val="Akapitzlist2"/>
              <w:spacing w:line="276" w:lineRule="auto"/>
              <w:ind w:left="0"/>
              <w:jc w:val="center"/>
              <w:rPr>
                <w:b/>
                <w:bCs/>
                <w:sz w:val="20"/>
                <w:szCs w:val="20"/>
              </w:rPr>
            </w:pPr>
            <w:r w:rsidRPr="002C4F7C">
              <w:rPr>
                <w:b/>
                <w:bCs/>
                <w:sz w:val="20"/>
                <w:szCs w:val="20"/>
              </w:rPr>
              <w:t>Kwalifikacja NOP</w:t>
            </w:r>
          </w:p>
        </w:tc>
      </w:tr>
      <w:tr w:rsidR="00AF0FDB" w:rsidRPr="00825C78">
        <w:trPr>
          <w:tblHeader/>
        </w:trPr>
        <w:tc>
          <w:tcPr>
            <w:tcW w:w="522" w:type="dxa"/>
            <w:vMerge/>
            <w:shd w:val="clear" w:color="auto" w:fill="E8E8E8"/>
          </w:tcPr>
          <w:p w:rsidR="00AF0FDB" w:rsidRPr="002C4F7C" w:rsidRDefault="00AF0FDB" w:rsidP="002C4F7C">
            <w:pPr>
              <w:jc w:val="center"/>
              <w:rPr>
                <w:sz w:val="20"/>
                <w:szCs w:val="20"/>
              </w:rPr>
            </w:pPr>
          </w:p>
        </w:tc>
        <w:tc>
          <w:tcPr>
            <w:tcW w:w="2115" w:type="dxa"/>
            <w:vMerge/>
          </w:tcPr>
          <w:p w:rsidR="00AF0FDB" w:rsidRPr="002C4F7C" w:rsidRDefault="00AF0FDB" w:rsidP="002C4F7C">
            <w:pPr>
              <w:jc w:val="center"/>
              <w:rPr>
                <w:sz w:val="20"/>
                <w:szCs w:val="20"/>
              </w:rPr>
            </w:pPr>
          </w:p>
        </w:tc>
        <w:tc>
          <w:tcPr>
            <w:tcW w:w="1699" w:type="dxa"/>
            <w:vMerge/>
            <w:shd w:val="clear" w:color="auto" w:fill="E8E8E8"/>
          </w:tcPr>
          <w:p w:rsidR="00AF0FDB" w:rsidRPr="002C4F7C" w:rsidRDefault="00AF0FDB" w:rsidP="002C4F7C">
            <w:pPr>
              <w:jc w:val="center"/>
              <w:rPr>
                <w:sz w:val="20"/>
                <w:szCs w:val="20"/>
              </w:rPr>
            </w:pPr>
          </w:p>
        </w:tc>
        <w:tc>
          <w:tcPr>
            <w:tcW w:w="1607" w:type="dxa"/>
          </w:tcPr>
          <w:p w:rsidR="00AF0FDB" w:rsidRPr="002C4F7C" w:rsidRDefault="00AF0FDB" w:rsidP="002C4F7C">
            <w:pPr>
              <w:pStyle w:val="Akapitzlist2"/>
              <w:spacing w:line="276" w:lineRule="auto"/>
              <w:ind w:left="0"/>
              <w:jc w:val="center"/>
              <w:rPr>
                <w:b/>
                <w:bCs/>
                <w:sz w:val="20"/>
                <w:szCs w:val="20"/>
              </w:rPr>
            </w:pPr>
            <w:r w:rsidRPr="002C4F7C">
              <w:rPr>
                <w:b/>
                <w:bCs/>
                <w:sz w:val="20"/>
                <w:szCs w:val="20"/>
              </w:rPr>
              <w:t>łagodny</w:t>
            </w:r>
          </w:p>
        </w:tc>
        <w:tc>
          <w:tcPr>
            <w:tcW w:w="1607" w:type="dxa"/>
            <w:shd w:val="clear" w:color="auto" w:fill="E8E8E8"/>
          </w:tcPr>
          <w:p w:rsidR="00AF0FDB" w:rsidRPr="002C4F7C" w:rsidRDefault="00AF0FDB" w:rsidP="002C4F7C">
            <w:pPr>
              <w:pStyle w:val="Akapitzlist2"/>
              <w:spacing w:line="276" w:lineRule="auto"/>
              <w:ind w:left="0"/>
              <w:jc w:val="center"/>
              <w:rPr>
                <w:b/>
                <w:bCs/>
                <w:sz w:val="20"/>
                <w:szCs w:val="20"/>
              </w:rPr>
            </w:pPr>
            <w:r w:rsidRPr="002C4F7C">
              <w:rPr>
                <w:b/>
                <w:bCs/>
                <w:sz w:val="20"/>
                <w:szCs w:val="20"/>
              </w:rPr>
              <w:t>poważny</w:t>
            </w:r>
          </w:p>
        </w:tc>
        <w:tc>
          <w:tcPr>
            <w:tcW w:w="1607" w:type="dxa"/>
          </w:tcPr>
          <w:p w:rsidR="00AF0FDB" w:rsidRPr="002C4F7C" w:rsidRDefault="00AF0FDB" w:rsidP="002C4F7C">
            <w:pPr>
              <w:pStyle w:val="Akapitzlist2"/>
              <w:spacing w:line="276" w:lineRule="auto"/>
              <w:ind w:left="0"/>
              <w:jc w:val="center"/>
              <w:rPr>
                <w:b/>
                <w:bCs/>
                <w:sz w:val="20"/>
                <w:szCs w:val="20"/>
              </w:rPr>
            </w:pPr>
            <w:r w:rsidRPr="002C4F7C">
              <w:rPr>
                <w:b/>
                <w:bCs/>
                <w:sz w:val="20"/>
                <w:szCs w:val="20"/>
              </w:rPr>
              <w:t>ciężki</w:t>
            </w:r>
          </w:p>
        </w:tc>
      </w:tr>
      <w:tr w:rsidR="00AF0FDB" w:rsidRPr="00825C78">
        <w:trPr>
          <w:trHeight w:val="272"/>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ACT-HIB</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15</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r>
      <w:tr w:rsidR="00AF0FDB" w:rsidRPr="00825C78">
        <w:trPr>
          <w:trHeight w:val="255"/>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AVAXIM</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rPr>
          <w:trHeight w:val="225"/>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BEXERO</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BOOSTRIX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5.</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CLODIVAC</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DTP</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28</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22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2</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7.</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ENGERIX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8.</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EUVAX B</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12</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8</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9.</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HAVRIX ADULTS</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10.</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HEXACIMA</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11.</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IMOVAX POLIO</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9</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8</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12.</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INFANRIX DTPa</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13.</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INFANRIX HEXA</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17</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17</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14.</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INFANRIX IPV-Hib</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14</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10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1</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15.</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M-M-RVAXPRO</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25</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16.</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NEISVAC-C</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17.</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NIMENRIX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5F30FD">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18.</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PENTAXIM</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rPr>
          <w:trHeight w:val="192"/>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19.</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PREVENAR 13</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5</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r>
      <w:tr w:rsidR="00AF0FDB" w:rsidRPr="00825C78">
        <w:trPr>
          <w:trHeight w:val="228"/>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20.</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PRIORIX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5</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rPr>
          <w:trHeight w:val="228"/>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21.</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RABIPUR</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r>
      <w:tr w:rsidR="00AF0FDB" w:rsidRPr="00825C78">
        <w:trPr>
          <w:trHeight w:val="235"/>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22.</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ROTARIX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rPr>
          <w:trHeight w:val="230"/>
        </w:trPr>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23.</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ROTATEQ</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24.</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STAMARIL</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25.</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SYNFLORIX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27</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26.</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TETRAXIM</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13</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13</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27.</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TT</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1</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28.</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VARILRIX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3</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29.</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VARIVAX</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4</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30.</w:t>
            </w:r>
          </w:p>
        </w:tc>
        <w:tc>
          <w:tcPr>
            <w:tcW w:w="2115" w:type="dxa"/>
          </w:tcPr>
          <w:p w:rsidR="00AF0FDB" w:rsidRPr="002C4F7C" w:rsidRDefault="00AF0FDB" w:rsidP="002C4F7C">
            <w:pPr>
              <w:pStyle w:val="Akapitzlist2"/>
              <w:spacing w:line="276" w:lineRule="auto"/>
              <w:ind w:left="0"/>
              <w:jc w:val="both"/>
              <w:rPr>
                <w:sz w:val="20"/>
                <w:szCs w:val="20"/>
              </w:rPr>
            </w:pPr>
            <w:r w:rsidRPr="002C4F7C">
              <w:rPr>
                <w:sz w:val="20"/>
                <w:szCs w:val="20"/>
              </w:rPr>
              <w:t>VAXIGRIP</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5</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5</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0</w:t>
            </w:r>
          </w:p>
        </w:tc>
        <w:tc>
          <w:tcPr>
            <w:tcW w:w="1607" w:type="dxa"/>
          </w:tcPr>
          <w:p w:rsidR="00AF0FDB" w:rsidRPr="002C4F7C" w:rsidRDefault="00AF0FDB" w:rsidP="002C4F7C">
            <w:pPr>
              <w:pStyle w:val="Akapitzlist2"/>
              <w:spacing w:line="276" w:lineRule="auto"/>
              <w:ind w:left="0"/>
              <w:jc w:val="both"/>
              <w:rPr>
                <w:sz w:val="20"/>
                <w:szCs w:val="20"/>
              </w:rPr>
            </w:pPr>
            <w:r w:rsidRPr="002C4F7C">
              <w:rPr>
                <w:sz w:val="20"/>
                <w:szCs w:val="20"/>
              </w:rPr>
              <w:t>0</w:t>
            </w:r>
          </w:p>
        </w:tc>
      </w:tr>
      <w:tr w:rsidR="00AF0FDB" w:rsidRPr="00825C78">
        <w:tc>
          <w:tcPr>
            <w:tcW w:w="522"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30.</w:t>
            </w:r>
          </w:p>
        </w:tc>
        <w:tc>
          <w:tcPr>
            <w:tcW w:w="2115"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RAZEM</w:t>
            </w:r>
          </w:p>
        </w:tc>
        <w:tc>
          <w:tcPr>
            <w:tcW w:w="1699"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234</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202</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26</w:t>
            </w:r>
          </w:p>
        </w:tc>
        <w:tc>
          <w:tcPr>
            <w:tcW w:w="1607" w:type="dxa"/>
            <w:shd w:val="clear" w:color="auto" w:fill="E8E8E8"/>
          </w:tcPr>
          <w:p w:rsidR="00AF0FDB" w:rsidRPr="002C4F7C" w:rsidRDefault="00AF0FDB" w:rsidP="002C4F7C">
            <w:pPr>
              <w:pStyle w:val="Akapitzlist2"/>
              <w:spacing w:line="276" w:lineRule="auto"/>
              <w:ind w:left="0"/>
              <w:jc w:val="both"/>
              <w:rPr>
                <w:sz w:val="20"/>
                <w:szCs w:val="20"/>
              </w:rPr>
            </w:pPr>
            <w:r w:rsidRPr="002C4F7C">
              <w:rPr>
                <w:sz w:val="20"/>
                <w:szCs w:val="20"/>
              </w:rPr>
              <w:t>6</w:t>
            </w:r>
          </w:p>
        </w:tc>
      </w:tr>
    </w:tbl>
    <w:p w:rsidR="00AF0FDB" w:rsidRDefault="00AF0FDB" w:rsidP="00642C07">
      <w:pPr>
        <w:pStyle w:val="Standard"/>
        <w:spacing w:line="360" w:lineRule="auto"/>
        <w:jc w:val="both"/>
        <w:rPr>
          <w:rFonts w:ascii="Times New Roman" w:hAnsi="Times New Roman" w:cs="Times New Roman"/>
          <w:b/>
          <w:bCs/>
          <w:sz w:val="24"/>
          <w:szCs w:val="24"/>
        </w:rPr>
      </w:pPr>
    </w:p>
    <w:p w:rsidR="00AF0FDB" w:rsidRPr="008F76D1" w:rsidRDefault="00AF0FDB" w:rsidP="00642C07">
      <w:pPr>
        <w:pStyle w:val="Standard"/>
        <w:spacing w:line="360" w:lineRule="auto"/>
        <w:jc w:val="both"/>
        <w:rPr>
          <w:rFonts w:ascii="Times New Roman" w:hAnsi="Times New Roman" w:cs="Times New Roman"/>
          <w:b/>
          <w:bCs/>
          <w:sz w:val="24"/>
          <w:szCs w:val="24"/>
        </w:rPr>
      </w:pPr>
      <w:r w:rsidRPr="008F76D1">
        <w:rPr>
          <w:rFonts w:ascii="Times New Roman" w:hAnsi="Times New Roman" w:cs="Times New Roman"/>
          <w:b/>
          <w:bCs/>
          <w:sz w:val="24"/>
          <w:szCs w:val="24"/>
        </w:rPr>
        <w:t>W</w:t>
      </w:r>
      <w:r>
        <w:rPr>
          <w:rFonts w:ascii="Times New Roman" w:hAnsi="Times New Roman" w:cs="Times New Roman"/>
          <w:b/>
          <w:bCs/>
          <w:sz w:val="24"/>
          <w:szCs w:val="24"/>
        </w:rPr>
        <w:t>nioski</w:t>
      </w:r>
      <w:r w:rsidRPr="008F76D1">
        <w:rPr>
          <w:rFonts w:ascii="Times New Roman" w:hAnsi="Times New Roman" w:cs="Times New Roman"/>
          <w:b/>
          <w:bCs/>
          <w:sz w:val="24"/>
          <w:szCs w:val="24"/>
        </w:rPr>
        <w:t>:</w:t>
      </w:r>
    </w:p>
    <w:p w:rsidR="00AF0FDB" w:rsidRPr="00825C78" w:rsidRDefault="00AF0FDB" w:rsidP="00DE0EFA">
      <w:pPr>
        <w:pStyle w:val="Standard"/>
        <w:widowControl w:val="0"/>
        <w:numPr>
          <w:ilvl w:val="0"/>
          <w:numId w:val="39"/>
        </w:numPr>
        <w:spacing w:after="0" w:line="360" w:lineRule="auto"/>
        <w:jc w:val="both"/>
        <w:rPr>
          <w:rFonts w:ascii="Times New Roman" w:hAnsi="Times New Roman" w:cs="Times New Roman"/>
        </w:rPr>
      </w:pPr>
      <w:r>
        <w:rPr>
          <w:rFonts w:ascii="Times New Roman" w:hAnsi="Times New Roman" w:cs="Times New Roman"/>
        </w:rPr>
        <w:t>W 2018</w:t>
      </w:r>
      <w:r w:rsidRPr="00825C78">
        <w:rPr>
          <w:rFonts w:ascii="Times New Roman" w:hAnsi="Times New Roman" w:cs="Times New Roman"/>
        </w:rPr>
        <w:t xml:space="preserve"> r. do Powiatowej Stacji Sanitarno-Epidemiolo</w:t>
      </w:r>
      <w:r>
        <w:rPr>
          <w:rFonts w:ascii="Times New Roman" w:hAnsi="Times New Roman" w:cs="Times New Roman"/>
        </w:rPr>
        <w:t xml:space="preserve">gicznej w Poznaniu zgłoszono 190 </w:t>
      </w:r>
      <w:r w:rsidRPr="00825C78">
        <w:rPr>
          <w:rFonts w:ascii="Times New Roman" w:hAnsi="Times New Roman" w:cs="Times New Roman"/>
        </w:rPr>
        <w:t xml:space="preserve">przypadków niepożądanych odczynów poszczepiennych, co </w:t>
      </w:r>
      <w:r>
        <w:rPr>
          <w:rFonts w:ascii="Times New Roman" w:hAnsi="Times New Roman" w:cs="Times New Roman"/>
        </w:rPr>
        <w:t xml:space="preserve">nie </w:t>
      </w:r>
      <w:r w:rsidRPr="00825C78">
        <w:rPr>
          <w:rFonts w:ascii="Times New Roman" w:hAnsi="Times New Roman" w:cs="Times New Roman"/>
        </w:rPr>
        <w:t xml:space="preserve">stanowi </w:t>
      </w:r>
      <w:r>
        <w:rPr>
          <w:rFonts w:ascii="Times New Roman" w:hAnsi="Times New Roman" w:cs="Times New Roman"/>
        </w:rPr>
        <w:t xml:space="preserve">znaczącego pod względem epidemiologicznym </w:t>
      </w:r>
      <w:r w:rsidRPr="00920BD8">
        <w:rPr>
          <w:rFonts w:ascii="Times New Roman" w:hAnsi="Times New Roman" w:cs="Times New Roman"/>
        </w:rPr>
        <w:t>wzrostu</w:t>
      </w:r>
      <w:r>
        <w:rPr>
          <w:rFonts w:ascii="Times New Roman" w:hAnsi="Times New Roman" w:cs="Times New Roman"/>
        </w:rPr>
        <w:t xml:space="preserve"> w porównaniu do roku 2017  (w 2018 r. odnotowano o 1 przypadek więcej NOP)</w:t>
      </w:r>
      <w:r w:rsidRPr="00825C78">
        <w:rPr>
          <w:rFonts w:ascii="Times New Roman" w:hAnsi="Times New Roman" w:cs="Times New Roman"/>
        </w:rPr>
        <w:t>. Łącznie 111 przypadków</w:t>
      </w:r>
      <w:r>
        <w:rPr>
          <w:rFonts w:ascii="Times New Roman" w:hAnsi="Times New Roman" w:cs="Times New Roman"/>
        </w:rPr>
        <w:t xml:space="preserve"> dotyczyło osób zaszczepionych w podmiotach leczniczych położonych na terenie miasta Poznania, a 79</w:t>
      </w:r>
      <w:r w:rsidRPr="00825C78">
        <w:rPr>
          <w:rFonts w:ascii="Times New Roman" w:hAnsi="Times New Roman" w:cs="Times New Roman"/>
        </w:rPr>
        <w:t xml:space="preserve"> </w:t>
      </w:r>
      <w:r>
        <w:rPr>
          <w:rFonts w:ascii="Times New Roman" w:hAnsi="Times New Roman" w:cs="Times New Roman"/>
        </w:rPr>
        <w:t>zaobserwowano u osób poddanych immunizacji w placówkach leczniczych</w:t>
      </w:r>
      <w:r w:rsidRPr="00825C78">
        <w:rPr>
          <w:rFonts w:ascii="Times New Roman" w:hAnsi="Times New Roman" w:cs="Times New Roman"/>
        </w:rPr>
        <w:t xml:space="preserve"> </w:t>
      </w:r>
      <w:r>
        <w:rPr>
          <w:rFonts w:ascii="Times New Roman" w:hAnsi="Times New Roman" w:cs="Times New Roman"/>
        </w:rPr>
        <w:t xml:space="preserve">znajdujących się </w:t>
      </w:r>
      <w:r w:rsidRPr="00825C78">
        <w:rPr>
          <w:rFonts w:ascii="Times New Roman" w:hAnsi="Times New Roman" w:cs="Times New Roman"/>
        </w:rPr>
        <w:t>na terenie powiatu poznańskiego.</w:t>
      </w:r>
    </w:p>
    <w:p w:rsidR="00AF0FDB" w:rsidRPr="00825C78" w:rsidRDefault="00AF0FDB" w:rsidP="00DE0EFA">
      <w:pPr>
        <w:pStyle w:val="Standard"/>
        <w:widowControl w:val="0"/>
        <w:numPr>
          <w:ilvl w:val="0"/>
          <w:numId w:val="39"/>
        </w:numPr>
        <w:spacing w:after="0" w:line="360" w:lineRule="auto"/>
        <w:jc w:val="both"/>
        <w:rPr>
          <w:rFonts w:ascii="Times New Roman" w:hAnsi="Times New Roman" w:cs="Times New Roman"/>
        </w:rPr>
      </w:pPr>
      <w:r w:rsidRPr="00825C78">
        <w:rPr>
          <w:rFonts w:ascii="Times New Roman" w:hAnsi="Times New Roman" w:cs="Times New Roman"/>
        </w:rPr>
        <w:t>Niepożądanych odczynów poszczepiennych po szczepio</w:t>
      </w:r>
      <w:r>
        <w:rPr>
          <w:rFonts w:ascii="Times New Roman" w:hAnsi="Times New Roman" w:cs="Times New Roman"/>
        </w:rPr>
        <w:t>nce BCG w 2018 r. zgłoszono 15, w 2017 r. zgłoszono 25 NOP</w:t>
      </w:r>
      <w:r w:rsidRPr="00825C78">
        <w:rPr>
          <w:rFonts w:ascii="Times New Roman" w:hAnsi="Times New Roman" w:cs="Times New Roman"/>
        </w:rPr>
        <w:t>, co w porównaniu do roku ubiegłego</w:t>
      </w:r>
      <w:r>
        <w:rPr>
          <w:rFonts w:ascii="Times New Roman" w:hAnsi="Times New Roman" w:cs="Times New Roman"/>
        </w:rPr>
        <w:t>,</w:t>
      </w:r>
      <w:r w:rsidRPr="00825C78">
        <w:rPr>
          <w:rFonts w:ascii="Times New Roman" w:hAnsi="Times New Roman" w:cs="Times New Roman"/>
        </w:rPr>
        <w:t xml:space="preserve"> stanowi </w:t>
      </w:r>
      <w:r>
        <w:rPr>
          <w:rFonts w:ascii="Times New Roman" w:hAnsi="Times New Roman" w:cs="Times New Roman"/>
          <w:u w:val="single"/>
        </w:rPr>
        <w:t>spadek</w:t>
      </w:r>
      <w:r>
        <w:rPr>
          <w:rFonts w:ascii="Times New Roman" w:hAnsi="Times New Roman" w:cs="Times New Roman"/>
        </w:rPr>
        <w:t xml:space="preserve"> liczbowy obserwowanych zdrowotnych reakcji patologicznych powiązanych z podaniem szczepionki przeciwko gruźlicy</w:t>
      </w:r>
      <w:r w:rsidRPr="00825C78">
        <w:rPr>
          <w:rFonts w:ascii="Times New Roman" w:hAnsi="Times New Roman" w:cs="Times New Roman"/>
        </w:rPr>
        <w:t>.</w:t>
      </w:r>
    </w:p>
    <w:p w:rsidR="00AF0FDB" w:rsidRPr="00846F20" w:rsidRDefault="00AF0FDB" w:rsidP="00DE0EFA">
      <w:pPr>
        <w:pStyle w:val="Standard"/>
        <w:widowControl w:val="0"/>
        <w:numPr>
          <w:ilvl w:val="0"/>
          <w:numId w:val="39"/>
        </w:numPr>
        <w:spacing w:after="0" w:line="360" w:lineRule="auto"/>
        <w:jc w:val="both"/>
        <w:rPr>
          <w:rFonts w:ascii="Times New Roman" w:hAnsi="Times New Roman" w:cs="Times New Roman"/>
        </w:rPr>
      </w:pPr>
      <w:r w:rsidRPr="00825C78">
        <w:rPr>
          <w:rFonts w:ascii="Times New Roman" w:hAnsi="Times New Roman" w:cs="Times New Roman"/>
        </w:rPr>
        <w:t xml:space="preserve">Odnotowano </w:t>
      </w:r>
      <w:r w:rsidRPr="00825C78">
        <w:rPr>
          <w:rFonts w:ascii="Times New Roman" w:hAnsi="Times New Roman" w:cs="Times New Roman"/>
          <w:u w:val="single"/>
        </w:rPr>
        <w:t>wzrost</w:t>
      </w:r>
      <w:r>
        <w:rPr>
          <w:rFonts w:ascii="Times New Roman" w:hAnsi="Times New Roman" w:cs="Times New Roman"/>
        </w:rPr>
        <w:t xml:space="preserve"> jedynie o 6%</w:t>
      </w:r>
      <w:r w:rsidRPr="00825C78">
        <w:rPr>
          <w:rFonts w:ascii="Times New Roman" w:hAnsi="Times New Roman" w:cs="Times New Roman"/>
        </w:rPr>
        <w:t xml:space="preserve"> zgłoszeń NOP p</w:t>
      </w:r>
      <w:r>
        <w:rPr>
          <w:rFonts w:ascii="Times New Roman" w:hAnsi="Times New Roman" w:cs="Times New Roman"/>
        </w:rPr>
        <w:t>o innych szczepionkach niż BCG.</w:t>
      </w:r>
      <w:r>
        <w:rPr>
          <w:rFonts w:ascii="Times New Roman" w:hAnsi="Times New Roman" w:cs="Times New Roman"/>
        </w:rPr>
        <w:br/>
        <w:t>W 2018 r. zgłoszono 175 przypadków, tj. o 11 zgłoszeń</w:t>
      </w:r>
      <w:r w:rsidRPr="00846F20">
        <w:rPr>
          <w:rFonts w:ascii="Times New Roman" w:hAnsi="Times New Roman" w:cs="Times New Roman"/>
        </w:rPr>
        <w:t xml:space="preserve"> więcej </w:t>
      </w:r>
      <w:r>
        <w:rPr>
          <w:rFonts w:ascii="Times New Roman" w:hAnsi="Times New Roman" w:cs="Times New Roman"/>
        </w:rPr>
        <w:t>w porównaniu</w:t>
      </w:r>
      <w:r>
        <w:rPr>
          <w:rFonts w:ascii="Times New Roman" w:hAnsi="Times New Roman" w:cs="Times New Roman"/>
        </w:rPr>
        <w:br/>
        <w:t>do roku 2017 r., w którym zgłoszono 164 przypadki</w:t>
      </w:r>
      <w:r w:rsidRPr="00846F20">
        <w:rPr>
          <w:rFonts w:ascii="Times New Roman" w:hAnsi="Times New Roman" w:cs="Times New Roman"/>
        </w:rPr>
        <w:t xml:space="preserve"> NOP.</w:t>
      </w:r>
    </w:p>
    <w:p w:rsidR="00AF0FDB" w:rsidRPr="00D35507" w:rsidRDefault="00AF0FDB" w:rsidP="00D35507">
      <w:pPr>
        <w:pStyle w:val="Standard"/>
        <w:widowControl w:val="0"/>
        <w:numPr>
          <w:ilvl w:val="0"/>
          <w:numId w:val="39"/>
        </w:numPr>
        <w:spacing w:after="0" w:line="360" w:lineRule="auto"/>
        <w:jc w:val="both"/>
        <w:rPr>
          <w:rFonts w:ascii="Times New Roman" w:hAnsi="Times New Roman" w:cs="Times New Roman"/>
        </w:rPr>
      </w:pPr>
      <w:r w:rsidRPr="00825C78">
        <w:rPr>
          <w:rFonts w:ascii="Times New Roman" w:hAnsi="Times New Roman" w:cs="Times New Roman"/>
        </w:rPr>
        <w:t>Niepożądane odczyny poszc</w:t>
      </w:r>
      <w:r>
        <w:rPr>
          <w:rFonts w:ascii="Times New Roman" w:hAnsi="Times New Roman" w:cs="Times New Roman"/>
        </w:rPr>
        <w:t>zepienne wystąpiły po podaniu 30</w:t>
      </w:r>
      <w:r w:rsidRPr="00825C78">
        <w:rPr>
          <w:rFonts w:ascii="Times New Roman" w:hAnsi="Times New Roman" w:cs="Times New Roman"/>
        </w:rPr>
        <w:t xml:space="preserve"> różnych preparatów </w:t>
      </w:r>
      <w:r>
        <w:rPr>
          <w:rFonts w:ascii="Times New Roman" w:hAnsi="Times New Roman" w:cs="Times New Roman"/>
        </w:rPr>
        <w:t>szczepionkowych, w 52</w:t>
      </w:r>
      <w:r w:rsidRPr="00825C78">
        <w:rPr>
          <w:rFonts w:ascii="Times New Roman" w:hAnsi="Times New Roman" w:cs="Times New Roman"/>
        </w:rPr>
        <w:t xml:space="preserve"> przypadkach po podaniu więcej niż jednego preparatu</w:t>
      </w:r>
      <w:r>
        <w:rPr>
          <w:rFonts w:ascii="Times New Roman" w:hAnsi="Times New Roman" w:cs="Times New Roman"/>
        </w:rPr>
        <w:t xml:space="preserve"> </w:t>
      </w:r>
      <w:r w:rsidRPr="00825C78">
        <w:rPr>
          <w:rFonts w:ascii="Times New Roman" w:hAnsi="Times New Roman" w:cs="Times New Roman"/>
        </w:rPr>
        <w:t>szczepionkowego.</w:t>
      </w:r>
    </w:p>
    <w:p w:rsidR="00AF0FDB" w:rsidRPr="00825C78" w:rsidRDefault="00AF0FDB" w:rsidP="00DE0EFA">
      <w:pPr>
        <w:pStyle w:val="Standard"/>
        <w:widowControl w:val="0"/>
        <w:numPr>
          <w:ilvl w:val="0"/>
          <w:numId w:val="39"/>
        </w:numPr>
        <w:spacing w:after="0" w:line="360" w:lineRule="auto"/>
        <w:jc w:val="both"/>
        <w:rPr>
          <w:rFonts w:ascii="Times New Roman" w:hAnsi="Times New Roman" w:cs="Times New Roman"/>
        </w:rPr>
      </w:pPr>
      <w:r>
        <w:rPr>
          <w:rFonts w:ascii="Times New Roman" w:hAnsi="Times New Roman" w:cs="Times New Roman"/>
        </w:rPr>
        <w:t>W 2018</w:t>
      </w:r>
      <w:r w:rsidRPr="00825C78">
        <w:rPr>
          <w:rFonts w:ascii="Times New Roman" w:hAnsi="Times New Roman" w:cs="Times New Roman"/>
        </w:rPr>
        <w:t xml:space="preserve"> r. na terenie powiatu</w:t>
      </w:r>
      <w:r>
        <w:rPr>
          <w:rFonts w:ascii="Times New Roman" w:hAnsi="Times New Roman" w:cs="Times New Roman"/>
        </w:rPr>
        <w:t xml:space="preserve"> poznańskiego hospitalizowano 53</w:t>
      </w:r>
      <w:r w:rsidRPr="00825C78">
        <w:rPr>
          <w:rFonts w:ascii="Times New Roman" w:hAnsi="Times New Roman" w:cs="Times New Roman"/>
        </w:rPr>
        <w:t xml:space="preserve"> dzieci, u których stwierdzono NOP. </w:t>
      </w:r>
    </w:p>
    <w:p w:rsidR="00AF0FDB" w:rsidRPr="00825C78" w:rsidRDefault="00AF0FDB" w:rsidP="00DE0EFA">
      <w:pPr>
        <w:widowControl w:val="0"/>
        <w:numPr>
          <w:ilvl w:val="0"/>
          <w:numId w:val="39"/>
        </w:numPr>
        <w:suppressAutoHyphens/>
        <w:autoSpaceDN w:val="0"/>
        <w:spacing w:before="0" w:after="0"/>
        <w:jc w:val="both"/>
        <w:textAlignment w:val="baseline"/>
      </w:pPr>
      <w:r w:rsidRPr="00825C78">
        <w:t>Z danych „Powiatowego Rejestru Niepożądanych Odczynów Poszczepiennych” prowadzon</w:t>
      </w:r>
      <w:r>
        <w:t>ego przez PPIS w Poznaniu w 2018</w:t>
      </w:r>
      <w:r w:rsidRPr="00825C78">
        <w:t xml:space="preserve"> r. wynika, iż:</w:t>
      </w:r>
    </w:p>
    <w:p w:rsidR="00AF0FDB" w:rsidRDefault="00AF0FDB" w:rsidP="00DE0EFA">
      <w:pPr>
        <w:numPr>
          <w:ilvl w:val="1"/>
          <w:numId w:val="39"/>
        </w:numPr>
        <w:spacing w:before="0" w:after="0"/>
        <w:jc w:val="both"/>
      </w:pPr>
      <w:r>
        <w:t>164 przypadki zakwalifikowane zostały</w:t>
      </w:r>
      <w:r w:rsidRPr="00825C78">
        <w:t xml:space="preserve"> jako </w:t>
      </w:r>
      <w:r w:rsidRPr="00825C78">
        <w:rPr>
          <w:u w:val="single"/>
        </w:rPr>
        <w:t>NOP łagodny</w:t>
      </w:r>
      <w:r w:rsidRPr="00825C78">
        <w:t xml:space="preserve">, co stanowi </w:t>
      </w:r>
      <w:r>
        <w:rPr>
          <w:u w:val="single"/>
        </w:rPr>
        <w:t>spadek</w:t>
      </w:r>
      <w:r>
        <w:t xml:space="preserve"> w porównaniu do roku 2017 o 4 zgłoszenia (w 2017 r. zgłoszono 168</w:t>
      </w:r>
      <w:r w:rsidRPr="00825C78">
        <w:t xml:space="preserve"> przypadków NOP łagodnych),</w:t>
      </w:r>
    </w:p>
    <w:p w:rsidR="00AF0FDB" w:rsidRPr="00825C78" w:rsidRDefault="00AF0FDB" w:rsidP="00DE0EFA">
      <w:pPr>
        <w:numPr>
          <w:ilvl w:val="1"/>
          <w:numId w:val="39"/>
        </w:numPr>
        <w:spacing w:before="0" w:after="0"/>
        <w:jc w:val="both"/>
      </w:pPr>
      <w:r>
        <w:t>20</w:t>
      </w:r>
      <w:r w:rsidRPr="00825C78">
        <w:t xml:space="preserve"> przypadków zakwalifikowanych zostało jako </w:t>
      </w:r>
      <w:r w:rsidRPr="00825C78">
        <w:rPr>
          <w:u w:val="single"/>
        </w:rPr>
        <w:t>NOP poważny</w:t>
      </w:r>
      <w:r w:rsidRPr="00825C78">
        <w:t xml:space="preserve">, co stanowi </w:t>
      </w:r>
      <w:r>
        <w:rPr>
          <w:u w:val="single"/>
        </w:rPr>
        <w:t>wzrost</w:t>
      </w:r>
      <w:r w:rsidRPr="00825C78">
        <w:t xml:space="preserve"> w porównaniu do </w:t>
      </w:r>
      <w:r>
        <w:t>roku 2016 o 3 zgłoszenia (w 2017</w:t>
      </w:r>
      <w:r w:rsidRPr="00825C78">
        <w:t xml:space="preserve"> r. zgłos</w:t>
      </w:r>
      <w:r>
        <w:t>zono 17</w:t>
      </w:r>
      <w:r w:rsidRPr="00825C78">
        <w:t xml:space="preserve"> przypadków NOP poważnych),</w:t>
      </w:r>
    </w:p>
    <w:p w:rsidR="00AF0FDB" w:rsidRPr="00825C78" w:rsidRDefault="00AF0FDB" w:rsidP="00DE0EFA">
      <w:pPr>
        <w:numPr>
          <w:ilvl w:val="1"/>
          <w:numId w:val="39"/>
        </w:numPr>
        <w:spacing w:before="0" w:after="0"/>
        <w:jc w:val="both"/>
      </w:pPr>
      <w:r>
        <w:t>6 przypadków zakwalifikowanych zostało</w:t>
      </w:r>
      <w:r w:rsidRPr="00825C78">
        <w:t xml:space="preserve"> jako </w:t>
      </w:r>
      <w:r w:rsidRPr="00825C78">
        <w:rPr>
          <w:u w:val="single"/>
        </w:rPr>
        <w:t>NOP ciężk</w:t>
      </w:r>
      <w:r w:rsidRPr="00825C78">
        <w:t xml:space="preserve">i, co stanowi </w:t>
      </w:r>
      <w:r w:rsidRPr="00825C78">
        <w:rPr>
          <w:u w:val="single"/>
        </w:rPr>
        <w:t xml:space="preserve">niewielki </w:t>
      </w:r>
      <w:r>
        <w:rPr>
          <w:u w:val="single"/>
        </w:rPr>
        <w:t>wzrost</w:t>
      </w:r>
      <w:r>
        <w:t xml:space="preserve"> w porównaniu do roku 2017, tj. o 2</w:t>
      </w:r>
      <w:r w:rsidRPr="00825C78">
        <w:t xml:space="preserve"> z</w:t>
      </w:r>
      <w:r>
        <w:t>głoszenia (w 2017 r. zgłoszono 4 takie przypadki</w:t>
      </w:r>
      <w:r w:rsidRPr="00825C78">
        <w:t>).</w:t>
      </w:r>
    </w:p>
    <w:p w:rsidR="00AF0FDB" w:rsidRPr="00A31A5A" w:rsidRDefault="00AF0FDB" w:rsidP="00081EB2">
      <w:pPr>
        <w:pStyle w:val="Standard"/>
        <w:widowControl w:val="0"/>
        <w:numPr>
          <w:ilvl w:val="0"/>
          <w:numId w:val="39"/>
        </w:numPr>
        <w:spacing w:after="0" w:line="360" w:lineRule="auto"/>
        <w:jc w:val="both"/>
        <w:rPr>
          <w:rFonts w:ascii="Times New Roman" w:hAnsi="Times New Roman" w:cs="Times New Roman"/>
          <w:sz w:val="24"/>
          <w:szCs w:val="24"/>
        </w:rPr>
      </w:pPr>
      <w:r w:rsidRPr="00A31A5A">
        <w:rPr>
          <w:rFonts w:ascii="Times New Roman" w:hAnsi="Times New Roman" w:cs="Times New Roman"/>
          <w:sz w:val="24"/>
          <w:szCs w:val="24"/>
        </w:rPr>
        <w:t xml:space="preserve">Największą liczbę zgłoszeń NOP w 2018 r. zarejestrowano po szczepieniu preparatami: M-M-RVAXPRO - przeciwko odrze, śwince i różyczce (31 NOP), Synflorix - przeciwko inwazyjnym zakażeniom </w:t>
      </w:r>
      <w:r w:rsidRPr="00A31A5A">
        <w:rPr>
          <w:rFonts w:ascii="Times New Roman" w:hAnsi="Times New Roman" w:cs="Times New Roman"/>
          <w:i/>
          <w:iCs/>
          <w:sz w:val="24"/>
          <w:szCs w:val="24"/>
        </w:rPr>
        <w:t>Streptoccoccus pneumoniae</w:t>
      </w:r>
      <w:r w:rsidRPr="00A31A5A">
        <w:rPr>
          <w:rFonts w:ascii="Times New Roman" w:hAnsi="Times New Roman" w:cs="Times New Roman"/>
          <w:sz w:val="24"/>
          <w:szCs w:val="24"/>
        </w:rPr>
        <w:t xml:space="preserve"> (30 NOP) oraz DTP - przeciwko błonicy, tężcowi, krztuścowi (28 NOP).</w:t>
      </w:r>
    </w:p>
    <w:p w:rsidR="00AF0FDB" w:rsidRPr="00A31A5A" w:rsidRDefault="00AF0FDB" w:rsidP="00081EB2">
      <w:pPr>
        <w:pStyle w:val="Standard"/>
        <w:widowControl w:val="0"/>
        <w:numPr>
          <w:ilvl w:val="0"/>
          <w:numId w:val="39"/>
        </w:numPr>
        <w:spacing w:after="0" w:line="360" w:lineRule="auto"/>
        <w:jc w:val="both"/>
        <w:rPr>
          <w:rFonts w:ascii="Times New Roman" w:hAnsi="Times New Roman" w:cs="Times New Roman"/>
          <w:sz w:val="24"/>
          <w:szCs w:val="24"/>
        </w:rPr>
      </w:pPr>
      <w:r w:rsidRPr="00A31A5A">
        <w:rPr>
          <w:rFonts w:ascii="Times New Roman" w:hAnsi="Times New Roman" w:cs="Times New Roman"/>
          <w:color w:val="000000"/>
          <w:sz w:val="24"/>
          <w:szCs w:val="24"/>
        </w:rPr>
        <w:t xml:space="preserve">Liczba zgłoszeń NOP po szczepieniu zakwalifikowanych jako </w:t>
      </w:r>
      <w:r w:rsidRPr="00A31A5A">
        <w:rPr>
          <w:rFonts w:ascii="Times New Roman" w:hAnsi="Times New Roman" w:cs="Times New Roman"/>
          <w:color w:val="000000"/>
          <w:sz w:val="24"/>
          <w:szCs w:val="24"/>
          <w:u w:val="single"/>
        </w:rPr>
        <w:t>ciężki</w:t>
      </w:r>
      <w:r w:rsidRPr="00A31A5A">
        <w:rPr>
          <w:rFonts w:ascii="Times New Roman" w:hAnsi="Times New Roman" w:cs="Times New Roman"/>
          <w:color w:val="000000"/>
          <w:sz w:val="24"/>
          <w:szCs w:val="24"/>
        </w:rPr>
        <w:t xml:space="preserve"> wystąpiła</w:t>
      </w:r>
      <w:r w:rsidRPr="00A31A5A">
        <w:rPr>
          <w:rFonts w:ascii="Times New Roman" w:hAnsi="Times New Roman" w:cs="Times New Roman"/>
          <w:color w:val="000000"/>
          <w:sz w:val="24"/>
          <w:szCs w:val="24"/>
        </w:rPr>
        <w:br/>
        <w:t>u sześciu osób, przy czym różnorodność preparatów podanych tym osobom nie wskazuje na szczególne powiązanie powikłań poszczepiennych z konkretnym preparatem. Zbieżność czasowo-miejscową objawów wskazujących na NOP zaobserwowano po podaniu:</w:t>
      </w:r>
    </w:p>
    <w:p w:rsidR="00AF0FDB" w:rsidRPr="00A31A5A" w:rsidRDefault="00AF0FDB" w:rsidP="00D35507">
      <w:pPr>
        <w:pStyle w:val="ListParagraph"/>
        <w:widowControl w:val="0"/>
        <w:suppressAutoHyphen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A31A5A">
        <w:rPr>
          <w:rFonts w:ascii="Times New Roman" w:hAnsi="Times New Roman" w:cs="Times New Roman"/>
          <w:sz w:val="24"/>
          <w:szCs w:val="24"/>
        </w:rPr>
        <w:t xml:space="preserve">jednoczesnym </w:t>
      </w:r>
      <w:r w:rsidRPr="00A31A5A">
        <w:rPr>
          <w:rFonts w:ascii="Times New Roman" w:hAnsi="Times New Roman" w:cs="Times New Roman"/>
          <w:color w:val="000000"/>
          <w:sz w:val="24"/>
          <w:szCs w:val="24"/>
        </w:rPr>
        <w:t xml:space="preserve">kilku preparatów: Imovax Polio (szczepionka przeciw </w:t>
      </w:r>
      <w:r w:rsidRPr="00A31A5A">
        <w:rPr>
          <w:rFonts w:ascii="Times New Roman" w:hAnsi="Times New Roman" w:cs="Times New Roman"/>
          <w:i/>
          <w:iCs/>
          <w:color w:val="000000"/>
          <w:sz w:val="24"/>
          <w:szCs w:val="24"/>
        </w:rPr>
        <w:t>poliomyelitis</w:t>
      </w:r>
      <w:r w:rsidRPr="00A31A5A">
        <w:rPr>
          <w:rFonts w:ascii="Times New Roman" w:hAnsi="Times New Roman" w:cs="Times New Roman"/>
          <w:color w:val="000000"/>
          <w:sz w:val="24"/>
          <w:szCs w:val="24"/>
        </w:rPr>
        <w:t>) i DTP (szczepionka przeciw błonicy, tężcowi, krztuścowi), u 3,5–miesięcznego dziecka, na skutek czego zostało ono hospitalizowane z objawami gorączki oraz zespołu objawów drgawkowych z epizodem bezdechu</w:t>
      </w:r>
      <w:r w:rsidRPr="00A31A5A">
        <w:rPr>
          <w:rFonts w:ascii="Times New Roman" w:hAnsi="Times New Roman" w:cs="Times New Roman"/>
          <w:sz w:val="24"/>
          <w:szCs w:val="24"/>
        </w:rPr>
        <w:t>. Dziecko wypisane do domu w stanie pełnego powrotu do zdrowia,</w:t>
      </w:r>
    </w:p>
    <w:p w:rsidR="00AF0FDB" w:rsidRPr="00081EB2" w:rsidRDefault="00AF0FDB" w:rsidP="00D35507">
      <w:pPr>
        <w:pStyle w:val="ListParagraph"/>
        <w:widowControl w:val="0"/>
        <w:suppressAutoHyphens/>
        <w:spacing w:after="0" w:line="360" w:lineRule="auto"/>
        <w:contextualSpacing w:val="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31A5A">
        <w:rPr>
          <w:rFonts w:ascii="Times New Roman" w:hAnsi="Times New Roman" w:cs="Times New Roman"/>
          <w:color w:val="000000"/>
          <w:sz w:val="24"/>
          <w:szCs w:val="24"/>
        </w:rPr>
        <w:t>jednoczesnym kilku preparatów:  Infanrix IPV-Hib (szczepionka przeciw błonicy,</w:t>
      </w:r>
      <w:r w:rsidRPr="00081EB2">
        <w:rPr>
          <w:rFonts w:ascii="Times New Roman" w:hAnsi="Times New Roman" w:cs="Times New Roman"/>
          <w:color w:val="000000"/>
          <w:sz w:val="24"/>
          <w:szCs w:val="24"/>
        </w:rPr>
        <w:t xml:space="preserve"> tężcowi, krztuścowi, </w:t>
      </w:r>
      <w:r w:rsidRPr="00081EB2">
        <w:rPr>
          <w:rFonts w:ascii="Times New Roman" w:hAnsi="Times New Roman" w:cs="Times New Roman"/>
          <w:i/>
          <w:iCs/>
          <w:color w:val="000000"/>
          <w:sz w:val="24"/>
          <w:szCs w:val="24"/>
        </w:rPr>
        <w:t xml:space="preserve">poliomyelitis </w:t>
      </w:r>
      <w:r w:rsidRPr="00081EB2">
        <w:rPr>
          <w:rFonts w:ascii="Times New Roman" w:hAnsi="Times New Roman" w:cs="Times New Roman"/>
          <w:color w:val="000000"/>
          <w:sz w:val="24"/>
          <w:szCs w:val="24"/>
        </w:rPr>
        <w:t>i inwazyjnemu zakażeniu</w:t>
      </w:r>
      <w:r w:rsidRPr="00081EB2">
        <w:rPr>
          <w:rFonts w:ascii="Times New Roman" w:hAnsi="Times New Roman" w:cs="Times New Roman"/>
          <w:i/>
          <w:iCs/>
          <w:color w:val="000000"/>
          <w:sz w:val="24"/>
          <w:szCs w:val="24"/>
        </w:rPr>
        <w:t xml:space="preserve"> Haemophilus influenzae </w:t>
      </w:r>
      <w:r w:rsidRPr="00081EB2">
        <w:rPr>
          <w:rFonts w:ascii="Times New Roman" w:hAnsi="Times New Roman" w:cs="Times New Roman"/>
          <w:color w:val="000000"/>
          <w:sz w:val="24"/>
          <w:szCs w:val="24"/>
        </w:rPr>
        <w:t xml:space="preserve">typu b, oraz Prevenar 13 (szczepionka przeciwko </w:t>
      </w:r>
      <w:r w:rsidRPr="00081EB2">
        <w:rPr>
          <w:rFonts w:ascii="Times New Roman" w:hAnsi="Times New Roman" w:cs="Times New Roman"/>
          <w:sz w:val="24"/>
          <w:szCs w:val="24"/>
        </w:rPr>
        <w:t xml:space="preserve">inwazyjnym zakażeniom </w:t>
      </w:r>
      <w:r w:rsidRPr="00081EB2">
        <w:rPr>
          <w:rFonts w:ascii="Times New Roman" w:hAnsi="Times New Roman" w:cs="Times New Roman"/>
          <w:i/>
          <w:iCs/>
          <w:sz w:val="24"/>
          <w:szCs w:val="24"/>
        </w:rPr>
        <w:t>Streptoccoccus pneumoniae</w:t>
      </w:r>
      <w:r w:rsidRPr="00081EB2">
        <w:rPr>
          <w:rFonts w:ascii="Times New Roman" w:hAnsi="Times New Roman" w:cs="Times New Roman"/>
          <w:sz w:val="24"/>
          <w:szCs w:val="24"/>
        </w:rPr>
        <w:t xml:space="preserve">) </w:t>
      </w:r>
      <w:r w:rsidRPr="00081EB2">
        <w:rPr>
          <w:rFonts w:ascii="Times New Roman" w:hAnsi="Times New Roman" w:cs="Times New Roman"/>
          <w:color w:val="000000"/>
          <w:sz w:val="24"/>
          <w:szCs w:val="24"/>
        </w:rPr>
        <w:t xml:space="preserve">u 5,5-miesięcznego dziecka, u którego konieczna była hospitalizacja na skutek wystąpienia </w:t>
      </w:r>
      <w:r w:rsidRPr="00081EB2">
        <w:rPr>
          <w:rFonts w:ascii="Times New Roman" w:hAnsi="Times New Roman" w:cs="Times New Roman"/>
          <w:sz w:val="24"/>
          <w:szCs w:val="24"/>
        </w:rPr>
        <w:t xml:space="preserve">epizodu hypotoniczno-hyporeaktywnego z zaburzeniem oddychania. Dziecko wypisane do domu w stanie pełnego powrotu do zdrowia, </w:t>
      </w:r>
    </w:p>
    <w:p w:rsidR="00AF0FDB" w:rsidRPr="00A31A5A" w:rsidRDefault="00AF0FDB" w:rsidP="00D35507">
      <w:pPr>
        <w:pStyle w:val="ListParagraph"/>
        <w:widowControl w:val="0"/>
        <w:suppressAutoHyphens/>
        <w:spacing w:after="0" w:line="360" w:lineRule="auto"/>
        <w:contextualSpacing w:val="0"/>
        <w:jc w:val="both"/>
        <w:rPr>
          <w:rFonts w:ascii="Times New Roman" w:hAnsi="Times New Roman" w:cs="Times New Roman"/>
          <w:color w:val="000000"/>
        </w:rPr>
      </w:pPr>
      <w:r>
        <w:rPr>
          <w:rFonts w:ascii="Times New Roman" w:hAnsi="Times New Roman" w:cs="Times New Roman"/>
          <w:color w:val="000000"/>
        </w:rPr>
        <w:t xml:space="preserve">- </w:t>
      </w:r>
      <w:r w:rsidRPr="00A31A5A">
        <w:rPr>
          <w:rFonts w:ascii="Times New Roman" w:hAnsi="Times New Roman" w:cs="Times New Roman"/>
          <w:color w:val="000000"/>
        </w:rPr>
        <w:t xml:space="preserve">jednoczesnym kilku preparatów: Imovax Polio (szczepionka przeciw </w:t>
      </w:r>
      <w:r w:rsidRPr="00A31A5A">
        <w:rPr>
          <w:rFonts w:ascii="Times New Roman" w:hAnsi="Times New Roman" w:cs="Times New Roman"/>
          <w:i/>
          <w:iCs/>
          <w:color w:val="000000"/>
        </w:rPr>
        <w:t>poliomyelitis</w:t>
      </w:r>
      <w:r w:rsidRPr="00A31A5A">
        <w:rPr>
          <w:rFonts w:ascii="Times New Roman" w:hAnsi="Times New Roman" w:cs="Times New Roman"/>
          <w:color w:val="000000"/>
        </w:rPr>
        <w:t>), DTP (szczepionka przeciw błonicy, tężcowi, krztuścowi), ACT-HIB (szczepionka przeciwko inwazyjnemu zakażeniu</w:t>
      </w:r>
      <w:r w:rsidRPr="00A31A5A">
        <w:rPr>
          <w:rFonts w:ascii="Times New Roman" w:hAnsi="Times New Roman" w:cs="Times New Roman"/>
          <w:i/>
          <w:iCs/>
          <w:color w:val="000000"/>
        </w:rPr>
        <w:t xml:space="preserve"> Haemophilus influenzae </w:t>
      </w:r>
      <w:r w:rsidRPr="00A31A5A">
        <w:rPr>
          <w:rFonts w:ascii="Times New Roman" w:hAnsi="Times New Roman" w:cs="Times New Roman"/>
          <w:color w:val="000000"/>
        </w:rPr>
        <w:t xml:space="preserve">typu b u 4–miesięcznego dziecka, na skutek czego zostało ono hospitalizowane ze względu na wysoką gorączkę, zespół objawów drgawkowych oraz podwyższone wskaźniki sugerujące stan zapalny. </w:t>
      </w:r>
      <w:r w:rsidRPr="00A31A5A">
        <w:rPr>
          <w:rFonts w:ascii="Times New Roman" w:hAnsi="Times New Roman" w:cs="Times New Roman"/>
        </w:rPr>
        <w:t>Dziecko w</w:t>
      </w:r>
      <w:r>
        <w:rPr>
          <w:rFonts w:ascii="Times New Roman" w:hAnsi="Times New Roman" w:cs="Times New Roman"/>
        </w:rPr>
        <w:t>ypisane do domu w stanie dobrym,</w:t>
      </w:r>
    </w:p>
    <w:p w:rsidR="00AF0FDB" w:rsidRPr="00A31A5A" w:rsidRDefault="00AF0FDB" w:rsidP="00CF6950">
      <w:pPr>
        <w:pStyle w:val="ListParagraph"/>
        <w:widowControl w:val="0"/>
        <w:suppressAutoHyphens/>
        <w:spacing w:after="0" w:line="360" w:lineRule="auto"/>
        <w:contextualSpacing w:val="0"/>
        <w:jc w:val="both"/>
        <w:rPr>
          <w:rFonts w:ascii="Times New Roman" w:hAnsi="Times New Roman" w:cs="Times New Roman"/>
        </w:rPr>
      </w:pPr>
      <w:r>
        <w:rPr>
          <w:rFonts w:ascii="Times New Roman" w:hAnsi="Times New Roman" w:cs="Times New Roman"/>
          <w:color w:val="000000"/>
        </w:rPr>
        <w:t xml:space="preserve">- </w:t>
      </w:r>
      <w:r w:rsidRPr="00A31A5A">
        <w:rPr>
          <w:rFonts w:ascii="Times New Roman" w:hAnsi="Times New Roman" w:cs="Times New Roman"/>
          <w:color w:val="000000"/>
        </w:rPr>
        <w:t xml:space="preserve">Infanrix IPV-Hib (szczepionka przeciw błonicy, tężcowi, krztuścowi, </w:t>
      </w:r>
      <w:r w:rsidRPr="00A31A5A">
        <w:rPr>
          <w:rFonts w:ascii="Times New Roman" w:hAnsi="Times New Roman" w:cs="Times New Roman"/>
          <w:i/>
          <w:iCs/>
          <w:color w:val="000000"/>
        </w:rPr>
        <w:t>poliomyelitis</w:t>
      </w:r>
      <w:r w:rsidRPr="00A31A5A">
        <w:rPr>
          <w:rFonts w:ascii="Times New Roman" w:hAnsi="Times New Roman" w:cs="Times New Roman"/>
          <w:i/>
          <w:iCs/>
          <w:color w:val="000000"/>
        </w:rPr>
        <w:br/>
      </w:r>
      <w:r w:rsidRPr="00A31A5A">
        <w:rPr>
          <w:rFonts w:ascii="Times New Roman" w:hAnsi="Times New Roman" w:cs="Times New Roman"/>
          <w:color w:val="000000"/>
        </w:rPr>
        <w:t>i inwazyjnemu zakażeniu</w:t>
      </w:r>
      <w:r w:rsidRPr="00A31A5A">
        <w:rPr>
          <w:rFonts w:ascii="Times New Roman" w:hAnsi="Times New Roman" w:cs="Times New Roman"/>
          <w:i/>
          <w:iCs/>
          <w:color w:val="000000"/>
        </w:rPr>
        <w:t xml:space="preserve"> Haemophilus influenzae </w:t>
      </w:r>
      <w:r w:rsidRPr="00A31A5A">
        <w:rPr>
          <w:rFonts w:ascii="Times New Roman" w:hAnsi="Times New Roman" w:cs="Times New Roman"/>
          <w:color w:val="000000"/>
        </w:rPr>
        <w:t>typu b – zgłoszenie dotyczyło</w:t>
      </w:r>
      <w:r w:rsidRPr="00A31A5A">
        <w:rPr>
          <w:rFonts w:ascii="Times New Roman" w:hAnsi="Times New Roman" w:cs="Times New Roman"/>
          <w:color w:val="000000"/>
        </w:rPr>
        <w:br/>
        <w:t xml:space="preserve">2-letniego dziecka, które zostało hospitalizowane na skutek wystąpienia </w:t>
      </w:r>
      <w:r w:rsidRPr="00A31A5A">
        <w:rPr>
          <w:rFonts w:ascii="Times New Roman" w:hAnsi="Times New Roman" w:cs="Times New Roman"/>
        </w:rPr>
        <w:t>epizodu hypotoniczno-hyporeaktywnego</w:t>
      </w:r>
      <w:r w:rsidRPr="00A31A5A">
        <w:rPr>
          <w:rFonts w:ascii="Times New Roman" w:hAnsi="Times New Roman" w:cs="Times New Roman"/>
          <w:color w:val="000000"/>
        </w:rPr>
        <w:t xml:space="preserve"> i wysokiej gorączki. Dziecko </w:t>
      </w:r>
      <w:r>
        <w:rPr>
          <w:rFonts w:ascii="Times New Roman" w:hAnsi="Times New Roman" w:cs="Times New Roman"/>
        </w:rPr>
        <w:t xml:space="preserve">wypisane do domu </w:t>
      </w:r>
      <w:r w:rsidRPr="00A31A5A">
        <w:rPr>
          <w:rFonts w:ascii="Times New Roman" w:hAnsi="Times New Roman" w:cs="Times New Roman"/>
        </w:rPr>
        <w:t>w stanie pełnego powrotu do zdrowia,</w:t>
      </w:r>
    </w:p>
    <w:p w:rsidR="00AF0FDB" w:rsidRPr="00A31A5A" w:rsidRDefault="00AF0FDB" w:rsidP="00CF6950">
      <w:pPr>
        <w:pStyle w:val="ListParagraph"/>
        <w:widowControl w:val="0"/>
        <w:suppressAutoHyphens/>
        <w:spacing w:after="0" w:line="360" w:lineRule="auto"/>
        <w:contextualSpacing w:val="0"/>
        <w:jc w:val="both"/>
        <w:rPr>
          <w:rFonts w:ascii="Times New Roman" w:hAnsi="Times New Roman" w:cs="Times New Roman"/>
        </w:rPr>
      </w:pPr>
      <w:r>
        <w:rPr>
          <w:rFonts w:ascii="Times New Roman" w:hAnsi="Times New Roman" w:cs="Times New Roman"/>
          <w:color w:val="000000"/>
        </w:rPr>
        <w:t xml:space="preserve">- </w:t>
      </w:r>
      <w:r w:rsidRPr="00A31A5A">
        <w:rPr>
          <w:rFonts w:ascii="Times New Roman" w:hAnsi="Times New Roman" w:cs="Times New Roman"/>
          <w:color w:val="000000"/>
        </w:rPr>
        <w:t xml:space="preserve">Rabipur (szczepionka przeciwko wściekliźnie) 9–letniemu dziecku, które zostało hospitalizowane ze względu na wystąpienie </w:t>
      </w:r>
      <w:r w:rsidRPr="00A31A5A">
        <w:rPr>
          <w:rFonts w:ascii="Times New Roman" w:hAnsi="Times New Roman" w:cs="Times New Roman"/>
        </w:rPr>
        <w:t>epizodu hypotoniczno-hyporeaktywnego</w:t>
      </w:r>
      <w:r w:rsidRPr="00A31A5A">
        <w:rPr>
          <w:rFonts w:ascii="Times New Roman" w:hAnsi="Times New Roman" w:cs="Times New Roman"/>
        </w:rPr>
        <w:br/>
        <w:t>z utratą świadomości.</w:t>
      </w:r>
      <w:r w:rsidRPr="00A31A5A">
        <w:rPr>
          <w:rFonts w:ascii="Times New Roman" w:hAnsi="Times New Roman" w:cs="Times New Roman"/>
          <w:color w:val="FF0000"/>
        </w:rPr>
        <w:t xml:space="preserve"> </w:t>
      </w:r>
      <w:r w:rsidRPr="00A31A5A">
        <w:rPr>
          <w:rFonts w:ascii="Times New Roman" w:hAnsi="Times New Roman" w:cs="Times New Roman"/>
        </w:rPr>
        <w:t>Dziecko wypisane do domu w st</w:t>
      </w:r>
      <w:r>
        <w:rPr>
          <w:rFonts w:ascii="Times New Roman" w:hAnsi="Times New Roman" w:cs="Times New Roman"/>
        </w:rPr>
        <w:t>anie pełnego powrotu</w:t>
      </w:r>
      <w:r>
        <w:rPr>
          <w:rFonts w:ascii="Times New Roman" w:hAnsi="Times New Roman" w:cs="Times New Roman"/>
        </w:rPr>
        <w:br/>
        <w:t>do zdrowia,</w:t>
      </w:r>
    </w:p>
    <w:p w:rsidR="00AF0FDB" w:rsidRPr="00A31A5A" w:rsidRDefault="00AF0FDB" w:rsidP="00CF6950">
      <w:pPr>
        <w:pStyle w:val="ListParagraph"/>
        <w:widowControl w:val="0"/>
        <w:suppressAutoHyphens/>
        <w:spacing w:after="0" w:line="360" w:lineRule="auto"/>
        <w:contextualSpacing w:val="0"/>
        <w:jc w:val="both"/>
        <w:rPr>
          <w:rFonts w:ascii="Times New Roman" w:hAnsi="Times New Roman" w:cs="Times New Roman"/>
        </w:rPr>
      </w:pPr>
      <w:r>
        <w:rPr>
          <w:rFonts w:ascii="Times New Roman" w:hAnsi="Times New Roman" w:cs="Times New Roman"/>
        </w:rPr>
        <w:t xml:space="preserve">- </w:t>
      </w:r>
      <w:r w:rsidRPr="00A31A5A">
        <w:rPr>
          <w:rFonts w:ascii="Times New Roman" w:hAnsi="Times New Roman" w:cs="Times New Roman"/>
        </w:rPr>
        <w:t>M-M-RVAXPRO (szczepionka przeciwko odrze, śwince i różyczce)</w:t>
      </w:r>
      <w:r w:rsidRPr="00A31A5A">
        <w:rPr>
          <w:rFonts w:ascii="Times New Roman" w:hAnsi="Times New Roman" w:cs="Times New Roman"/>
          <w:color w:val="FF0000"/>
        </w:rPr>
        <w:t xml:space="preserve"> </w:t>
      </w:r>
      <w:r w:rsidRPr="00A31A5A">
        <w:rPr>
          <w:rFonts w:ascii="Times New Roman" w:hAnsi="Times New Roman" w:cs="Times New Roman"/>
        </w:rPr>
        <w:t>9–letniemu dziecku, na skutek czego zostało ono hospitalizowane z objawami obwodowego porażenia nerwu twarzowego prawego. Dziecko wypisane do domu z zaleceniem terapii neurologicznej.</w:t>
      </w:r>
    </w:p>
    <w:p w:rsidR="00AF0FDB" w:rsidRPr="007F228C" w:rsidRDefault="00AF0FDB" w:rsidP="00634F42">
      <w:pPr>
        <w:pStyle w:val="ListParagraph"/>
        <w:widowControl w:val="0"/>
        <w:suppressAutoHyphens/>
        <w:spacing w:after="0" w:line="360" w:lineRule="auto"/>
        <w:contextualSpacing w:val="0"/>
        <w:jc w:val="both"/>
        <w:rPr>
          <w:rFonts w:ascii="Times New Roman" w:hAnsi="Times New Roman" w:cs="Times New Roman"/>
          <w:color w:val="000000"/>
        </w:rPr>
      </w:pPr>
    </w:p>
    <w:p w:rsidR="00AF0FDB" w:rsidRPr="001C2774" w:rsidRDefault="00AF0FDB" w:rsidP="001C2774">
      <w:pPr>
        <w:pStyle w:val="Heading1"/>
        <w:spacing w:before="0" w:line="276" w:lineRule="auto"/>
        <w:rPr>
          <w:rFonts w:ascii="Times New Roman" w:hAnsi="Times New Roman" w:cs="Times New Roman"/>
          <w:sz w:val="24"/>
          <w:szCs w:val="24"/>
        </w:rPr>
      </w:pPr>
      <w:bookmarkStart w:id="344" w:name="_Toc938875"/>
      <w:r w:rsidRPr="001C2774">
        <w:rPr>
          <w:rFonts w:ascii="Times New Roman" w:hAnsi="Times New Roman" w:cs="Times New Roman"/>
          <w:sz w:val="24"/>
          <w:szCs w:val="24"/>
        </w:rPr>
        <w:t>Rodzice / opiekunowie prawni uchylający się</w:t>
      </w:r>
      <w:bookmarkEnd w:id="344"/>
      <w:r w:rsidRPr="001C2774">
        <w:rPr>
          <w:rFonts w:ascii="Times New Roman" w:hAnsi="Times New Roman" w:cs="Times New Roman"/>
          <w:sz w:val="24"/>
          <w:szCs w:val="24"/>
        </w:rPr>
        <w:t xml:space="preserve"> </w:t>
      </w:r>
    </w:p>
    <w:p w:rsidR="00AF0FDB" w:rsidRPr="001C2774" w:rsidRDefault="00AF0FDB" w:rsidP="001C2774">
      <w:pPr>
        <w:pStyle w:val="Heading1"/>
        <w:spacing w:before="0" w:line="276" w:lineRule="auto"/>
        <w:rPr>
          <w:rFonts w:ascii="Times New Roman" w:hAnsi="Times New Roman" w:cs="Times New Roman"/>
          <w:sz w:val="24"/>
          <w:szCs w:val="24"/>
        </w:rPr>
      </w:pPr>
      <w:bookmarkStart w:id="345" w:name="_Toc938876"/>
      <w:r w:rsidRPr="001C2774">
        <w:rPr>
          <w:rFonts w:ascii="Times New Roman" w:hAnsi="Times New Roman" w:cs="Times New Roman"/>
          <w:sz w:val="24"/>
          <w:szCs w:val="24"/>
        </w:rPr>
        <w:t>od obowiązku szczepień ochronnych</w:t>
      </w:r>
      <w:bookmarkEnd w:id="345"/>
    </w:p>
    <w:p w:rsidR="00AF0FDB" w:rsidRPr="007F228C" w:rsidRDefault="00AF0FDB" w:rsidP="007F228C">
      <w:pPr>
        <w:pStyle w:val="Standard"/>
        <w:spacing w:after="0" w:line="360" w:lineRule="auto"/>
        <w:jc w:val="right"/>
        <w:rPr>
          <w:rFonts w:ascii="Times New Roman" w:hAnsi="Times New Roman" w:cs="Times New Roman"/>
          <w:b/>
          <w:bCs/>
          <w:sz w:val="24"/>
          <w:szCs w:val="24"/>
        </w:rPr>
      </w:pPr>
    </w:p>
    <w:p w:rsidR="00AF0FDB" w:rsidRPr="004C1A9A" w:rsidRDefault="00AF0FDB" w:rsidP="00A31A5A">
      <w:pPr>
        <w:pStyle w:val="Standard"/>
        <w:spacing w:line="360" w:lineRule="auto"/>
        <w:jc w:val="both"/>
        <w:rPr>
          <w:rFonts w:ascii="Times New Roman" w:hAnsi="Times New Roman" w:cs="Times New Roman"/>
          <w:color w:val="000000"/>
        </w:rPr>
      </w:pPr>
      <w:r w:rsidRPr="00CF489B">
        <w:rPr>
          <w:rFonts w:ascii="Times New Roman" w:hAnsi="Times New Roman" w:cs="Times New Roman"/>
          <w:color w:val="000000"/>
        </w:rPr>
        <w:t>Liczbę rodziców / opiekunów prawnych uchylających się od obowiązku szczepień ochronnych oraz liczbę dzieci, u których nie zrealizowano o</w:t>
      </w:r>
      <w:r>
        <w:rPr>
          <w:rFonts w:ascii="Times New Roman" w:hAnsi="Times New Roman" w:cs="Times New Roman"/>
          <w:color w:val="000000"/>
        </w:rPr>
        <w:t xml:space="preserve">bowiązkowych szczepień zgodnie </w:t>
      </w:r>
      <w:r w:rsidRPr="00CF489B">
        <w:rPr>
          <w:rFonts w:ascii="Times New Roman" w:hAnsi="Times New Roman" w:cs="Times New Roman"/>
          <w:color w:val="000000"/>
        </w:rPr>
        <w:t xml:space="preserve">z obowiązującym Programem Szczepień Ochronnych </w:t>
      </w:r>
      <w:r w:rsidRPr="00CF489B">
        <w:rPr>
          <w:rFonts w:ascii="Times New Roman" w:hAnsi="Times New Roman" w:cs="Times New Roman"/>
        </w:rPr>
        <w:t>(PSO)</w:t>
      </w:r>
      <w:r>
        <w:rPr>
          <w:rFonts w:ascii="Times New Roman" w:hAnsi="Times New Roman" w:cs="Times New Roman"/>
          <w:color w:val="000000"/>
        </w:rPr>
        <w:t>, wg stanu na dzień 31.12.2018</w:t>
      </w:r>
      <w:r w:rsidRPr="00CF489B">
        <w:rPr>
          <w:rFonts w:ascii="Times New Roman" w:hAnsi="Times New Roman" w:cs="Times New Roman"/>
          <w:color w:val="000000"/>
        </w:rPr>
        <w:t xml:space="preserve"> r., przedstawiono w </w:t>
      </w:r>
      <w:r w:rsidRPr="00264339">
        <w:rPr>
          <w:rFonts w:ascii="Times New Roman" w:hAnsi="Times New Roman" w:cs="Times New Roman"/>
          <w:color w:val="000000"/>
        </w:rPr>
        <w:t>Tab. 1</w:t>
      </w:r>
      <w:r>
        <w:rPr>
          <w:rFonts w:ascii="Times New Roman" w:hAnsi="Times New Roman" w:cs="Times New Roman"/>
          <w:color w:val="000000"/>
        </w:rPr>
        <w:t>3</w:t>
      </w:r>
      <w:r w:rsidRPr="00264339">
        <w:rPr>
          <w:rFonts w:ascii="Times New Roman" w:hAnsi="Times New Roman" w:cs="Times New Roman"/>
          <w:color w:val="000000"/>
        </w:rPr>
        <w:t>.</w:t>
      </w:r>
    </w:p>
    <w:p w:rsidR="00AF0FDB" w:rsidRPr="00A52ED7" w:rsidRDefault="00AF0FDB" w:rsidP="009E386D">
      <w:pPr>
        <w:pStyle w:val="Standard"/>
        <w:spacing w:line="276" w:lineRule="auto"/>
        <w:jc w:val="both"/>
        <w:rPr>
          <w:rFonts w:ascii="Times New Roman" w:hAnsi="Times New Roman" w:cs="Times New Roman"/>
          <w:sz w:val="20"/>
          <w:szCs w:val="20"/>
        </w:rPr>
      </w:pPr>
      <w:r w:rsidRPr="007F228C">
        <w:rPr>
          <w:rFonts w:ascii="Times New Roman" w:hAnsi="Times New Roman" w:cs="Times New Roman"/>
          <w:b/>
          <w:bCs/>
          <w:sz w:val="20"/>
          <w:szCs w:val="20"/>
        </w:rPr>
        <w:t>Tab. 1</w:t>
      </w:r>
      <w:r>
        <w:rPr>
          <w:rFonts w:ascii="Times New Roman" w:hAnsi="Times New Roman" w:cs="Times New Roman"/>
          <w:b/>
          <w:bCs/>
          <w:sz w:val="20"/>
          <w:szCs w:val="20"/>
        </w:rPr>
        <w:t>3</w:t>
      </w:r>
      <w:r w:rsidRPr="007F228C">
        <w:rPr>
          <w:rFonts w:ascii="Times New Roman" w:hAnsi="Times New Roman" w:cs="Times New Roman"/>
          <w:b/>
          <w:bCs/>
          <w:sz w:val="20"/>
          <w:szCs w:val="20"/>
        </w:rPr>
        <w:t>.</w:t>
      </w:r>
      <w:r>
        <w:rPr>
          <w:rFonts w:ascii="Times New Roman" w:hAnsi="Times New Roman" w:cs="Times New Roman"/>
          <w:sz w:val="20"/>
          <w:szCs w:val="20"/>
        </w:rPr>
        <w:t xml:space="preserve"> </w:t>
      </w:r>
      <w:r w:rsidRPr="00CF489B">
        <w:rPr>
          <w:rFonts w:ascii="Times New Roman" w:hAnsi="Times New Roman" w:cs="Times New Roman"/>
          <w:sz w:val="20"/>
          <w:szCs w:val="20"/>
        </w:rPr>
        <w:t xml:space="preserve">Liczba rodziców/ opiekunów prawnych uchylających się od obowiązku szczepień ochronnych oraz dzieci, u których </w:t>
      </w:r>
      <w:r w:rsidRPr="00CF489B">
        <w:rPr>
          <w:rFonts w:ascii="Times New Roman" w:hAnsi="Times New Roman" w:cs="Times New Roman"/>
          <w:color w:val="000000"/>
          <w:sz w:val="20"/>
          <w:szCs w:val="20"/>
        </w:rPr>
        <w:t>nie zrealizowano obowiązkowych szczepień</w:t>
      </w:r>
      <w:r>
        <w:rPr>
          <w:rFonts w:ascii="Times New Roman" w:hAnsi="Times New Roman" w:cs="Times New Roman"/>
          <w:color w:val="000000"/>
          <w:sz w:val="20"/>
          <w:szCs w:val="20"/>
        </w:rPr>
        <w:t>,</w:t>
      </w:r>
      <w:r w:rsidRPr="00CF489B">
        <w:rPr>
          <w:rFonts w:ascii="Times New Roman" w:hAnsi="Times New Roman" w:cs="Times New Roman"/>
          <w:color w:val="000000"/>
          <w:sz w:val="20"/>
          <w:szCs w:val="20"/>
        </w:rPr>
        <w:t xml:space="preserve"> zgodnie z obowiązującym Progr</w:t>
      </w:r>
      <w:r>
        <w:rPr>
          <w:rFonts w:ascii="Times New Roman" w:hAnsi="Times New Roman" w:cs="Times New Roman"/>
          <w:color w:val="000000"/>
          <w:sz w:val="20"/>
          <w:szCs w:val="20"/>
        </w:rPr>
        <w:t>amem Szczepień Ochronnych w 2018</w:t>
      </w:r>
      <w:r w:rsidRPr="00CF489B">
        <w:rPr>
          <w:rFonts w:ascii="Times New Roman" w:hAnsi="Times New Roman" w:cs="Times New Roman"/>
          <w:color w:val="000000"/>
          <w:sz w:val="20"/>
          <w:szCs w:val="20"/>
        </w:rPr>
        <w:t xml:space="preserve"> r.</w:t>
      </w:r>
    </w:p>
    <w:tbl>
      <w:tblPr>
        <w:tblW w:w="946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000"/>
      </w:tblPr>
      <w:tblGrid>
        <w:gridCol w:w="626"/>
        <w:gridCol w:w="1502"/>
        <w:gridCol w:w="1502"/>
        <w:gridCol w:w="1502"/>
        <w:gridCol w:w="1502"/>
        <w:gridCol w:w="1502"/>
        <w:gridCol w:w="1328"/>
      </w:tblGrid>
      <w:tr w:rsidR="00AF0FDB" w:rsidRPr="00CF489B">
        <w:trPr>
          <w:trHeight w:val="176"/>
        </w:trPr>
        <w:tc>
          <w:tcPr>
            <w:tcW w:w="626" w:type="dxa"/>
            <w:vMerge w:val="restart"/>
            <w:shd w:val="clear" w:color="auto" w:fill="E8E8E8"/>
          </w:tcPr>
          <w:p w:rsidR="00AF0FDB" w:rsidRPr="002C4F7C" w:rsidRDefault="00AF0FDB" w:rsidP="002C4F7C">
            <w:pPr>
              <w:pStyle w:val="Standard"/>
              <w:spacing w:after="0" w:line="276" w:lineRule="auto"/>
              <w:jc w:val="both"/>
              <w:rPr>
                <w:rFonts w:ascii="Times New Roman" w:hAnsi="Times New Roman" w:cs="Times New Roman"/>
                <w:b/>
                <w:bCs/>
              </w:rPr>
            </w:pPr>
            <w:r w:rsidRPr="002C4F7C">
              <w:rPr>
                <w:rFonts w:ascii="Times New Roman" w:hAnsi="Times New Roman" w:cs="Times New Roman"/>
                <w:b/>
                <w:bCs/>
                <w:sz w:val="20"/>
                <w:szCs w:val="20"/>
              </w:rPr>
              <w:t>Rok</w:t>
            </w:r>
          </w:p>
        </w:tc>
        <w:tc>
          <w:tcPr>
            <w:tcW w:w="3004" w:type="dxa"/>
            <w:gridSpan w:val="2"/>
            <w:shd w:val="clear" w:color="auto" w:fill="E8E8E8"/>
          </w:tcPr>
          <w:p w:rsidR="00AF0FDB" w:rsidRPr="002C4F7C" w:rsidRDefault="00AF0FDB" w:rsidP="002C4F7C">
            <w:pPr>
              <w:pStyle w:val="Standard"/>
              <w:tabs>
                <w:tab w:val="center" w:pos="1394"/>
              </w:tabs>
              <w:spacing w:after="0" w:line="276" w:lineRule="auto"/>
              <w:jc w:val="center"/>
              <w:rPr>
                <w:rFonts w:ascii="Times New Roman" w:hAnsi="Times New Roman" w:cs="Times New Roman"/>
                <w:b/>
                <w:bCs/>
                <w:sz w:val="20"/>
                <w:szCs w:val="20"/>
              </w:rPr>
            </w:pPr>
            <w:r w:rsidRPr="002C4F7C">
              <w:rPr>
                <w:rFonts w:ascii="Times New Roman" w:hAnsi="Times New Roman" w:cs="Times New Roman"/>
                <w:b/>
                <w:bCs/>
                <w:sz w:val="20"/>
                <w:szCs w:val="20"/>
              </w:rPr>
              <w:t>miasto</w:t>
            </w:r>
          </w:p>
        </w:tc>
        <w:tc>
          <w:tcPr>
            <w:tcW w:w="3004" w:type="dxa"/>
            <w:gridSpan w:val="2"/>
            <w:shd w:val="clear" w:color="auto" w:fill="E8E8E8"/>
          </w:tcPr>
          <w:p w:rsidR="00AF0FDB" w:rsidRPr="002C4F7C" w:rsidRDefault="00AF0FDB" w:rsidP="002C4F7C">
            <w:pPr>
              <w:pStyle w:val="Standard"/>
              <w:spacing w:after="0" w:line="276" w:lineRule="auto"/>
              <w:jc w:val="center"/>
              <w:rPr>
                <w:rFonts w:ascii="Times New Roman" w:hAnsi="Times New Roman" w:cs="Times New Roman"/>
                <w:b/>
                <w:bCs/>
                <w:sz w:val="20"/>
                <w:szCs w:val="20"/>
              </w:rPr>
            </w:pPr>
            <w:r w:rsidRPr="002C4F7C">
              <w:rPr>
                <w:rFonts w:ascii="Times New Roman" w:hAnsi="Times New Roman" w:cs="Times New Roman"/>
                <w:b/>
                <w:bCs/>
                <w:sz w:val="20"/>
                <w:szCs w:val="20"/>
              </w:rPr>
              <w:t>powiat</w:t>
            </w:r>
          </w:p>
        </w:tc>
        <w:tc>
          <w:tcPr>
            <w:tcW w:w="2830" w:type="dxa"/>
            <w:gridSpan w:val="2"/>
            <w:shd w:val="clear" w:color="auto" w:fill="E8E8E8"/>
          </w:tcPr>
          <w:p w:rsidR="00AF0FDB" w:rsidRPr="002C4F7C" w:rsidRDefault="00AF0FDB" w:rsidP="002C4F7C">
            <w:pPr>
              <w:pStyle w:val="Standard"/>
              <w:spacing w:after="0" w:line="276" w:lineRule="auto"/>
              <w:jc w:val="center"/>
              <w:rPr>
                <w:rFonts w:ascii="Times New Roman" w:hAnsi="Times New Roman" w:cs="Times New Roman"/>
                <w:b/>
                <w:bCs/>
                <w:sz w:val="20"/>
                <w:szCs w:val="20"/>
              </w:rPr>
            </w:pPr>
            <w:r w:rsidRPr="002C4F7C">
              <w:rPr>
                <w:rFonts w:ascii="Times New Roman" w:hAnsi="Times New Roman" w:cs="Times New Roman"/>
                <w:b/>
                <w:bCs/>
                <w:sz w:val="20"/>
                <w:szCs w:val="20"/>
              </w:rPr>
              <w:t>razem</w:t>
            </w:r>
          </w:p>
        </w:tc>
      </w:tr>
      <w:tr w:rsidR="00AF0FDB" w:rsidRPr="00CF489B">
        <w:tc>
          <w:tcPr>
            <w:tcW w:w="626" w:type="dxa"/>
            <w:vMerge/>
            <w:shd w:val="clear" w:color="auto" w:fill="E8E8E8"/>
          </w:tcPr>
          <w:p w:rsidR="00AF0FDB" w:rsidRPr="002C4F7C" w:rsidRDefault="00AF0FDB" w:rsidP="002C4F7C">
            <w:pPr>
              <w:pStyle w:val="Standard"/>
              <w:snapToGrid w:val="0"/>
              <w:spacing w:after="0" w:line="276" w:lineRule="auto"/>
              <w:jc w:val="both"/>
              <w:rPr>
                <w:rFonts w:ascii="Times New Roman" w:hAnsi="Times New Roman" w:cs="Times New Roman"/>
                <w:b/>
                <w:bCs/>
                <w:sz w:val="20"/>
                <w:szCs w:val="20"/>
              </w:rPr>
            </w:pPr>
          </w:p>
        </w:tc>
        <w:tc>
          <w:tcPr>
            <w:tcW w:w="1502" w:type="dxa"/>
          </w:tcPr>
          <w:p w:rsidR="00AF0FDB" w:rsidRPr="002C4F7C" w:rsidRDefault="00AF0FDB" w:rsidP="002C4F7C">
            <w:pPr>
              <w:pStyle w:val="Standard"/>
              <w:spacing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rodziców/ opiekunów prawnych dzieci uchylających się od obowiązkowych szczepień ochronnych</w:t>
            </w:r>
          </w:p>
        </w:tc>
        <w:tc>
          <w:tcPr>
            <w:tcW w:w="1502" w:type="dxa"/>
            <w:shd w:val="clear" w:color="auto" w:fill="E8E8E8"/>
          </w:tcPr>
          <w:p w:rsidR="00AF0FDB" w:rsidRPr="002C4F7C" w:rsidRDefault="00AF0FDB" w:rsidP="002C4F7C">
            <w:pPr>
              <w:pStyle w:val="Standard"/>
              <w:spacing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dzieci nie szczepionych obowiązkowymi szczepieniami ochronnymi</w:t>
            </w:r>
          </w:p>
        </w:tc>
        <w:tc>
          <w:tcPr>
            <w:tcW w:w="1502" w:type="dxa"/>
          </w:tcPr>
          <w:p w:rsidR="00AF0FDB" w:rsidRPr="002C4F7C" w:rsidRDefault="00AF0FDB" w:rsidP="002C4F7C">
            <w:pPr>
              <w:pStyle w:val="Standard"/>
              <w:spacing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rodziców/ opiekunów prawnych dzieci uchylających się od obowiązkowych szczepień ochronnych</w:t>
            </w:r>
          </w:p>
        </w:tc>
        <w:tc>
          <w:tcPr>
            <w:tcW w:w="1502" w:type="dxa"/>
            <w:shd w:val="clear" w:color="auto" w:fill="E8E8E8"/>
          </w:tcPr>
          <w:p w:rsidR="00AF0FDB" w:rsidRPr="002C4F7C" w:rsidRDefault="00AF0FDB" w:rsidP="002C4F7C">
            <w:pPr>
              <w:pStyle w:val="Standard"/>
              <w:spacing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dzieci nie szczepionych obowiązkowymi szczepieniami ochronnymi</w:t>
            </w:r>
          </w:p>
        </w:tc>
        <w:tc>
          <w:tcPr>
            <w:tcW w:w="1502" w:type="dxa"/>
          </w:tcPr>
          <w:p w:rsidR="00AF0FDB" w:rsidRPr="002C4F7C" w:rsidRDefault="00AF0FDB" w:rsidP="002C4F7C">
            <w:pPr>
              <w:pStyle w:val="Standard"/>
              <w:spacing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rodziców/ opiekunów prawnych dzieci uchylających się od obowiązkowych szczepień ochronnych</w:t>
            </w:r>
          </w:p>
        </w:tc>
        <w:tc>
          <w:tcPr>
            <w:tcW w:w="1328" w:type="dxa"/>
            <w:shd w:val="clear" w:color="auto" w:fill="E8E8E8"/>
          </w:tcPr>
          <w:p w:rsidR="00AF0FDB" w:rsidRPr="002C4F7C" w:rsidRDefault="00AF0FDB" w:rsidP="002C4F7C">
            <w:pPr>
              <w:pStyle w:val="Standard"/>
              <w:spacing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dzieci nie szczepionych obowiązkowymi szczepieniami ochronnymi</w:t>
            </w:r>
          </w:p>
        </w:tc>
      </w:tr>
      <w:tr w:rsidR="00AF0FDB" w:rsidRPr="00CF489B">
        <w:tc>
          <w:tcPr>
            <w:tcW w:w="626"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 xml:space="preserve">2018 </w:t>
            </w:r>
          </w:p>
        </w:tc>
        <w:tc>
          <w:tcPr>
            <w:tcW w:w="1502"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sz w:val="20"/>
                <w:szCs w:val="20"/>
              </w:rPr>
            </w:pPr>
            <w:r w:rsidRPr="002C4F7C">
              <w:rPr>
                <w:rFonts w:ascii="Times New Roman" w:hAnsi="Times New Roman" w:cs="Times New Roman"/>
                <w:sz w:val="20"/>
                <w:szCs w:val="20"/>
              </w:rPr>
              <w:t xml:space="preserve">2189 </w:t>
            </w:r>
          </w:p>
        </w:tc>
        <w:tc>
          <w:tcPr>
            <w:tcW w:w="1502"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sz w:val="20"/>
                <w:szCs w:val="20"/>
              </w:rPr>
            </w:pPr>
            <w:r w:rsidRPr="002C4F7C">
              <w:rPr>
                <w:rFonts w:ascii="Times New Roman" w:hAnsi="Times New Roman" w:cs="Times New Roman"/>
                <w:sz w:val="20"/>
                <w:szCs w:val="20"/>
              </w:rPr>
              <w:t xml:space="preserve">1857 </w:t>
            </w:r>
          </w:p>
        </w:tc>
        <w:tc>
          <w:tcPr>
            <w:tcW w:w="1502"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sz w:val="20"/>
                <w:szCs w:val="20"/>
              </w:rPr>
            </w:pPr>
            <w:r w:rsidRPr="002C4F7C">
              <w:rPr>
                <w:rFonts w:ascii="Times New Roman" w:hAnsi="Times New Roman" w:cs="Times New Roman"/>
                <w:sz w:val="20"/>
                <w:szCs w:val="20"/>
              </w:rPr>
              <w:t xml:space="preserve">1079 </w:t>
            </w:r>
          </w:p>
        </w:tc>
        <w:tc>
          <w:tcPr>
            <w:tcW w:w="1502"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sz w:val="20"/>
                <w:szCs w:val="20"/>
              </w:rPr>
            </w:pPr>
            <w:r w:rsidRPr="002C4F7C">
              <w:rPr>
                <w:rFonts w:ascii="Times New Roman" w:hAnsi="Times New Roman" w:cs="Times New Roman"/>
                <w:sz w:val="20"/>
                <w:szCs w:val="20"/>
              </w:rPr>
              <w:t xml:space="preserve">835 </w:t>
            </w:r>
          </w:p>
        </w:tc>
        <w:tc>
          <w:tcPr>
            <w:tcW w:w="1502"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sz w:val="20"/>
                <w:szCs w:val="20"/>
              </w:rPr>
            </w:pPr>
            <w:r w:rsidRPr="002C4F7C">
              <w:rPr>
                <w:rFonts w:ascii="Times New Roman" w:hAnsi="Times New Roman" w:cs="Times New Roman"/>
                <w:sz w:val="20"/>
                <w:szCs w:val="20"/>
              </w:rPr>
              <w:t>3268</w:t>
            </w:r>
          </w:p>
        </w:tc>
        <w:tc>
          <w:tcPr>
            <w:tcW w:w="1328" w:type="dxa"/>
            <w:shd w:val="clear" w:color="auto" w:fill="E8E8E8"/>
          </w:tcPr>
          <w:p w:rsidR="00AF0FDB" w:rsidRPr="002C4F7C" w:rsidRDefault="00AF0FDB" w:rsidP="002C4F7C">
            <w:pPr>
              <w:pStyle w:val="Standard"/>
              <w:spacing w:after="0" w:line="276" w:lineRule="auto"/>
              <w:jc w:val="both"/>
              <w:rPr>
                <w:rFonts w:ascii="Times New Roman" w:hAnsi="Times New Roman" w:cs="Times New Roman"/>
                <w:sz w:val="20"/>
                <w:szCs w:val="20"/>
              </w:rPr>
            </w:pPr>
            <w:r w:rsidRPr="002C4F7C">
              <w:rPr>
                <w:rFonts w:ascii="Times New Roman" w:hAnsi="Times New Roman" w:cs="Times New Roman"/>
                <w:sz w:val="20"/>
                <w:szCs w:val="20"/>
              </w:rPr>
              <w:t>2692</w:t>
            </w:r>
          </w:p>
        </w:tc>
      </w:tr>
    </w:tbl>
    <w:p w:rsidR="00AF0FDB" w:rsidRDefault="00AF0FDB" w:rsidP="00B036E6">
      <w:pPr>
        <w:pStyle w:val="Standard"/>
        <w:spacing w:line="360" w:lineRule="auto"/>
        <w:jc w:val="both"/>
        <w:rPr>
          <w:rFonts w:ascii="Times New Roman" w:hAnsi="Times New Roman" w:cs="Times New Roman"/>
        </w:rPr>
      </w:pPr>
    </w:p>
    <w:p w:rsidR="00AF0FDB" w:rsidRDefault="00AF0FDB" w:rsidP="00A31A5A">
      <w:pPr>
        <w:pStyle w:val="Standard"/>
        <w:spacing w:line="360" w:lineRule="auto"/>
        <w:jc w:val="both"/>
        <w:rPr>
          <w:rFonts w:ascii="Times New Roman" w:hAnsi="Times New Roman" w:cs="Times New Roman"/>
        </w:rPr>
      </w:pPr>
      <w:r w:rsidRPr="00BD6501">
        <w:rPr>
          <w:rFonts w:ascii="Times New Roman" w:hAnsi="Times New Roman" w:cs="Times New Roman"/>
        </w:rPr>
        <w:t>W związku z uchylaniem się rodziców/ opiekunów prawnych od obowiązku szczepień ochronny</w:t>
      </w:r>
      <w:r>
        <w:rPr>
          <w:rFonts w:ascii="Times New Roman" w:hAnsi="Times New Roman" w:cs="Times New Roman"/>
        </w:rPr>
        <w:t>ch w 2018</w:t>
      </w:r>
      <w:r w:rsidRPr="00BD6501">
        <w:rPr>
          <w:rFonts w:ascii="Times New Roman" w:hAnsi="Times New Roman" w:cs="Times New Roman"/>
        </w:rPr>
        <w:t xml:space="preserve"> r. Państwowy Powiatowy Inspekt</w:t>
      </w:r>
      <w:r>
        <w:rPr>
          <w:rFonts w:ascii="Times New Roman" w:hAnsi="Times New Roman" w:cs="Times New Roman"/>
        </w:rPr>
        <w:t xml:space="preserve">or Sanitarny w Poznaniu zgodnie </w:t>
      </w:r>
      <w:r w:rsidRPr="00BD6501">
        <w:rPr>
          <w:rFonts w:ascii="Times New Roman" w:hAnsi="Times New Roman" w:cs="Times New Roman"/>
        </w:rPr>
        <w:t xml:space="preserve">z przepisami prawnymi oraz Programem Szczepień Ochronnych podejmował czynności zmierzające do egzekwowania wykonania tego obowiązku, które ujęto w </w:t>
      </w:r>
      <w:r w:rsidRPr="00264339">
        <w:rPr>
          <w:rFonts w:ascii="Times New Roman" w:hAnsi="Times New Roman" w:cs="Times New Roman"/>
        </w:rPr>
        <w:t>Tab. 1</w:t>
      </w:r>
      <w:r>
        <w:rPr>
          <w:rFonts w:ascii="Times New Roman" w:hAnsi="Times New Roman" w:cs="Times New Roman"/>
        </w:rPr>
        <w:t>4</w:t>
      </w:r>
      <w:r w:rsidRPr="00264339">
        <w:rPr>
          <w:rFonts w:ascii="Times New Roman" w:hAnsi="Times New Roman" w:cs="Times New Roman"/>
        </w:rPr>
        <w:t>.</w:t>
      </w:r>
    </w:p>
    <w:p w:rsidR="00AF0FDB" w:rsidRDefault="00AF0FDB" w:rsidP="00A31A5A">
      <w:pPr>
        <w:pStyle w:val="Standard"/>
        <w:spacing w:line="360" w:lineRule="auto"/>
        <w:jc w:val="both"/>
        <w:rPr>
          <w:rFonts w:ascii="Times New Roman" w:hAnsi="Times New Roman" w:cs="Times New Roman"/>
        </w:rPr>
      </w:pPr>
    </w:p>
    <w:p w:rsidR="00AF0FDB" w:rsidRDefault="00AF0FDB" w:rsidP="00A31A5A">
      <w:pPr>
        <w:pStyle w:val="Standard"/>
        <w:spacing w:line="360" w:lineRule="auto"/>
        <w:jc w:val="both"/>
        <w:rPr>
          <w:rFonts w:ascii="Times New Roman" w:hAnsi="Times New Roman" w:cs="Times New Roman"/>
        </w:rPr>
      </w:pPr>
    </w:p>
    <w:p w:rsidR="00AF0FDB" w:rsidRDefault="00AF0FDB" w:rsidP="00A31A5A">
      <w:pPr>
        <w:pStyle w:val="Standard"/>
        <w:spacing w:line="360" w:lineRule="auto"/>
        <w:jc w:val="both"/>
        <w:rPr>
          <w:rFonts w:ascii="Times New Roman" w:hAnsi="Times New Roman" w:cs="Times New Roman"/>
        </w:rPr>
      </w:pPr>
    </w:p>
    <w:p w:rsidR="00AF0FDB" w:rsidRPr="00BD6501" w:rsidRDefault="00AF0FDB" w:rsidP="00A31A5A">
      <w:pPr>
        <w:pStyle w:val="Standard"/>
        <w:spacing w:line="360" w:lineRule="auto"/>
        <w:jc w:val="both"/>
        <w:rPr>
          <w:rFonts w:ascii="Times New Roman" w:hAnsi="Times New Roman" w:cs="Times New Roman"/>
        </w:rPr>
      </w:pPr>
    </w:p>
    <w:p w:rsidR="00AF0FDB" w:rsidRPr="00CF489B" w:rsidRDefault="00AF0FDB" w:rsidP="00FB25D7">
      <w:pPr>
        <w:pStyle w:val="Standard"/>
        <w:shd w:val="clear" w:color="auto" w:fill="FFFFFF"/>
        <w:spacing w:line="276" w:lineRule="auto"/>
        <w:jc w:val="both"/>
        <w:rPr>
          <w:rFonts w:ascii="Times New Roman" w:hAnsi="Times New Roman" w:cs="Times New Roman"/>
          <w:sz w:val="20"/>
          <w:szCs w:val="20"/>
        </w:rPr>
      </w:pPr>
      <w:r w:rsidRPr="00264339">
        <w:rPr>
          <w:rFonts w:ascii="Times New Roman" w:hAnsi="Times New Roman" w:cs="Times New Roman"/>
          <w:b/>
          <w:bCs/>
          <w:sz w:val="20"/>
          <w:szCs w:val="20"/>
        </w:rPr>
        <w:t>Tab. 1</w:t>
      </w:r>
      <w:r>
        <w:rPr>
          <w:rFonts w:ascii="Times New Roman" w:hAnsi="Times New Roman" w:cs="Times New Roman"/>
          <w:b/>
          <w:bCs/>
          <w:sz w:val="20"/>
          <w:szCs w:val="20"/>
        </w:rPr>
        <w:t>4</w:t>
      </w:r>
      <w:r w:rsidRPr="00264339">
        <w:rPr>
          <w:rFonts w:ascii="Times New Roman" w:hAnsi="Times New Roman" w:cs="Times New Roman"/>
          <w:b/>
          <w:bCs/>
          <w:sz w:val="20"/>
          <w:szCs w:val="20"/>
        </w:rPr>
        <w:t>.</w:t>
      </w:r>
      <w:r w:rsidRPr="00CF489B">
        <w:rPr>
          <w:rFonts w:ascii="Times New Roman" w:hAnsi="Times New Roman" w:cs="Times New Roman"/>
          <w:sz w:val="20"/>
          <w:szCs w:val="20"/>
        </w:rPr>
        <w:t xml:space="preserve"> Działania podjęte przez Państwowego Powiatowego Inspektora Sanitarnego w Poznaniu w </w:t>
      </w:r>
      <w:r>
        <w:rPr>
          <w:rFonts w:ascii="Times New Roman" w:hAnsi="Times New Roman" w:cs="Times New Roman"/>
          <w:sz w:val="20"/>
          <w:szCs w:val="20"/>
          <w:shd w:val="clear" w:color="auto" w:fill="FFFFFF"/>
        </w:rPr>
        <w:t>latach</w:t>
      </w:r>
      <w:r>
        <w:rPr>
          <w:rFonts w:ascii="Times New Roman" w:hAnsi="Times New Roman" w:cs="Times New Roman"/>
          <w:sz w:val="20"/>
          <w:szCs w:val="20"/>
          <w:shd w:val="clear" w:color="auto" w:fill="FFFFFF"/>
        </w:rPr>
        <w:br/>
        <w:t>2016</w:t>
      </w:r>
      <w:r w:rsidRPr="00CF489B">
        <w:rPr>
          <w:rFonts w:ascii="Times New Roman" w:hAnsi="Times New Roman" w:cs="Times New Roman"/>
          <w:sz w:val="20"/>
          <w:szCs w:val="20"/>
          <w:shd w:val="clear" w:color="auto" w:fill="FFFFFF"/>
        </w:rPr>
        <w:t>-201</w:t>
      </w:r>
      <w:r>
        <w:rPr>
          <w:rFonts w:ascii="Times New Roman" w:hAnsi="Times New Roman" w:cs="Times New Roman"/>
          <w:sz w:val="20"/>
          <w:szCs w:val="20"/>
          <w:shd w:val="clear" w:color="auto" w:fill="FFFFFF"/>
        </w:rPr>
        <w:t>8</w:t>
      </w:r>
      <w:r w:rsidRPr="00CF489B">
        <w:rPr>
          <w:rFonts w:ascii="Times New Roman" w:hAnsi="Times New Roman" w:cs="Times New Roman"/>
          <w:sz w:val="20"/>
          <w:szCs w:val="20"/>
        </w:rPr>
        <w:t xml:space="preserve"> dot. rodziców/ opiekunów prawnych uchylających się od obowiązku szczepień ochronnych.</w:t>
      </w:r>
    </w:p>
    <w:tbl>
      <w:tblPr>
        <w:tblW w:w="93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709"/>
        <w:gridCol w:w="4465"/>
        <w:gridCol w:w="4182"/>
      </w:tblGrid>
      <w:tr w:rsidR="00AF0FDB" w:rsidRPr="00CF489B">
        <w:tc>
          <w:tcPr>
            <w:tcW w:w="709" w:type="dxa"/>
            <w:vMerge w:val="restart"/>
            <w:tcBorders>
              <w:top w:val="double" w:sz="6" w:space="0" w:color="000000"/>
            </w:tcBorders>
          </w:tcPr>
          <w:p w:rsidR="00AF0FDB" w:rsidRPr="002C4F7C" w:rsidRDefault="00AF0FDB" w:rsidP="002C4F7C">
            <w:pPr>
              <w:pStyle w:val="Standard"/>
              <w:shd w:val="clear" w:color="auto" w:fill="FFFFFF"/>
              <w:spacing w:before="240"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Rok</w:t>
            </w:r>
          </w:p>
        </w:tc>
        <w:tc>
          <w:tcPr>
            <w:tcW w:w="8647" w:type="dxa"/>
            <w:gridSpan w:val="2"/>
            <w:tcBorders>
              <w:top w:val="double" w:sz="6" w:space="0" w:color="000000"/>
            </w:tcBorders>
          </w:tcPr>
          <w:p w:rsidR="00AF0FDB" w:rsidRPr="002C4F7C" w:rsidRDefault="00AF0FDB" w:rsidP="002C4F7C">
            <w:pPr>
              <w:pStyle w:val="Standard"/>
              <w:shd w:val="clear" w:color="auto" w:fill="FFFFFF"/>
              <w:spacing w:before="240"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Działania podjęte przez Państwowego Powiatowego Inspektora Sanitarnego w Poznaniu</w:t>
            </w:r>
          </w:p>
        </w:tc>
      </w:tr>
      <w:tr w:rsidR="00AF0FDB" w:rsidRPr="00CF489B">
        <w:tc>
          <w:tcPr>
            <w:tcW w:w="709" w:type="dxa"/>
            <w:vMerge/>
          </w:tcPr>
          <w:p w:rsidR="00AF0FDB" w:rsidRPr="002C4F7C" w:rsidRDefault="00AF0FDB" w:rsidP="002C4F7C">
            <w:pPr>
              <w:shd w:val="clear" w:color="auto" w:fill="FFFFFF"/>
              <w:jc w:val="both"/>
              <w:rPr>
                <w:b/>
                <w:bCs/>
                <w:sz w:val="22"/>
                <w:szCs w:val="22"/>
              </w:rPr>
            </w:pPr>
          </w:p>
        </w:tc>
        <w:tc>
          <w:tcPr>
            <w:tcW w:w="4465" w:type="dxa"/>
          </w:tcPr>
          <w:p w:rsidR="00AF0FDB" w:rsidRPr="002C4F7C" w:rsidRDefault="00AF0FDB" w:rsidP="002C4F7C">
            <w:pPr>
              <w:pStyle w:val="Standard"/>
              <w:shd w:val="clear" w:color="auto" w:fill="FFFFFF"/>
              <w:tabs>
                <w:tab w:val="left" w:pos="915"/>
                <w:tab w:val="center" w:pos="1238"/>
              </w:tabs>
              <w:spacing w:before="240" w:after="0" w:line="276" w:lineRule="auto"/>
              <w:rPr>
                <w:rFonts w:ascii="Times New Roman" w:hAnsi="Times New Roman" w:cs="Times New Roman"/>
                <w:b/>
                <w:bCs/>
                <w:sz w:val="20"/>
                <w:szCs w:val="20"/>
              </w:rPr>
            </w:pPr>
            <w:r w:rsidRPr="002C4F7C">
              <w:rPr>
                <w:rFonts w:ascii="Times New Roman" w:hAnsi="Times New Roman" w:cs="Times New Roman"/>
                <w:b/>
                <w:bCs/>
                <w:sz w:val="20"/>
                <w:szCs w:val="20"/>
              </w:rPr>
              <w:t>liczba wezwań / upomnień zawierających wezwanie do obowiązku szczepień z zapewnieniem skierowania sprawy na drodze egzekucji administracyjnej</w:t>
            </w:r>
          </w:p>
        </w:tc>
        <w:tc>
          <w:tcPr>
            <w:tcW w:w="4182" w:type="dxa"/>
          </w:tcPr>
          <w:p w:rsidR="00AF0FDB" w:rsidRPr="002C4F7C" w:rsidRDefault="00AF0FDB" w:rsidP="002C4F7C">
            <w:pPr>
              <w:pStyle w:val="Standard"/>
              <w:shd w:val="clear" w:color="auto" w:fill="FFFFFF"/>
              <w:spacing w:before="240"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liczba wystawionych tytułów wykonawczych</w:t>
            </w:r>
          </w:p>
        </w:tc>
      </w:tr>
      <w:tr w:rsidR="00AF0FDB" w:rsidRPr="00CF489B">
        <w:tc>
          <w:tcPr>
            <w:tcW w:w="709" w:type="dxa"/>
          </w:tcPr>
          <w:p w:rsidR="00AF0FDB" w:rsidRPr="002C4F7C" w:rsidRDefault="00AF0FDB" w:rsidP="002C4F7C">
            <w:pPr>
              <w:pStyle w:val="Standard"/>
              <w:shd w:val="clear" w:color="auto" w:fill="FFFFFF"/>
              <w:spacing w:before="240"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2016</w:t>
            </w:r>
          </w:p>
        </w:tc>
        <w:tc>
          <w:tcPr>
            <w:tcW w:w="4465" w:type="dxa"/>
          </w:tcPr>
          <w:p w:rsidR="00AF0FDB" w:rsidRPr="002C4F7C" w:rsidRDefault="00AF0FDB" w:rsidP="002C4F7C">
            <w:pPr>
              <w:pStyle w:val="Standard"/>
              <w:shd w:val="clear" w:color="auto" w:fill="FFFFFF"/>
              <w:spacing w:before="240" w:after="0" w:line="276" w:lineRule="auto"/>
              <w:jc w:val="right"/>
              <w:rPr>
                <w:rFonts w:ascii="Times New Roman" w:hAnsi="Times New Roman" w:cs="Times New Roman"/>
                <w:sz w:val="20"/>
                <w:szCs w:val="20"/>
              </w:rPr>
            </w:pPr>
            <w:r w:rsidRPr="002C4F7C">
              <w:rPr>
                <w:rFonts w:ascii="Times New Roman" w:hAnsi="Times New Roman" w:cs="Times New Roman"/>
                <w:sz w:val="20"/>
                <w:szCs w:val="20"/>
              </w:rPr>
              <w:t>424</w:t>
            </w:r>
          </w:p>
        </w:tc>
        <w:tc>
          <w:tcPr>
            <w:tcW w:w="4182" w:type="dxa"/>
          </w:tcPr>
          <w:p w:rsidR="00AF0FDB" w:rsidRPr="002C4F7C" w:rsidRDefault="00AF0FDB" w:rsidP="002C4F7C">
            <w:pPr>
              <w:pStyle w:val="Standard"/>
              <w:shd w:val="clear" w:color="auto" w:fill="FFFFFF"/>
              <w:tabs>
                <w:tab w:val="left" w:pos="3168"/>
              </w:tabs>
              <w:spacing w:before="240" w:after="0" w:line="276" w:lineRule="auto"/>
              <w:jc w:val="center"/>
              <w:rPr>
                <w:rFonts w:ascii="Times New Roman" w:hAnsi="Times New Roman" w:cs="Times New Roman"/>
                <w:sz w:val="20"/>
                <w:szCs w:val="20"/>
              </w:rPr>
            </w:pPr>
            <w:r w:rsidRPr="002C4F7C">
              <w:rPr>
                <w:rFonts w:ascii="Times New Roman" w:hAnsi="Times New Roman" w:cs="Times New Roman"/>
                <w:sz w:val="20"/>
                <w:szCs w:val="20"/>
              </w:rPr>
              <w:t>21</w:t>
            </w:r>
          </w:p>
        </w:tc>
      </w:tr>
      <w:tr w:rsidR="00AF0FDB" w:rsidRPr="00CF489B">
        <w:tc>
          <w:tcPr>
            <w:tcW w:w="709" w:type="dxa"/>
          </w:tcPr>
          <w:p w:rsidR="00AF0FDB" w:rsidRPr="002C4F7C" w:rsidRDefault="00AF0FDB" w:rsidP="002C4F7C">
            <w:pPr>
              <w:pStyle w:val="Standard"/>
              <w:shd w:val="clear" w:color="auto" w:fill="FFFFFF"/>
              <w:spacing w:before="240"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2017</w:t>
            </w:r>
          </w:p>
        </w:tc>
        <w:tc>
          <w:tcPr>
            <w:tcW w:w="4465" w:type="dxa"/>
          </w:tcPr>
          <w:p w:rsidR="00AF0FDB" w:rsidRPr="002C4F7C" w:rsidRDefault="00AF0FDB" w:rsidP="002C4F7C">
            <w:pPr>
              <w:pStyle w:val="Standard"/>
              <w:shd w:val="clear" w:color="auto" w:fill="FFFFFF"/>
              <w:spacing w:before="240" w:after="0" w:line="276" w:lineRule="auto"/>
              <w:jc w:val="right"/>
              <w:rPr>
                <w:rFonts w:ascii="Times New Roman" w:hAnsi="Times New Roman" w:cs="Times New Roman"/>
                <w:sz w:val="20"/>
                <w:szCs w:val="20"/>
              </w:rPr>
            </w:pPr>
            <w:r w:rsidRPr="002C4F7C">
              <w:rPr>
                <w:rFonts w:ascii="Times New Roman" w:hAnsi="Times New Roman" w:cs="Times New Roman"/>
                <w:sz w:val="20"/>
                <w:szCs w:val="20"/>
              </w:rPr>
              <w:t>709 wezwań, 156 upomnień</w:t>
            </w:r>
          </w:p>
        </w:tc>
        <w:tc>
          <w:tcPr>
            <w:tcW w:w="4182" w:type="dxa"/>
          </w:tcPr>
          <w:p w:rsidR="00AF0FDB" w:rsidRPr="002C4F7C" w:rsidRDefault="00AF0FDB" w:rsidP="002C4F7C">
            <w:pPr>
              <w:pStyle w:val="Standard"/>
              <w:shd w:val="clear" w:color="auto" w:fill="FFFFFF"/>
              <w:spacing w:before="240" w:after="0" w:line="276" w:lineRule="auto"/>
              <w:jc w:val="center"/>
              <w:rPr>
                <w:rFonts w:ascii="Times New Roman" w:hAnsi="Times New Roman" w:cs="Times New Roman"/>
                <w:sz w:val="20"/>
                <w:szCs w:val="20"/>
              </w:rPr>
            </w:pPr>
            <w:r w:rsidRPr="002C4F7C">
              <w:rPr>
                <w:rFonts w:ascii="Times New Roman" w:hAnsi="Times New Roman" w:cs="Times New Roman"/>
                <w:sz w:val="20"/>
                <w:szCs w:val="20"/>
              </w:rPr>
              <w:t>34</w:t>
            </w:r>
          </w:p>
        </w:tc>
      </w:tr>
      <w:tr w:rsidR="00AF0FDB" w:rsidRPr="00CF489B">
        <w:tc>
          <w:tcPr>
            <w:tcW w:w="709" w:type="dxa"/>
            <w:tcBorders>
              <w:bottom w:val="double" w:sz="6" w:space="0" w:color="000000"/>
            </w:tcBorders>
          </w:tcPr>
          <w:p w:rsidR="00AF0FDB" w:rsidRPr="002C4F7C" w:rsidRDefault="00AF0FDB" w:rsidP="002C4F7C">
            <w:pPr>
              <w:pStyle w:val="Standard"/>
              <w:shd w:val="clear" w:color="auto" w:fill="FFFFFF"/>
              <w:spacing w:before="240" w:after="0" w:line="276" w:lineRule="auto"/>
              <w:jc w:val="both"/>
              <w:rPr>
                <w:rFonts w:ascii="Times New Roman" w:hAnsi="Times New Roman" w:cs="Times New Roman"/>
                <w:b/>
                <w:bCs/>
                <w:sz w:val="20"/>
                <w:szCs w:val="20"/>
              </w:rPr>
            </w:pPr>
            <w:r w:rsidRPr="002C4F7C">
              <w:rPr>
                <w:rFonts w:ascii="Times New Roman" w:hAnsi="Times New Roman" w:cs="Times New Roman"/>
                <w:b/>
                <w:bCs/>
                <w:sz w:val="20"/>
                <w:szCs w:val="20"/>
              </w:rPr>
              <w:t>2018</w:t>
            </w:r>
          </w:p>
        </w:tc>
        <w:tc>
          <w:tcPr>
            <w:tcW w:w="4465" w:type="dxa"/>
            <w:tcBorders>
              <w:bottom w:val="double" w:sz="6" w:space="0" w:color="000000"/>
            </w:tcBorders>
          </w:tcPr>
          <w:p w:rsidR="00AF0FDB" w:rsidRPr="002C4F7C" w:rsidRDefault="00AF0FDB" w:rsidP="002C4F7C">
            <w:pPr>
              <w:pStyle w:val="Standard"/>
              <w:shd w:val="clear" w:color="auto" w:fill="FFFFFF"/>
              <w:spacing w:before="240" w:after="0" w:line="276" w:lineRule="auto"/>
              <w:jc w:val="right"/>
              <w:rPr>
                <w:rFonts w:ascii="Times New Roman" w:hAnsi="Times New Roman" w:cs="Times New Roman"/>
                <w:sz w:val="20"/>
                <w:szCs w:val="20"/>
              </w:rPr>
            </w:pPr>
            <w:r w:rsidRPr="002C4F7C">
              <w:rPr>
                <w:rFonts w:ascii="Times New Roman" w:hAnsi="Times New Roman" w:cs="Times New Roman"/>
                <w:sz w:val="20"/>
                <w:szCs w:val="20"/>
              </w:rPr>
              <w:t>74 wezwania, 72 upomnienia</w:t>
            </w:r>
          </w:p>
        </w:tc>
        <w:tc>
          <w:tcPr>
            <w:tcW w:w="4182" w:type="dxa"/>
            <w:tcBorders>
              <w:bottom w:val="double" w:sz="6" w:space="0" w:color="000000"/>
            </w:tcBorders>
          </w:tcPr>
          <w:p w:rsidR="00AF0FDB" w:rsidRPr="002C4F7C" w:rsidRDefault="00AF0FDB" w:rsidP="002C4F7C">
            <w:pPr>
              <w:pStyle w:val="Standard"/>
              <w:shd w:val="clear" w:color="auto" w:fill="FFFFFF"/>
              <w:spacing w:before="240" w:after="0" w:line="276" w:lineRule="auto"/>
              <w:jc w:val="center"/>
              <w:rPr>
                <w:rFonts w:ascii="Times New Roman" w:hAnsi="Times New Roman" w:cs="Times New Roman"/>
                <w:sz w:val="20"/>
                <w:szCs w:val="20"/>
              </w:rPr>
            </w:pPr>
            <w:r w:rsidRPr="002C4F7C">
              <w:rPr>
                <w:rFonts w:ascii="Times New Roman" w:hAnsi="Times New Roman" w:cs="Times New Roman"/>
                <w:sz w:val="20"/>
                <w:szCs w:val="20"/>
              </w:rPr>
              <w:t>48</w:t>
            </w:r>
          </w:p>
        </w:tc>
      </w:tr>
    </w:tbl>
    <w:p w:rsidR="00AF0FDB" w:rsidRDefault="00AF0FDB" w:rsidP="00642C07">
      <w:pPr>
        <w:pStyle w:val="Standard"/>
        <w:spacing w:line="360" w:lineRule="auto"/>
        <w:jc w:val="both"/>
        <w:rPr>
          <w:rFonts w:ascii="Times New Roman" w:hAnsi="Times New Roman" w:cs="Times New Roman"/>
          <w:b/>
          <w:bCs/>
        </w:rPr>
      </w:pPr>
    </w:p>
    <w:p w:rsidR="00AF0FDB" w:rsidRPr="007F228C" w:rsidRDefault="00AF0FDB" w:rsidP="00642C07">
      <w:pPr>
        <w:pStyle w:val="Standard"/>
        <w:spacing w:line="360" w:lineRule="auto"/>
        <w:jc w:val="both"/>
        <w:rPr>
          <w:rFonts w:ascii="Times New Roman" w:hAnsi="Times New Roman" w:cs="Times New Roman"/>
          <w:b/>
          <w:bCs/>
        </w:rPr>
      </w:pPr>
      <w:r w:rsidRPr="007F228C">
        <w:rPr>
          <w:rFonts w:ascii="Times New Roman" w:hAnsi="Times New Roman" w:cs="Times New Roman"/>
          <w:b/>
          <w:bCs/>
        </w:rPr>
        <w:t>Wnioski:</w:t>
      </w:r>
    </w:p>
    <w:p w:rsidR="00AF0FDB" w:rsidRPr="00CF489B" w:rsidRDefault="00AF0FDB" w:rsidP="00FB25D7">
      <w:pPr>
        <w:pStyle w:val="Standard"/>
        <w:widowControl w:val="0"/>
        <w:spacing w:line="360" w:lineRule="auto"/>
        <w:contextualSpacing/>
        <w:jc w:val="both"/>
        <w:rPr>
          <w:rFonts w:ascii="Times New Roman" w:hAnsi="Times New Roman" w:cs="Times New Roman"/>
          <w:b/>
          <w:bCs/>
        </w:rPr>
      </w:pPr>
      <w:r>
        <w:rPr>
          <w:rFonts w:ascii="Times New Roman" w:hAnsi="Times New Roman" w:cs="Times New Roman"/>
        </w:rPr>
        <w:t xml:space="preserve">1. </w:t>
      </w:r>
      <w:r w:rsidRPr="00CF489B">
        <w:rPr>
          <w:rFonts w:ascii="Times New Roman" w:hAnsi="Times New Roman" w:cs="Times New Roman"/>
        </w:rPr>
        <w:t xml:space="preserve">W ramach prowadzonego nadzoru nad wykonawstwem </w:t>
      </w:r>
      <w:r>
        <w:rPr>
          <w:rFonts w:ascii="Times New Roman" w:hAnsi="Times New Roman" w:cs="Times New Roman"/>
        </w:rPr>
        <w:t>szczepień ochronnych w roku 2018</w:t>
      </w:r>
      <w:r w:rsidRPr="00CF489B">
        <w:rPr>
          <w:rFonts w:ascii="Times New Roman" w:hAnsi="Times New Roman" w:cs="Times New Roman"/>
        </w:rPr>
        <w:t xml:space="preserve"> stwierdzono, że lic</w:t>
      </w:r>
      <w:r>
        <w:rPr>
          <w:rFonts w:ascii="Times New Roman" w:hAnsi="Times New Roman" w:cs="Times New Roman"/>
        </w:rPr>
        <w:t>zba rodziców/opiekunów prawnych</w:t>
      </w:r>
      <w:r w:rsidRPr="00CF489B">
        <w:rPr>
          <w:rFonts w:ascii="Times New Roman" w:hAnsi="Times New Roman" w:cs="Times New Roman"/>
        </w:rPr>
        <w:t xml:space="preserve"> uchylających się od obowiązku  szczepień ochronnych oraz liczba dzieci, u których nie zrealizowano obowiązkowych szczepień ochronnych zgodnie z PSO podobnie jak w latach ubiegłych, ma tendencję wzrostową i kształtuje się następująco:</w:t>
      </w:r>
    </w:p>
    <w:p w:rsidR="00AF0FDB" w:rsidRDefault="00AF0FDB" w:rsidP="0062139C">
      <w:pPr>
        <w:spacing w:after="0"/>
        <w:contextualSpacing/>
        <w:jc w:val="both"/>
      </w:pPr>
      <w:r>
        <w:t>-</w:t>
      </w:r>
      <w:r w:rsidRPr="00CF489B">
        <w:t xml:space="preserve"> liczba rodziców/opiekunów prawnych uchylających się od obowiązku szczepień ochronny</w:t>
      </w:r>
      <w:r>
        <w:t>ch, wg stanu na dzień 31.12.2017 r. wynosiła 2811</w:t>
      </w:r>
      <w:r w:rsidRPr="00CF489B">
        <w:t xml:space="preserve"> osób, </w:t>
      </w:r>
      <w:r>
        <w:t>zaś wg stanu na dzień 31.12.2018 r. wynosiła 3268</w:t>
      </w:r>
      <w:r w:rsidRPr="00CF489B">
        <w:t xml:space="preserve"> osób, co stanowi wzrost o </w:t>
      </w:r>
      <w:r>
        <w:t>457</w:t>
      </w:r>
      <w:r w:rsidRPr="00CF489B">
        <w:t xml:space="preserve"> rodziców/opiekunów prawnych</w:t>
      </w:r>
      <w:r>
        <w:t>(o 14</w:t>
      </w:r>
      <w:r w:rsidRPr="00CF489B">
        <w:t>%)</w:t>
      </w:r>
      <w:r>
        <w:t xml:space="preserve"> w porównaniu do roku 2017</w:t>
      </w:r>
      <w:r w:rsidRPr="00CF489B">
        <w:t>,</w:t>
      </w:r>
    </w:p>
    <w:p w:rsidR="00AF0FDB" w:rsidRDefault="00AF0FDB" w:rsidP="00FB25D7">
      <w:pPr>
        <w:spacing w:after="0"/>
        <w:contextualSpacing/>
        <w:jc w:val="both"/>
      </w:pPr>
      <w:r>
        <w:t xml:space="preserve">- </w:t>
      </w:r>
      <w:r w:rsidRPr="00E22F08">
        <w:t>liczba dzieci, u których nie zrealizowano szczepień ochronnych zgodnie z P</w:t>
      </w:r>
      <w:r>
        <w:t>SO, wg stanu</w:t>
      </w:r>
      <w:r>
        <w:br/>
      </w:r>
      <w:r w:rsidRPr="00E22F08">
        <w:t>na dzień 31.12.2017 r. wynosiła 2328 dzieci, zaś wg stanu na dzień 31.12.2018 r. wynosiła 2692 dzieci, co stanowi wzrost o 364 dzieci (o 13,5%) w porównaniu do 2017 r.</w:t>
      </w:r>
      <w:r>
        <w:t>.</w:t>
      </w:r>
    </w:p>
    <w:p w:rsidR="00AF0FDB" w:rsidRPr="00E22F08" w:rsidRDefault="00AF0FDB" w:rsidP="00FB25D7">
      <w:pPr>
        <w:spacing w:after="0"/>
        <w:contextualSpacing/>
        <w:jc w:val="both"/>
      </w:pPr>
    </w:p>
    <w:p w:rsidR="00AF0FDB" w:rsidRPr="00CF489B" w:rsidRDefault="00AF0FDB" w:rsidP="0062139C">
      <w:pPr>
        <w:spacing w:after="0"/>
        <w:contextualSpacing/>
        <w:jc w:val="both"/>
      </w:pPr>
      <w:r>
        <w:t>2. Według</w:t>
      </w:r>
      <w:r w:rsidRPr="00CF489B">
        <w:t xml:space="preserve"> informacji uzyskiwanych z nadzorowanych placówek medycznych</w:t>
      </w:r>
      <w:r>
        <w:t xml:space="preserve"> (</w:t>
      </w:r>
      <w:r w:rsidRPr="00CF489B">
        <w:t>na podstawie indywidualnych zgłoszeń osób uchylających się od szczepień</w:t>
      </w:r>
      <w:r>
        <w:t xml:space="preserve">), </w:t>
      </w:r>
      <w:r w:rsidRPr="00CF489B">
        <w:t>przyczyn</w:t>
      </w:r>
      <w:r>
        <w:t>a</w:t>
      </w:r>
      <w:r w:rsidRPr="00CF489B">
        <w:t xml:space="preserve"> </w:t>
      </w:r>
      <w:r>
        <w:t xml:space="preserve">obserwowanej, stale rosnącej </w:t>
      </w:r>
      <w:r w:rsidRPr="00CF489B">
        <w:t>liczb</w:t>
      </w:r>
      <w:r>
        <w:t xml:space="preserve">y </w:t>
      </w:r>
      <w:r w:rsidRPr="00CF489B">
        <w:t>rodziców/ opiekunów prawnych uchylających się od obowiązku szczepień ochronnych swoich dzieci</w:t>
      </w:r>
      <w:r>
        <w:t>,</w:t>
      </w:r>
      <w:r w:rsidRPr="00CF489B">
        <w:t xml:space="preserve"> najczęściej była nieznana. </w:t>
      </w:r>
      <w:r>
        <w:t>Należy sądzić, iż n</w:t>
      </w:r>
      <w:r w:rsidRPr="00CF489B">
        <w:t xml:space="preserve">a pogłębienie się zjawiska negatywnej postawy rodziców </w:t>
      </w:r>
      <w:r>
        <w:t>wobec</w:t>
      </w:r>
      <w:r w:rsidRPr="00CF489B">
        <w:t xml:space="preserve"> uodparniania swoich dzieci, wpływ mają też prawdopodobnie:</w:t>
      </w:r>
    </w:p>
    <w:p w:rsidR="00AF0FDB" w:rsidRPr="00CF489B" w:rsidRDefault="00AF0FDB" w:rsidP="00FB25D7">
      <w:pPr>
        <w:spacing w:after="0"/>
        <w:contextualSpacing/>
        <w:jc w:val="both"/>
      </w:pPr>
      <w:r w:rsidRPr="00CF489B">
        <w:t>- działalność Ogólnopolskiego Stowarzyszenia Wiedzy o Szczepieniach „STOP NOP”,</w:t>
      </w:r>
    </w:p>
    <w:p w:rsidR="00AF0FDB" w:rsidRPr="00CF489B" w:rsidRDefault="00AF0FDB" w:rsidP="00FB25D7">
      <w:pPr>
        <w:spacing w:after="0"/>
        <w:contextualSpacing/>
        <w:jc w:val="both"/>
      </w:pPr>
      <w:r w:rsidRPr="00CF489B">
        <w:t>- negatywne informacje pozyskiwane z mediów,</w:t>
      </w:r>
    </w:p>
    <w:p w:rsidR="00AF0FDB" w:rsidRDefault="00AF0FDB" w:rsidP="00FB25D7">
      <w:pPr>
        <w:spacing w:after="0"/>
        <w:contextualSpacing/>
        <w:jc w:val="both"/>
      </w:pPr>
      <w:r>
        <w:t>- obawa przed wystąpieniem n</w:t>
      </w:r>
      <w:r w:rsidRPr="00CF489B">
        <w:t>iepożąd</w:t>
      </w:r>
      <w:r>
        <w:t>anego odczynu poszczepiennego.</w:t>
      </w:r>
    </w:p>
    <w:p w:rsidR="00AF0FDB" w:rsidRPr="00634F42" w:rsidRDefault="00AF0FDB" w:rsidP="00634F42">
      <w:pPr>
        <w:pStyle w:val="Standard"/>
        <w:spacing w:line="360" w:lineRule="auto"/>
        <w:rPr>
          <w:rFonts w:ascii="Times New Roman" w:hAnsi="Times New Roman" w:cs="Times New Roman"/>
          <w:b/>
          <w:bCs/>
          <w:color w:val="000000"/>
          <w:sz w:val="24"/>
          <w:szCs w:val="24"/>
        </w:rPr>
      </w:pPr>
      <w:r w:rsidRPr="00634F42">
        <w:rPr>
          <w:rFonts w:ascii="Times New Roman" w:hAnsi="Times New Roman" w:cs="Times New Roman"/>
          <w:b/>
          <w:bCs/>
          <w:color w:val="000000"/>
        </w:rPr>
        <w:t>Liczba rodziców / opiekunów prawnych, którzy nie wyrazili zgody na realizację szczepień ochronnych zgodnie z Progra</w:t>
      </w:r>
      <w:r>
        <w:rPr>
          <w:rFonts w:ascii="Times New Roman" w:hAnsi="Times New Roman" w:cs="Times New Roman"/>
          <w:b/>
          <w:bCs/>
          <w:color w:val="000000"/>
        </w:rPr>
        <w:t xml:space="preserve">mem Szczepień Ochronnych (PSO) </w:t>
      </w:r>
      <w:r w:rsidRPr="00634F42">
        <w:rPr>
          <w:rFonts w:ascii="Times New Roman" w:hAnsi="Times New Roman" w:cs="Times New Roman"/>
          <w:b/>
          <w:bCs/>
          <w:color w:val="000000"/>
        </w:rPr>
        <w:t>u noworodków (dotyczy szczepień przeciwko wirusowemu zapaleniu wątroby typu B i gruźlicy BCG).</w:t>
      </w:r>
    </w:p>
    <w:p w:rsidR="00AF0FDB" w:rsidRDefault="00AF0FDB" w:rsidP="00F264F4">
      <w:pPr>
        <w:pStyle w:val="Standard"/>
        <w:spacing w:line="360" w:lineRule="auto"/>
        <w:jc w:val="both"/>
        <w:rPr>
          <w:rFonts w:ascii="Times New Roman" w:hAnsi="Times New Roman" w:cs="Times New Roman"/>
          <w:color w:val="000000"/>
        </w:rPr>
      </w:pPr>
      <w:r w:rsidRPr="00CF489B">
        <w:rPr>
          <w:rFonts w:ascii="Times New Roman" w:hAnsi="Times New Roman" w:cs="Times New Roman"/>
          <w:color w:val="000000"/>
        </w:rPr>
        <w:t>Zgłoszenia z oddziałów noworodkowych szpitali będących pod nadzorem Państwowego Powiatowego Inspektora Sanitarnego w Poznaniu dotyczące liczby rodziców,</w:t>
      </w:r>
      <w:r>
        <w:rPr>
          <w:rFonts w:ascii="Times New Roman" w:hAnsi="Times New Roman" w:cs="Times New Roman"/>
          <w:color w:val="000000"/>
        </w:rPr>
        <w:t xml:space="preserve"> </w:t>
      </w:r>
      <w:r w:rsidRPr="00CF489B">
        <w:rPr>
          <w:rFonts w:ascii="Times New Roman" w:hAnsi="Times New Roman" w:cs="Times New Roman"/>
          <w:color w:val="000000"/>
        </w:rPr>
        <w:t>którzy nie wyrazili zgody na obowiązkowe szczepien</w:t>
      </w:r>
      <w:r>
        <w:rPr>
          <w:rFonts w:ascii="Times New Roman" w:hAnsi="Times New Roman" w:cs="Times New Roman"/>
          <w:color w:val="000000"/>
        </w:rPr>
        <w:t>ia ochronne dzieci przeciwko wirusowemu zapaleniu wątroby</w:t>
      </w:r>
      <w:r w:rsidRPr="00CF489B">
        <w:rPr>
          <w:rFonts w:ascii="Times New Roman" w:hAnsi="Times New Roman" w:cs="Times New Roman"/>
          <w:color w:val="000000"/>
        </w:rPr>
        <w:t xml:space="preserve"> B oraz gruźlicy przedstawiono w </w:t>
      </w:r>
      <w:r w:rsidRPr="00264339">
        <w:rPr>
          <w:rFonts w:ascii="Times New Roman" w:hAnsi="Times New Roman" w:cs="Times New Roman"/>
          <w:color w:val="000000"/>
        </w:rPr>
        <w:t>Tab</w:t>
      </w:r>
      <w:r>
        <w:rPr>
          <w:rFonts w:ascii="Times New Roman" w:hAnsi="Times New Roman" w:cs="Times New Roman"/>
          <w:color w:val="000000"/>
        </w:rPr>
        <w:t>. 15</w:t>
      </w:r>
      <w:r w:rsidRPr="00264339">
        <w:rPr>
          <w:rFonts w:ascii="Times New Roman" w:hAnsi="Times New Roman" w:cs="Times New Roman"/>
          <w:color w:val="000000"/>
        </w:rPr>
        <w:t>.</w:t>
      </w:r>
    </w:p>
    <w:p w:rsidR="00AF0FDB" w:rsidRPr="0039519C" w:rsidRDefault="00AF0FDB" w:rsidP="00642C07">
      <w:pPr>
        <w:pStyle w:val="Standard"/>
        <w:spacing w:line="276" w:lineRule="auto"/>
        <w:jc w:val="both"/>
        <w:rPr>
          <w:rFonts w:ascii="Times New Roman" w:hAnsi="Times New Roman" w:cs="Times New Roman"/>
          <w:b/>
          <w:bCs/>
        </w:rPr>
      </w:pPr>
      <w:r w:rsidRPr="007F228C">
        <w:rPr>
          <w:rFonts w:ascii="Times New Roman" w:hAnsi="Times New Roman" w:cs="Times New Roman"/>
          <w:b/>
          <w:bCs/>
          <w:color w:val="000000"/>
          <w:sz w:val="20"/>
          <w:szCs w:val="20"/>
        </w:rPr>
        <w:t>Tab. 1</w:t>
      </w:r>
      <w:r>
        <w:rPr>
          <w:rFonts w:ascii="Times New Roman" w:hAnsi="Times New Roman" w:cs="Times New Roman"/>
          <w:b/>
          <w:bCs/>
          <w:color w:val="000000"/>
          <w:sz w:val="20"/>
          <w:szCs w:val="20"/>
        </w:rPr>
        <w:t>5</w:t>
      </w:r>
      <w:r>
        <w:rPr>
          <w:rFonts w:ascii="Times New Roman" w:hAnsi="Times New Roman" w:cs="Times New Roman"/>
          <w:color w:val="000000"/>
          <w:sz w:val="20"/>
          <w:szCs w:val="20"/>
        </w:rPr>
        <w:t xml:space="preserve"> Liczba zgłoszeń rodziców niewyrażających zgody na szczepienia noworodków przeciw wzw typu B </w:t>
      </w:r>
      <w:r>
        <w:rPr>
          <w:rFonts w:ascii="Times New Roman" w:hAnsi="Times New Roman" w:cs="Times New Roman"/>
          <w:color w:val="000000"/>
          <w:sz w:val="20"/>
          <w:szCs w:val="20"/>
        </w:rPr>
        <w:br/>
        <w:t>i gruźlicy</w:t>
      </w:r>
      <w:r>
        <w:rPr>
          <w:rFonts w:ascii="Times New Roman" w:hAnsi="Times New Roman" w:cs="Times New Roman"/>
        </w:rPr>
        <w:t xml:space="preserve"> </w:t>
      </w:r>
      <w:r>
        <w:rPr>
          <w:rFonts w:ascii="Times New Roman" w:hAnsi="Times New Roman" w:cs="Times New Roman"/>
          <w:color w:val="000000"/>
          <w:sz w:val="20"/>
          <w:szCs w:val="20"/>
        </w:rPr>
        <w:t xml:space="preserve">z oddziałów noworodkowych szpitali w Poznaniu </w:t>
      </w:r>
      <w:r>
        <w:rPr>
          <w:rFonts w:ascii="Times New Roman" w:hAnsi="Times New Roman" w:cs="Times New Roman"/>
          <w:sz w:val="20"/>
          <w:szCs w:val="20"/>
        </w:rPr>
        <w:t xml:space="preserve">zarejestrowanych w </w:t>
      </w:r>
      <w:r>
        <w:rPr>
          <w:rFonts w:ascii="Times New Roman" w:hAnsi="Times New Roman" w:cs="Times New Roman"/>
          <w:color w:val="000000"/>
          <w:sz w:val="20"/>
          <w:szCs w:val="20"/>
        </w:rPr>
        <w:t xml:space="preserve">powiecie poznańskim </w:t>
      </w:r>
      <w:r>
        <w:rPr>
          <w:rFonts w:ascii="Times New Roman" w:hAnsi="Times New Roman" w:cs="Times New Roman"/>
          <w:sz w:val="20"/>
          <w:szCs w:val="20"/>
        </w:rPr>
        <w:t>w latach 2016-2018.</w:t>
      </w:r>
    </w:p>
    <w:tbl>
      <w:tblPr>
        <w:tblW w:w="952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841"/>
        <w:gridCol w:w="2868"/>
        <w:gridCol w:w="2868"/>
        <w:gridCol w:w="2950"/>
      </w:tblGrid>
      <w:tr w:rsidR="00AF0FDB" w:rsidRPr="0039519C">
        <w:tc>
          <w:tcPr>
            <w:tcW w:w="830" w:type="dxa"/>
            <w:vMerge w:val="restart"/>
            <w:tcBorders>
              <w:top w:val="double" w:sz="6" w:space="0" w:color="000000"/>
            </w:tcBorders>
          </w:tcPr>
          <w:p w:rsidR="00AF0FDB" w:rsidRPr="002C4F7C" w:rsidRDefault="00AF0FDB" w:rsidP="002C4F7C">
            <w:pPr>
              <w:pStyle w:val="Standard"/>
              <w:spacing w:before="240" w:after="0" w:line="276" w:lineRule="auto"/>
              <w:jc w:val="both"/>
              <w:rPr>
                <w:rFonts w:ascii="Times New Roman" w:hAnsi="Times New Roman" w:cs="Times New Roman"/>
                <w:b/>
                <w:bCs/>
                <w:caps/>
                <w:color w:val="000000"/>
                <w:sz w:val="20"/>
                <w:szCs w:val="20"/>
              </w:rPr>
            </w:pPr>
            <w:r w:rsidRPr="002C4F7C">
              <w:rPr>
                <w:rFonts w:ascii="Times New Roman" w:hAnsi="Times New Roman" w:cs="Times New Roman"/>
                <w:b/>
                <w:bCs/>
                <w:caps/>
                <w:color w:val="000000"/>
                <w:sz w:val="20"/>
                <w:szCs w:val="20"/>
              </w:rPr>
              <w:t>Rok</w:t>
            </w:r>
          </w:p>
        </w:tc>
        <w:tc>
          <w:tcPr>
            <w:tcW w:w="8577" w:type="dxa"/>
            <w:gridSpan w:val="3"/>
            <w:tcBorders>
              <w:top w:val="double" w:sz="6" w:space="0" w:color="000000"/>
            </w:tcBorders>
          </w:tcPr>
          <w:p w:rsidR="00AF0FDB" w:rsidRPr="002C4F7C" w:rsidRDefault="00AF0FDB" w:rsidP="002C4F7C">
            <w:pPr>
              <w:pStyle w:val="Standard"/>
              <w:spacing w:before="240" w:after="0" w:line="276" w:lineRule="auto"/>
              <w:jc w:val="both"/>
              <w:rPr>
                <w:rFonts w:ascii="Times New Roman" w:hAnsi="Times New Roman" w:cs="Times New Roman"/>
                <w:b/>
                <w:bCs/>
                <w:caps/>
                <w:color w:val="000000"/>
                <w:sz w:val="20"/>
                <w:szCs w:val="20"/>
              </w:rPr>
            </w:pPr>
            <w:r w:rsidRPr="002C4F7C">
              <w:rPr>
                <w:rFonts w:ascii="Times New Roman" w:hAnsi="Times New Roman" w:cs="Times New Roman"/>
                <w:b/>
                <w:bCs/>
                <w:caps/>
                <w:color w:val="000000"/>
                <w:sz w:val="20"/>
                <w:szCs w:val="20"/>
              </w:rPr>
              <w:t>Liczba zgłoszeń z oddziałów noworodkowych szpitali z terenu miasta Poznania dotycząca zgłoszonych rodziców nie wyrażających zgody na obowiązkowe szczepienia dzieci dot. wzw B i gruźlicy</w:t>
            </w:r>
          </w:p>
        </w:tc>
      </w:tr>
      <w:tr w:rsidR="00AF0FDB">
        <w:tc>
          <w:tcPr>
            <w:tcW w:w="830" w:type="dxa"/>
            <w:vMerge/>
          </w:tcPr>
          <w:p w:rsidR="00AF0FDB" w:rsidRPr="002C4F7C" w:rsidRDefault="00AF0FDB" w:rsidP="002C4F7C">
            <w:pPr>
              <w:spacing w:after="0" w:line="240" w:lineRule="auto"/>
              <w:rPr>
                <w:color w:val="000000"/>
                <w:kern w:val="3"/>
                <w:sz w:val="20"/>
                <w:szCs w:val="20"/>
                <w:lang w:eastAsia="zh-CN"/>
              </w:rPr>
            </w:pPr>
          </w:p>
        </w:tc>
        <w:tc>
          <w:tcPr>
            <w:tcW w:w="2832" w:type="dxa"/>
          </w:tcPr>
          <w:p w:rsidR="00AF0FDB" w:rsidRPr="002C4F7C" w:rsidRDefault="00AF0FDB" w:rsidP="002C4F7C">
            <w:pPr>
              <w:pStyle w:val="Standard"/>
              <w:tabs>
                <w:tab w:val="left" w:pos="1790"/>
              </w:tabs>
              <w:spacing w:before="240" w:after="0" w:line="276" w:lineRule="auto"/>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miasto</w:t>
            </w:r>
          </w:p>
        </w:tc>
        <w:tc>
          <w:tcPr>
            <w:tcW w:w="2832" w:type="dxa"/>
          </w:tcPr>
          <w:p w:rsidR="00AF0FDB" w:rsidRPr="002C4F7C" w:rsidRDefault="00AF0FDB" w:rsidP="002C4F7C">
            <w:pPr>
              <w:pStyle w:val="Standard"/>
              <w:spacing w:before="240" w:after="0" w:line="276" w:lineRule="auto"/>
              <w:jc w:val="center"/>
              <w:rPr>
                <w:rFonts w:ascii="Times New Roman" w:hAnsi="Times New Roman" w:cs="Times New Roman"/>
                <w:b/>
                <w:bCs/>
                <w:color w:val="000000"/>
                <w:sz w:val="20"/>
                <w:szCs w:val="20"/>
              </w:rPr>
            </w:pPr>
            <w:r w:rsidRPr="002C4F7C">
              <w:rPr>
                <w:rFonts w:ascii="Times New Roman" w:hAnsi="Times New Roman" w:cs="Times New Roman"/>
                <w:b/>
                <w:bCs/>
                <w:color w:val="000000"/>
                <w:sz w:val="20"/>
                <w:szCs w:val="20"/>
              </w:rPr>
              <w:t>powiat</w:t>
            </w:r>
          </w:p>
        </w:tc>
        <w:tc>
          <w:tcPr>
            <w:tcW w:w="2833" w:type="dxa"/>
          </w:tcPr>
          <w:p w:rsidR="00AF0FDB" w:rsidRPr="002C4F7C" w:rsidRDefault="00AF0FDB" w:rsidP="002C4F7C">
            <w:pPr>
              <w:pStyle w:val="Standard"/>
              <w:spacing w:before="240" w:after="0" w:line="276" w:lineRule="auto"/>
              <w:jc w:val="center"/>
              <w:rPr>
                <w:rFonts w:ascii="Times New Roman" w:hAnsi="Times New Roman" w:cs="Times New Roman"/>
                <w:b/>
                <w:bCs/>
                <w:sz w:val="24"/>
                <w:szCs w:val="24"/>
              </w:rPr>
            </w:pPr>
            <w:r w:rsidRPr="002C4F7C">
              <w:rPr>
                <w:rFonts w:ascii="Times New Roman" w:hAnsi="Times New Roman" w:cs="Times New Roman"/>
                <w:b/>
                <w:bCs/>
                <w:color w:val="000000"/>
                <w:sz w:val="20"/>
                <w:szCs w:val="20"/>
              </w:rPr>
              <w:t>razem</w:t>
            </w:r>
          </w:p>
        </w:tc>
      </w:tr>
      <w:tr w:rsidR="00AF0FDB">
        <w:tc>
          <w:tcPr>
            <w:tcW w:w="830" w:type="dxa"/>
          </w:tcPr>
          <w:p w:rsidR="00AF0FDB" w:rsidRPr="002C4F7C" w:rsidRDefault="00AF0FDB" w:rsidP="002C4F7C">
            <w:pPr>
              <w:pStyle w:val="Standard"/>
              <w:spacing w:before="240" w:after="0" w:line="276" w:lineRule="auto"/>
              <w:jc w:val="both"/>
              <w:rPr>
                <w:rFonts w:ascii="Times New Roman" w:hAnsi="Times New Roman" w:cs="Times New Roman"/>
                <w:color w:val="000000"/>
                <w:sz w:val="20"/>
                <w:szCs w:val="20"/>
              </w:rPr>
            </w:pPr>
            <w:r w:rsidRPr="002C4F7C">
              <w:rPr>
                <w:rFonts w:ascii="Times New Roman" w:hAnsi="Times New Roman" w:cs="Times New Roman"/>
                <w:color w:val="000000"/>
                <w:sz w:val="20"/>
                <w:szCs w:val="20"/>
              </w:rPr>
              <w:t>2016</w:t>
            </w:r>
          </w:p>
        </w:tc>
        <w:tc>
          <w:tcPr>
            <w:tcW w:w="2832" w:type="dxa"/>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285</w:t>
            </w:r>
          </w:p>
        </w:tc>
        <w:tc>
          <w:tcPr>
            <w:tcW w:w="2832" w:type="dxa"/>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128</w:t>
            </w:r>
          </w:p>
        </w:tc>
        <w:tc>
          <w:tcPr>
            <w:tcW w:w="2833" w:type="dxa"/>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413</w:t>
            </w:r>
          </w:p>
        </w:tc>
      </w:tr>
      <w:tr w:rsidR="00AF0FDB">
        <w:tc>
          <w:tcPr>
            <w:tcW w:w="830" w:type="dxa"/>
          </w:tcPr>
          <w:p w:rsidR="00AF0FDB" w:rsidRPr="002C4F7C" w:rsidRDefault="00AF0FDB" w:rsidP="002C4F7C">
            <w:pPr>
              <w:pStyle w:val="Standard"/>
              <w:spacing w:before="240" w:after="0" w:line="276" w:lineRule="auto"/>
              <w:jc w:val="both"/>
              <w:rPr>
                <w:rFonts w:ascii="Times New Roman" w:hAnsi="Times New Roman" w:cs="Times New Roman"/>
                <w:color w:val="000000"/>
                <w:sz w:val="20"/>
                <w:szCs w:val="20"/>
              </w:rPr>
            </w:pPr>
            <w:r w:rsidRPr="002C4F7C">
              <w:rPr>
                <w:rFonts w:ascii="Times New Roman" w:hAnsi="Times New Roman" w:cs="Times New Roman"/>
                <w:color w:val="000000"/>
                <w:sz w:val="20"/>
                <w:szCs w:val="20"/>
              </w:rPr>
              <w:t>2017</w:t>
            </w:r>
          </w:p>
        </w:tc>
        <w:tc>
          <w:tcPr>
            <w:tcW w:w="2832" w:type="dxa"/>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285</w:t>
            </w:r>
          </w:p>
        </w:tc>
        <w:tc>
          <w:tcPr>
            <w:tcW w:w="2832" w:type="dxa"/>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137</w:t>
            </w:r>
          </w:p>
        </w:tc>
        <w:tc>
          <w:tcPr>
            <w:tcW w:w="2833" w:type="dxa"/>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422</w:t>
            </w:r>
          </w:p>
        </w:tc>
      </w:tr>
      <w:tr w:rsidR="00AF0FDB">
        <w:tc>
          <w:tcPr>
            <w:tcW w:w="830" w:type="dxa"/>
            <w:tcBorders>
              <w:bottom w:val="double" w:sz="6" w:space="0" w:color="000000"/>
            </w:tcBorders>
          </w:tcPr>
          <w:p w:rsidR="00AF0FDB" w:rsidRPr="002C4F7C" w:rsidRDefault="00AF0FDB" w:rsidP="002C4F7C">
            <w:pPr>
              <w:pStyle w:val="Standard"/>
              <w:spacing w:before="240" w:after="0" w:line="276" w:lineRule="auto"/>
              <w:jc w:val="both"/>
              <w:rPr>
                <w:rFonts w:ascii="Times New Roman" w:hAnsi="Times New Roman" w:cs="Times New Roman"/>
                <w:color w:val="000000"/>
                <w:sz w:val="20"/>
                <w:szCs w:val="20"/>
              </w:rPr>
            </w:pPr>
            <w:r w:rsidRPr="002C4F7C">
              <w:rPr>
                <w:rFonts w:ascii="Times New Roman" w:hAnsi="Times New Roman" w:cs="Times New Roman"/>
                <w:color w:val="000000"/>
                <w:sz w:val="20"/>
                <w:szCs w:val="20"/>
              </w:rPr>
              <w:t>2018</w:t>
            </w:r>
          </w:p>
        </w:tc>
        <w:tc>
          <w:tcPr>
            <w:tcW w:w="2832" w:type="dxa"/>
            <w:tcBorders>
              <w:bottom w:val="double" w:sz="6" w:space="0" w:color="000000"/>
            </w:tcBorders>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224</w:t>
            </w:r>
          </w:p>
        </w:tc>
        <w:tc>
          <w:tcPr>
            <w:tcW w:w="2832" w:type="dxa"/>
            <w:tcBorders>
              <w:bottom w:val="double" w:sz="6" w:space="0" w:color="000000"/>
            </w:tcBorders>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105</w:t>
            </w:r>
          </w:p>
        </w:tc>
        <w:tc>
          <w:tcPr>
            <w:tcW w:w="2833" w:type="dxa"/>
            <w:tcBorders>
              <w:bottom w:val="double" w:sz="6" w:space="0" w:color="000000"/>
            </w:tcBorders>
          </w:tcPr>
          <w:p w:rsidR="00AF0FDB" w:rsidRPr="002C4F7C" w:rsidRDefault="00AF0FDB" w:rsidP="002C4F7C">
            <w:pPr>
              <w:pStyle w:val="Standard"/>
              <w:spacing w:before="240" w:after="0" w:line="276" w:lineRule="auto"/>
              <w:jc w:val="center"/>
              <w:rPr>
                <w:rFonts w:ascii="Times New Roman" w:hAnsi="Times New Roman" w:cs="Times New Roman"/>
                <w:color w:val="000000"/>
                <w:sz w:val="20"/>
                <w:szCs w:val="20"/>
              </w:rPr>
            </w:pPr>
            <w:r w:rsidRPr="002C4F7C">
              <w:rPr>
                <w:rFonts w:ascii="Times New Roman" w:hAnsi="Times New Roman" w:cs="Times New Roman"/>
                <w:color w:val="000000"/>
                <w:sz w:val="20"/>
                <w:szCs w:val="20"/>
              </w:rPr>
              <w:t>329</w:t>
            </w:r>
          </w:p>
        </w:tc>
      </w:tr>
    </w:tbl>
    <w:p w:rsidR="00AF0FDB" w:rsidRDefault="00AF0FDB" w:rsidP="00642C07">
      <w:pPr>
        <w:pStyle w:val="ListParagraph"/>
        <w:ind w:left="0"/>
        <w:jc w:val="both"/>
        <w:rPr>
          <w:rFonts w:ascii="Times New Roman" w:hAnsi="Times New Roman" w:cs="Times New Roman"/>
          <w:b/>
          <w:bCs/>
          <w:sz w:val="24"/>
          <w:szCs w:val="24"/>
          <w:lang w:eastAsia="zh-CN"/>
        </w:rPr>
      </w:pPr>
    </w:p>
    <w:p w:rsidR="00AF0FDB" w:rsidRPr="00FB25D7" w:rsidRDefault="00AF0FDB" w:rsidP="0062139C">
      <w:pPr>
        <w:pStyle w:val="ListParagraph"/>
        <w:spacing w:line="360" w:lineRule="auto"/>
        <w:ind w:left="0"/>
        <w:jc w:val="both"/>
        <w:rPr>
          <w:rFonts w:ascii="Times New Roman" w:hAnsi="Times New Roman" w:cs="Times New Roman"/>
        </w:rPr>
      </w:pPr>
      <w:r w:rsidRPr="00FB25D7">
        <w:rPr>
          <w:rFonts w:ascii="Times New Roman" w:hAnsi="Times New Roman" w:cs="Times New Roman"/>
        </w:rPr>
        <w:t>W 2018 r. otrzymano ogółem 329 zgłoszeń ze szpitali miasta Poznania dotyczące odmowy rodziców/opiekunów prawnych zamieszkałych na terenie powiatu poznańskiego, którzy</w:t>
      </w:r>
      <w:r w:rsidRPr="00FB25D7">
        <w:rPr>
          <w:rFonts w:ascii="Times New Roman" w:hAnsi="Times New Roman" w:cs="Times New Roman"/>
        </w:rPr>
        <w:br/>
        <w:t>nie wyrazili zgody na szczepienie noworodków przeciwko wirusowemu zapaleniu wątroby typy B i gruźlicy zgodnie z Programem Szczepie</w:t>
      </w:r>
      <w:r>
        <w:rPr>
          <w:rFonts w:ascii="Times New Roman" w:hAnsi="Times New Roman" w:cs="Times New Roman"/>
        </w:rPr>
        <w:t xml:space="preserve">ń Ochronnych, co stanowi spadek </w:t>
      </w:r>
      <w:r w:rsidRPr="00FB25D7">
        <w:rPr>
          <w:rFonts w:ascii="Times New Roman" w:hAnsi="Times New Roman" w:cs="Times New Roman"/>
        </w:rPr>
        <w:t>o 93 zgłoszenia w porównaniu do 2017 r.</w:t>
      </w:r>
    </w:p>
    <w:p w:rsidR="00AF0FDB" w:rsidRPr="00FB25D7" w:rsidRDefault="00AF0FDB" w:rsidP="00642C07">
      <w:pPr>
        <w:pStyle w:val="ListParagraph"/>
        <w:spacing w:line="360" w:lineRule="auto"/>
        <w:ind w:left="0"/>
        <w:jc w:val="both"/>
        <w:rPr>
          <w:rFonts w:ascii="Times New Roman" w:hAnsi="Times New Roman" w:cs="Times New Roman"/>
          <w:color w:val="2E74B5"/>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Default="00AF0FDB" w:rsidP="001F0059">
      <w:pPr>
        <w:pStyle w:val="Heading1"/>
        <w:rPr>
          <w:rFonts w:cs="Times New Roman"/>
          <w:color w:val="FF0000"/>
        </w:rPr>
      </w:pPr>
    </w:p>
    <w:p w:rsidR="00AF0FDB" w:rsidRPr="008D66D2" w:rsidRDefault="00AF0FDB" w:rsidP="008D66D2"/>
    <w:p w:rsidR="00AF0FDB" w:rsidRDefault="00AF0FDB" w:rsidP="001F0059">
      <w:pPr>
        <w:pStyle w:val="Heading1"/>
        <w:rPr>
          <w:rFonts w:cs="Times New Roman"/>
          <w:color w:val="FF0000"/>
        </w:rPr>
      </w:pPr>
    </w:p>
    <w:p w:rsidR="00AF0FDB" w:rsidRPr="009451E5" w:rsidRDefault="00AF0FDB" w:rsidP="009451E5">
      <w:pPr>
        <w:pStyle w:val="Heading1"/>
      </w:pPr>
      <w:bookmarkStart w:id="346" w:name="_Toc938877"/>
      <w:r w:rsidRPr="009451E5">
        <w:t>OBIEKTY</w:t>
      </w:r>
      <w:r w:rsidRPr="009451E5">
        <w:br/>
        <w:t>ŻYWNOŚCIOWO-ŻYWIENIOWE</w:t>
      </w:r>
      <w:bookmarkEnd w:id="346"/>
    </w:p>
    <w:p w:rsidR="00AF0FDB" w:rsidRPr="0039519C" w:rsidRDefault="00AF0FDB" w:rsidP="0039519C"/>
    <w:p w:rsidR="00AF0FDB" w:rsidRPr="00AD27A2" w:rsidRDefault="00AF0FDB" w:rsidP="00AD27A2">
      <w:pPr>
        <w:pStyle w:val="Heading1"/>
        <w:rPr>
          <w:rFonts w:ascii="Times New Roman" w:hAnsi="Times New Roman" w:cs="Times New Roman"/>
          <w:sz w:val="24"/>
          <w:szCs w:val="24"/>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AD27A2">
        <w:rPr>
          <w:rFonts w:ascii="Times New Roman" w:hAnsi="Times New Roman" w:cs="Times New Roman"/>
          <w:sz w:val="24"/>
          <w:szCs w:val="24"/>
        </w:rPr>
        <w:t>Zakres nadzoru sanitarnego</w:t>
      </w:r>
    </w:p>
    <w:p w:rsidR="00AF0FDB" w:rsidRPr="00A52ED7" w:rsidRDefault="00AF0FDB" w:rsidP="008D66D2">
      <w:pPr>
        <w:tabs>
          <w:tab w:val="left" w:pos="-284"/>
        </w:tabs>
        <w:ind w:left="-284"/>
        <w:jc w:val="both"/>
      </w:pPr>
      <w:r w:rsidRPr="00A52ED7">
        <w:t xml:space="preserve">Oddział Higieny Żywności, Żywienia i Przedmiotów Użytku Powiatowej Stacji Sanitarno – Epidemiologicznej w Poznaniu prowadzi nadzór nad zakładami produkcji i obrotu środkami spożywczymi oraz środkami transportu przeznaczonymi do ich przewozu. </w:t>
      </w:r>
    </w:p>
    <w:p w:rsidR="00AF0FDB" w:rsidRDefault="00AF0FDB" w:rsidP="00B118BB">
      <w:pPr>
        <w:tabs>
          <w:tab w:val="left" w:pos="-284"/>
        </w:tabs>
        <w:spacing w:before="0" w:after="0"/>
        <w:ind w:left="-284"/>
        <w:jc w:val="both"/>
      </w:pPr>
      <w:r w:rsidRPr="00A52ED7">
        <w:t>Kontrolowane są także placówki produkujące i sprzedające przedmioty użytku kontaktujące się z żywnością  jak również ko</w:t>
      </w:r>
      <w:r>
        <w:t xml:space="preserve">smetyki. </w:t>
      </w:r>
    </w:p>
    <w:p w:rsidR="00AF0FDB" w:rsidRPr="00A52ED7" w:rsidRDefault="00AF0FDB" w:rsidP="00B118BB">
      <w:pPr>
        <w:tabs>
          <w:tab w:val="left" w:pos="-284"/>
        </w:tabs>
        <w:spacing w:before="0" w:after="0"/>
        <w:ind w:left="-284"/>
        <w:jc w:val="both"/>
      </w:pPr>
      <w:r w:rsidRPr="00A52ED7">
        <w:t xml:space="preserve">W 2018 roku kontrolą objęto </w:t>
      </w:r>
      <w:r w:rsidRPr="00A52ED7">
        <w:rPr>
          <w:b/>
          <w:bCs/>
        </w:rPr>
        <w:t xml:space="preserve">3538 zakładów. </w:t>
      </w:r>
      <w:r w:rsidRPr="00A52ED7">
        <w:t xml:space="preserve"> </w:t>
      </w:r>
    </w:p>
    <w:p w:rsidR="00AF0FDB" w:rsidRPr="00A52ED7" w:rsidRDefault="00AF0FDB" w:rsidP="0092096B">
      <w:pPr>
        <w:tabs>
          <w:tab w:val="left" w:pos="-284"/>
        </w:tabs>
        <w:spacing w:before="0" w:after="0"/>
        <w:ind w:left="-284"/>
        <w:jc w:val="both"/>
        <w:rPr>
          <w:b/>
          <w:bCs/>
        </w:rPr>
      </w:pPr>
      <w:r w:rsidRPr="00A52ED7">
        <w:t>Były to:</w:t>
      </w:r>
    </w:p>
    <w:p w:rsidR="00AF0FDB" w:rsidRPr="00A52ED7" w:rsidRDefault="00AF0FDB" w:rsidP="00DE0EFA">
      <w:pPr>
        <w:numPr>
          <w:ilvl w:val="0"/>
          <w:numId w:val="24"/>
        </w:numPr>
        <w:tabs>
          <w:tab w:val="left" w:pos="-284"/>
        </w:tabs>
        <w:spacing w:before="0" w:after="0"/>
        <w:jc w:val="both"/>
        <w:rPr>
          <w:b/>
          <w:bCs/>
        </w:rPr>
      </w:pPr>
      <w:r w:rsidRPr="00A52ED7">
        <w:rPr>
          <w:b/>
          <w:bCs/>
        </w:rPr>
        <w:t>Zakłady produkcji środków spożywczych</w:t>
      </w:r>
      <w:r>
        <w:rPr>
          <w:b/>
          <w:bCs/>
        </w:rPr>
        <w:t>:</w:t>
      </w:r>
    </w:p>
    <w:p w:rsidR="00AF0FDB" w:rsidRPr="00A52ED7" w:rsidRDefault="00AF0FDB" w:rsidP="00DF60D5">
      <w:pPr>
        <w:numPr>
          <w:ilvl w:val="0"/>
          <w:numId w:val="4"/>
        </w:numPr>
        <w:tabs>
          <w:tab w:val="left" w:pos="-284"/>
        </w:tabs>
        <w:spacing w:before="0" w:after="0"/>
        <w:ind w:left="360"/>
        <w:jc w:val="both"/>
      </w:pPr>
      <w:r w:rsidRPr="00A52ED7">
        <w:t>piekarnie i ciastkarnie</w:t>
      </w:r>
    </w:p>
    <w:p w:rsidR="00AF0FDB" w:rsidRPr="00A52ED7" w:rsidRDefault="00AF0FDB" w:rsidP="00DF60D5">
      <w:pPr>
        <w:numPr>
          <w:ilvl w:val="0"/>
          <w:numId w:val="4"/>
        </w:numPr>
        <w:tabs>
          <w:tab w:val="left" w:pos="-284"/>
        </w:tabs>
        <w:spacing w:before="0" w:after="0"/>
        <w:ind w:left="360"/>
        <w:jc w:val="both"/>
      </w:pPr>
      <w:r w:rsidRPr="00A52ED7">
        <w:t xml:space="preserve">wytwórnie lodów i automaty do lodów, </w:t>
      </w:r>
    </w:p>
    <w:p w:rsidR="00AF0FDB" w:rsidRPr="00A52ED7" w:rsidRDefault="00AF0FDB" w:rsidP="001F6B48">
      <w:pPr>
        <w:numPr>
          <w:ilvl w:val="0"/>
          <w:numId w:val="4"/>
        </w:numPr>
        <w:tabs>
          <w:tab w:val="left" w:pos="-284"/>
        </w:tabs>
        <w:spacing w:before="0" w:after="0"/>
        <w:ind w:left="360"/>
      </w:pPr>
      <w:r w:rsidRPr="00A52ED7">
        <w:t>wytwórnie i przetwórnie: wód mineralnych, makaronów, wyrobów cukierniczych, koncentratów spożywczych,  octu, majonezu i musztardy, chipsó</w:t>
      </w:r>
      <w:r>
        <w:t xml:space="preserve">w i prażynek, </w:t>
      </w:r>
      <w:r w:rsidRPr="00A52ED7">
        <w:t xml:space="preserve">suplementów diety, środków dietetycznych, substancji dodatkowych, owocowo – warzywne i grzybowe, </w:t>
      </w:r>
    </w:p>
    <w:p w:rsidR="00AF0FDB" w:rsidRPr="00A52ED7" w:rsidRDefault="00AF0FDB" w:rsidP="00DF60D5">
      <w:pPr>
        <w:numPr>
          <w:ilvl w:val="0"/>
          <w:numId w:val="4"/>
        </w:numPr>
        <w:tabs>
          <w:tab w:val="left" w:pos="-284"/>
        </w:tabs>
        <w:spacing w:before="0" w:after="0"/>
        <w:ind w:left="360"/>
        <w:jc w:val="both"/>
      </w:pPr>
      <w:r w:rsidRPr="00A52ED7">
        <w:t xml:space="preserve">browary i słodownie, </w:t>
      </w:r>
    </w:p>
    <w:p w:rsidR="00AF0FDB" w:rsidRPr="00A52ED7" w:rsidRDefault="00AF0FDB" w:rsidP="00DF60D5">
      <w:pPr>
        <w:numPr>
          <w:ilvl w:val="0"/>
          <w:numId w:val="4"/>
        </w:numPr>
        <w:tabs>
          <w:tab w:val="left" w:pos="-284"/>
        </w:tabs>
        <w:spacing w:before="0" w:after="0"/>
        <w:ind w:left="360"/>
        <w:jc w:val="both"/>
      </w:pPr>
      <w:r w:rsidRPr="00A52ED7">
        <w:t>zakłady garmażeryjne,</w:t>
      </w:r>
    </w:p>
    <w:p w:rsidR="00AF0FDB" w:rsidRPr="00A52ED7" w:rsidRDefault="00AF0FDB" w:rsidP="00DE0EFA">
      <w:pPr>
        <w:numPr>
          <w:ilvl w:val="0"/>
          <w:numId w:val="24"/>
        </w:numPr>
        <w:tabs>
          <w:tab w:val="left" w:pos="-284"/>
        </w:tabs>
        <w:spacing w:before="0" w:after="0"/>
        <w:jc w:val="both"/>
        <w:rPr>
          <w:b/>
          <w:bCs/>
        </w:rPr>
      </w:pPr>
      <w:r w:rsidRPr="00A52ED7">
        <w:rPr>
          <w:b/>
          <w:bCs/>
        </w:rPr>
        <w:t xml:space="preserve"> Obiekty obrotu</w:t>
      </w:r>
      <w:r>
        <w:rPr>
          <w:b/>
          <w:bCs/>
        </w:rPr>
        <w:t>:</w:t>
      </w:r>
      <w:r w:rsidRPr="00A52ED7">
        <w:rPr>
          <w:b/>
          <w:bCs/>
        </w:rPr>
        <w:t xml:space="preserve">  </w:t>
      </w:r>
    </w:p>
    <w:p w:rsidR="00AF0FDB" w:rsidRPr="00A52ED7" w:rsidRDefault="00AF0FDB" w:rsidP="00DF60D5">
      <w:pPr>
        <w:numPr>
          <w:ilvl w:val="0"/>
          <w:numId w:val="5"/>
        </w:numPr>
        <w:tabs>
          <w:tab w:val="left" w:pos="-284"/>
        </w:tabs>
        <w:spacing w:before="0" w:after="0"/>
        <w:ind w:left="142" w:firstLine="0"/>
        <w:jc w:val="both"/>
      </w:pPr>
      <w:r w:rsidRPr="00A52ED7">
        <w:t>sklepy,</w:t>
      </w:r>
    </w:p>
    <w:p w:rsidR="00AF0FDB" w:rsidRPr="00A52ED7" w:rsidRDefault="00AF0FDB" w:rsidP="00DF60D5">
      <w:pPr>
        <w:numPr>
          <w:ilvl w:val="0"/>
          <w:numId w:val="5"/>
        </w:numPr>
        <w:tabs>
          <w:tab w:val="left" w:pos="-284"/>
        </w:tabs>
        <w:spacing w:before="0" w:after="0"/>
        <w:ind w:left="142" w:firstLine="0"/>
        <w:jc w:val="both"/>
      </w:pPr>
      <w:r w:rsidRPr="00A52ED7">
        <w:t>magazyny,</w:t>
      </w:r>
    </w:p>
    <w:p w:rsidR="00AF0FDB" w:rsidRPr="00A52ED7" w:rsidRDefault="00AF0FDB" w:rsidP="00DF60D5">
      <w:pPr>
        <w:numPr>
          <w:ilvl w:val="0"/>
          <w:numId w:val="5"/>
        </w:numPr>
        <w:tabs>
          <w:tab w:val="left" w:pos="-284"/>
        </w:tabs>
        <w:spacing w:before="0" w:after="0"/>
        <w:ind w:left="142" w:firstLine="0"/>
        <w:jc w:val="both"/>
      </w:pPr>
      <w:r w:rsidRPr="00A52ED7">
        <w:t>kioski spożywcze,</w:t>
      </w:r>
    </w:p>
    <w:p w:rsidR="00AF0FDB" w:rsidRPr="00A52ED7" w:rsidRDefault="00AF0FDB" w:rsidP="00DF60D5">
      <w:pPr>
        <w:numPr>
          <w:ilvl w:val="0"/>
          <w:numId w:val="5"/>
        </w:numPr>
        <w:tabs>
          <w:tab w:val="left" w:pos="-284"/>
        </w:tabs>
        <w:spacing w:before="0" w:after="0"/>
        <w:ind w:left="142" w:firstLine="0"/>
        <w:jc w:val="both"/>
      </w:pPr>
      <w:r w:rsidRPr="00A52ED7">
        <w:t>obiekty ruchome i tymczasowe,</w:t>
      </w:r>
    </w:p>
    <w:p w:rsidR="00AF0FDB" w:rsidRPr="00A52ED7" w:rsidRDefault="00AF0FDB" w:rsidP="00DE0EFA">
      <w:pPr>
        <w:numPr>
          <w:ilvl w:val="0"/>
          <w:numId w:val="24"/>
        </w:numPr>
        <w:tabs>
          <w:tab w:val="left" w:pos="-284"/>
        </w:tabs>
        <w:spacing w:before="0" w:after="0"/>
        <w:jc w:val="both"/>
        <w:rPr>
          <w:b/>
          <w:bCs/>
        </w:rPr>
      </w:pPr>
      <w:r>
        <w:rPr>
          <w:b/>
          <w:bCs/>
        </w:rPr>
        <w:t>Zakłady żywienia:</w:t>
      </w:r>
    </w:p>
    <w:p w:rsidR="00AF0FDB" w:rsidRPr="00A52ED7" w:rsidRDefault="00AF0FDB" w:rsidP="00DE0EFA">
      <w:pPr>
        <w:numPr>
          <w:ilvl w:val="0"/>
          <w:numId w:val="25"/>
        </w:numPr>
        <w:tabs>
          <w:tab w:val="left" w:pos="-284"/>
        </w:tabs>
        <w:spacing w:before="0" w:after="0"/>
        <w:jc w:val="both"/>
      </w:pPr>
      <w:r w:rsidRPr="00A52ED7">
        <w:t>zakłady żywienia zbiorowego otwarte (restauracje, bary, kawiarnie, zakłady małej gastronomii),</w:t>
      </w:r>
    </w:p>
    <w:p w:rsidR="00AF0FDB" w:rsidRPr="00A52ED7" w:rsidRDefault="00AF0FDB" w:rsidP="00DE0EFA">
      <w:pPr>
        <w:numPr>
          <w:ilvl w:val="0"/>
          <w:numId w:val="25"/>
        </w:numPr>
        <w:tabs>
          <w:tab w:val="left" w:pos="-284"/>
        </w:tabs>
        <w:spacing w:before="0" w:after="0"/>
        <w:jc w:val="both"/>
      </w:pPr>
      <w:r w:rsidRPr="00A52ED7">
        <w:t>zakłady żywienia zbiorowego zamknięte (stołówki w zakładach pracy, przedszkolach, szkołach, żłobkach, domach małego dziecka, bursach i internatach, domach wczasowych, domach opieki społecznej, domach dziecka i młodzieży i in., zakłady cateringowe)</w:t>
      </w:r>
    </w:p>
    <w:p w:rsidR="00AF0FDB" w:rsidRPr="00A52ED7" w:rsidRDefault="00AF0FDB" w:rsidP="0092096B">
      <w:pPr>
        <w:tabs>
          <w:tab w:val="left" w:pos="-284"/>
        </w:tabs>
        <w:spacing w:before="0" w:after="0"/>
        <w:ind w:left="76"/>
        <w:jc w:val="both"/>
      </w:pPr>
    </w:p>
    <w:p w:rsidR="00AF0FDB" w:rsidRPr="00A52ED7" w:rsidRDefault="00AF0FDB" w:rsidP="0092096B">
      <w:pPr>
        <w:tabs>
          <w:tab w:val="left" w:pos="-284"/>
        </w:tabs>
        <w:spacing w:before="0" w:after="0"/>
        <w:ind w:left="76"/>
        <w:jc w:val="both"/>
      </w:pPr>
      <w:r w:rsidRPr="00A52ED7">
        <w:t>Kontrolą objęto także wytwórnie i miejsca obrotu artykułami z tworzyw sztucznych, kosmetycznymi oraz transport środków spożywczych.</w:t>
      </w:r>
    </w:p>
    <w:p w:rsidR="00AF0FDB" w:rsidRDefault="00AF0FDB" w:rsidP="0092096B">
      <w:pPr>
        <w:tabs>
          <w:tab w:val="left" w:pos="-284"/>
        </w:tabs>
        <w:spacing w:before="0" w:after="0"/>
        <w:jc w:val="both"/>
      </w:pPr>
    </w:p>
    <w:p w:rsidR="00AF0FDB" w:rsidRPr="00A52ED7" w:rsidRDefault="00AF0FDB" w:rsidP="0092096B">
      <w:pPr>
        <w:tabs>
          <w:tab w:val="left" w:pos="-284"/>
        </w:tabs>
        <w:spacing w:before="0" w:after="0"/>
        <w:jc w:val="both"/>
      </w:pPr>
    </w:p>
    <w:tbl>
      <w:tblPr>
        <w:tblpPr w:leftFromText="141" w:rightFromText="141" w:vertAnchor="text" w:horzAnchor="margin" w:tblpXSpec="center" w:tblpY="789"/>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4750"/>
        <w:gridCol w:w="2833"/>
      </w:tblGrid>
      <w:tr w:rsidR="00AF0FDB" w:rsidRPr="00A52ED7">
        <w:trPr>
          <w:trHeight w:val="503"/>
        </w:trPr>
        <w:tc>
          <w:tcPr>
            <w:tcW w:w="4750" w:type="dxa"/>
            <w:tcBorders>
              <w:top w:val="double" w:sz="6" w:space="0" w:color="000000"/>
            </w:tcBorders>
          </w:tcPr>
          <w:p w:rsidR="00AF0FDB" w:rsidRPr="002C4F7C" w:rsidRDefault="00AF0FDB" w:rsidP="002C4F7C">
            <w:pPr>
              <w:spacing w:before="0" w:after="0"/>
              <w:ind w:left="540"/>
              <w:jc w:val="center"/>
              <w:rPr>
                <w:b/>
                <w:bCs/>
                <w:sz w:val="22"/>
                <w:szCs w:val="22"/>
              </w:rPr>
            </w:pPr>
            <w:r w:rsidRPr="002C4F7C">
              <w:rPr>
                <w:b/>
                <w:bCs/>
                <w:sz w:val="22"/>
                <w:szCs w:val="22"/>
              </w:rPr>
              <w:t>RODZAJ OBIEKTÓW</w:t>
            </w:r>
          </w:p>
        </w:tc>
        <w:tc>
          <w:tcPr>
            <w:tcW w:w="2833" w:type="dxa"/>
            <w:tcBorders>
              <w:top w:val="double" w:sz="6" w:space="0" w:color="000000"/>
            </w:tcBorders>
          </w:tcPr>
          <w:p w:rsidR="00AF0FDB" w:rsidRPr="002C4F7C" w:rsidRDefault="00AF0FDB" w:rsidP="002C4F7C">
            <w:pPr>
              <w:spacing w:before="0" w:after="0"/>
              <w:ind w:left="212"/>
              <w:rPr>
                <w:b/>
                <w:bCs/>
                <w:sz w:val="20"/>
                <w:szCs w:val="20"/>
              </w:rPr>
            </w:pPr>
            <w:r w:rsidRPr="002C4F7C">
              <w:rPr>
                <w:b/>
                <w:bCs/>
                <w:sz w:val="20"/>
                <w:szCs w:val="20"/>
              </w:rPr>
              <w:t>LICZBA KONTROLI</w:t>
            </w:r>
          </w:p>
        </w:tc>
      </w:tr>
      <w:tr w:rsidR="00AF0FDB" w:rsidRPr="00A52ED7">
        <w:trPr>
          <w:trHeight w:val="2420"/>
        </w:trPr>
        <w:tc>
          <w:tcPr>
            <w:tcW w:w="4750" w:type="dxa"/>
          </w:tcPr>
          <w:p w:rsidR="00AF0FDB" w:rsidRPr="002C4F7C" w:rsidRDefault="00AF0FDB" w:rsidP="002C4F7C">
            <w:pPr>
              <w:spacing w:before="0" w:after="0" w:line="276" w:lineRule="auto"/>
              <w:rPr>
                <w:sz w:val="22"/>
                <w:szCs w:val="22"/>
              </w:rPr>
            </w:pPr>
            <w:r w:rsidRPr="002C4F7C">
              <w:rPr>
                <w:sz w:val="22"/>
                <w:szCs w:val="22"/>
              </w:rPr>
              <w:t>Obiekty produkcji / tj. wytwórnie lodów, piekarnie, ciastkarnie, przetwórnie owocowo – warzywne i grzybowe, wytw. napojów bezalkoholowych i rozlewnie piwa, zakłady garmażeryjne, wytw. makaronów, wytw. wyr cukierniczych, wytw. konc. spożywczych,  wytw. środków dietetycznych, wytw. substancji dodatkowych,  inne / oraz transport</w:t>
            </w:r>
          </w:p>
        </w:tc>
        <w:tc>
          <w:tcPr>
            <w:tcW w:w="2833" w:type="dxa"/>
          </w:tcPr>
          <w:p w:rsidR="00AF0FDB" w:rsidRPr="002C4F7C" w:rsidRDefault="00AF0FDB" w:rsidP="002C4F7C">
            <w:pPr>
              <w:spacing w:before="0" w:after="0"/>
              <w:jc w:val="center"/>
              <w:rPr>
                <w:b/>
                <w:bCs/>
                <w:sz w:val="22"/>
                <w:szCs w:val="22"/>
              </w:rPr>
            </w:pPr>
          </w:p>
          <w:p w:rsidR="00AF0FDB" w:rsidRPr="002C4F7C" w:rsidRDefault="00AF0FDB" w:rsidP="002C4F7C">
            <w:pPr>
              <w:spacing w:before="0" w:after="0"/>
              <w:jc w:val="center"/>
              <w:rPr>
                <w:b/>
                <w:bCs/>
                <w:sz w:val="22"/>
                <w:szCs w:val="22"/>
              </w:rPr>
            </w:pPr>
            <w:r w:rsidRPr="002C4F7C">
              <w:rPr>
                <w:b/>
                <w:bCs/>
                <w:sz w:val="22"/>
                <w:szCs w:val="22"/>
              </w:rPr>
              <w:t>646</w:t>
            </w:r>
          </w:p>
        </w:tc>
      </w:tr>
      <w:tr w:rsidR="00AF0FDB" w:rsidRPr="00A52ED7">
        <w:trPr>
          <w:trHeight w:val="720"/>
        </w:trPr>
        <w:tc>
          <w:tcPr>
            <w:tcW w:w="4750" w:type="dxa"/>
          </w:tcPr>
          <w:p w:rsidR="00AF0FDB" w:rsidRPr="002C4F7C" w:rsidRDefault="00AF0FDB" w:rsidP="002C4F7C">
            <w:pPr>
              <w:spacing w:before="0" w:after="0" w:line="276" w:lineRule="auto"/>
              <w:rPr>
                <w:sz w:val="22"/>
                <w:szCs w:val="22"/>
              </w:rPr>
            </w:pPr>
            <w:r w:rsidRPr="002C4F7C">
              <w:rPr>
                <w:sz w:val="22"/>
                <w:szCs w:val="22"/>
              </w:rPr>
              <w:t>Obiekty obrotu / tj. sklepy, magazyny, kioski / inne obiekty obrotu  oraz transport (wraz z kontrolami importu)</w:t>
            </w:r>
          </w:p>
        </w:tc>
        <w:tc>
          <w:tcPr>
            <w:tcW w:w="2833" w:type="dxa"/>
          </w:tcPr>
          <w:p w:rsidR="00AF0FDB" w:rsidRPr="002C4F7C" w:rsidRDefault="00AF0FDB" w:rsidP="002C4F7C">
            <w:pPr>
              <w:spacing w:before="0" w:after="0"/>
              <w:jc w:val="center"/>
              <w:rPr>
                <w:b/>
                <w:bCs/>
                <w:sz w:val="22"/>
                <w:szCs w:val="22"/>
              </w:rPr>
            </w:pPr>
          </w:p>
          <w:p w:rsidR="00AF0FDB" w:rsidRPr="002C4F7C" w:rsidRDefault="00AF0FDB" w:rsidP="002C4F7C">
            <w:pPr>
              <w:spacing w:before="0" w:after="0"/>
              <w:jc w:val="center"/>
              <w:rPr>
                <w:b/>
                <w:bCs/>
                <w:sz w:val="22"/>
                <w:szCs w:val="22"/>
              </w:rPr>
            </w:pPr>
            <w:r w:rsidRPr="002C4F7C">
              <w:rPr>
                <w:b/>
                <w:bCs/>
                <w:sz w:val="22"/>
                <w:szCs w:val="22"/>
              </w:rPr>
              <w:t>3542</w:t>
            </w:r>
          </w:p>
        </w:tc>
      </w:tr>
      <w:tr w:rsidR="00AF0FDB" w:rsidRPr="00A52ED7">
        <w:tc>
          <w:tcPr>
            <w:tcW w:w="4750" w:type="dxa"/>
          </w:tcPr>
          <w:p w:rsidR="00AF0FDB" w:rsidRPr="002C4F7C" w:rsidRDefault="00AF0FDB" w:rsidP="002C4F7C">
            <w:pPr>
              <w:spacing w:before="0" w:after="0" w:line="276" w:lineRule="auto"/>
              <w:rPr>
                <w:sz w:val="22"/>
                <w:szCs w:val="22"/>
              </w:rPr>
            </w:pPr>
            <w:r w:rsidRPr="002C4F7C">
              <w:rPr>
                <w:sz w:val="22"/>
                <w:szCs w:val="22"/>
              </w:rPr>
              <w:t>Zakłady żywienia zbiorowego /tj. restauracje, bary, punkty małej gastronomii, stołówki pracownicze, w przedszkolach, szkołach i żłobkach, bufety /  oraz transport</w:t>
            </w:r>
          </w:p>
        </w:tc>
        <w:tc>
          <w:tcPr>
            <w:tcW w:w="2833" w:type="dxa"/>
          </w:tcPr>
          <w:p w:rsidR="00AF0FDB" w:rsidRPr="002C4F7C" w:rsidRDefault="00AF0FDB" w:rsidP="002C4F7C">
            <w:pPr>
              <w:spacing w:before="0" w:after="0"/>
              <w:jc w:val="center"/>
              <w:rPr>
                <w:b/>
                <w:bCs/>
                <w:sz w:val="22"/>
                <w:szCs w:val="22"/>
              </w:rPr>
            </w:pPr>
          </w:p>
          <w:p w:rsidR="00AF0FDB" w:rsidRPr="002C4F7C" w:rsidRDefault="00AF0FDB" w:rsidP="002C4F7C">
            <w:pPr>
              <w:spacing w:before="0" w:after="0"/>
              <w:jc w:val="center"/>
              <w:rPr>
                <w:b/>
                <w:bCs/>
                <w:sz w:val="22"/>
                <w:szCs w:val="22"/>
              </w:rPr>
            </w:pPr>
            <w:r w:rsidRPr="002C4F7C">
              <w:rPr>
                <w:b/>
                <w:bCs/>
                <w:sz w:val="22"/>
                <w:szCs w:val="22"/>
              </w:rPr>
              <w:t>1495</w:t>
            </w:r>
          </w:p>
        </w:tc>
      </w:tr>
      <w:tr w:rsidR="00AF0FDB" w:rsidRPr="00A52ED7">
        <w:tc>
          <w:tcPr>
            <w:tcW w:w="4750" w:type="dxa"/>
          </w:tcPr>
          <w:p w:rsidR="00AF0FDB" w:rsidRPr="002C4F7C" w:rsidRDefault="00AF0FDB" w:rsidP="002C4F7C">
            <w:pPr>
              <w:spacing w:before="0" w:after="0" w:line="276" w:lineRule="auto"/>
              <w:rPr>
                <w:sz w:val="22"/>
                <w:szCs w:val="22"/>
              </w:rPr>
            </w:pPr>
            <w:r w:rsidRPr="002C4F7C">
              <w:rPr>
                <w:sz w:val="22"/>
                <w:szCs w:val="22"/>
              </w:rPr>
              <w:t>Zakłady produkcji i obrotu kosmetykami i przedmiotami użytku (wraz z kontrolami importu)</w:t>
            </w:r>
          </w:p>
        </w:tc>
        <w:tc>
          <w:tcPr>
            <w:tcW w:w="2833" w:type="dxa"/>
          </w:tcPr>
          <w:p w:rsidR="00AF0FDB" w:rsidRPr="002C4F7C" w:rsidRDefault="00AF0FDB" w:rsidP="002C4F7C">
            <w:pPr>
              <w:spacing w:before="0" w:after="0"/>
              <w:jc w:val="center"/>
              <w:rPr>
                <w:b/>
                <w:bCs/>
                <w:sz w:val="22"/>
                <w:szCs w:val="22"/>
              </w:rPr>
            </w:pPr>
          </w:p>
          <w:p w:rsidR="00AF0FDB" w:rsidRPr="002C4F7C" w:rsidRDefault="00AF0FDB" w:rsidP="002C4F7C">
            <w:pPr>
              <w:spacing w:before="0" w:after="0"/>
              <w:jc w:val="center"/>
              <w:rPr>
                <w:b/>
                <w:bCs/>
                <w:sz w:val="22"/>
                <w:szCs w:val="22"/>
              </w:rPr>
            </w:pPr>
            <w:r w:rsidRPr="002C4F7C">
              <w:rPr>
                <w:b/>
                <w:bCs/>
                <w:sz w:val="22"/>
                <w:szCs w:val="22"/>
              </w:rPr>
              <w:t>628</w:t>
            </w:r>
          </w:p>
        </w:tc>
      </w:tr>
      <w:tr w:rsidR="00AF0FDB" w:rsidRPr="00A52ED7">
        <w:trPr>
          <w:trHeight w:val="530"/>
        </w:trPr>
        <w:tc>
          <w:tcPr>
            <w:tcW w:w="4750" w:type="dxa"/>
            <w:tcBorders>
              <w:bottom w:val="double" w:sz="6" w:space="0" w:color="000000"/>
            </w:tcBorders>
          </w:tcPr>
          <w:p w:rsidR="00AF0FDB" w:rsidRPr="002C4F7C" w:rsidRDefault="00AF0FDB" w:rsidP="002C4F7C">
            <w:pPr>
              <w:spacing w:before="0" w:after="0"/>
              <w:jc w:val="both"/>
              <w:rPr>
                <w:b/>
                <w:bCs/>
                <w:sz w:val="22"/>
                <w:szCs w:val="22"/>
              </w:rPr>
            </w:pPr>
          </w:p>
          <w:p w:rsidR="00AF0FDB" w:rsidRPr="002C4F7C" w:rsidRDefault="00AF0FDB" w:rsidP="002C4F7C">
            <w:pPr>
              <w:spacing w:before="0" w:after="0"/>
              <w:jc w:val="both"/>
              <w:rPr>
                <w:b/>
                <w:bCs/>
                <w:sz w:val="22"/>
                <w:szCs w:val="22"/>
              </w:rPr>
            </w:pPr>
            <w:r w:rsidRPr="002C4F7C">
              <w:rPr>
                <w:b/>
                <w:bCs/>
                <w:sz w:val="22"/>
                <w:szCs w:val="22"/>
              </w:rPr>
              <w:t>OGÓŁEM :</w:t>
            </w:r>
          </w:p>
        </w:tc>
        <w:tc>
          <w:tcPr>
            <w:tcW w:w="2833" w:type="dxa"/>
            <w:tcBorders>
              <w:bottom w:val="double" w:sz="6" w:space="0" w:color="000000"/>
            </w:tcBorders>
          </w:tcPr>
          <w:p w:rsidR="00AF0FDB" w:rsidRPr="002C4F7C" w:rsidRDefault="00AF0FDB" w:rsidP="002C4F7C">
            <w:pPr>
              <w:spacing w:before="0" w:after="0"/>
              <w:jc w:val="center"/>
              <w:rPr>
                <w:b/>
                <w:bCs/>
                <w:sz w:val="22"/>
                <w:szCs w:val="22"/>
              </w:rPr>
            </w:pPr>
          </w:p>
          <w:p w:rsidR="00AF0FDB" w:rsidRPr="002C4F7C" w:rsidRDefault="00AF0FDB" w:rsidP="002C4F7C">
            <w:pPr>
              <w:spacing w:before="0" w:after="0"/>
              <w:jc w:val="center"/>
              <w:rPr>
                <w:b/>
                <w:bCs/>
                <w:sz w:val="22"/>
                <w:szCs w:val="22"/>
              </w:rPr>
            </w:pPr>
            <w:r w:rsidRPr="002C4F7C">
              <w:rPr>
                <w:b/>
                <w:bCs/>
                <w:sz w:val="22"/>
                <w:szCs w:val="22"/>
              </w:rPr>
              <w:t>6311</w:t>
            </w:r>
          </w:p>
        </w:tc>
      </w:tr>
    </w:tbl>
    <w:p w:rsidR="00AF0FDB" w:rsidRPr="008D6939" w:rsidRDefault="00AF0FDB" w:rsidP="0092096B">
      <w:pPr>
        <w:spacing w:before="0" w:after="0"/>
        <w:rPr>
          <w:b/>
          <w:bCs/>
          <w:sz w:val="20"/>
          <w:szCs w:val="20"/>
        </w:rPr>
      </w:pPr>
      <w:r w:rsidRPr="008D66D2">
        <w:rPr>
          <w:b/>
          <w:bCs/>
          <w:sz w:val="20"/>
          <w:szCs w:val="20"/>
        </w:rPr>
        <w:t>Tab. 1</w:t>
      </w:r>
      <w:r w:rsidRPr="008D66D2">
        <w:rPr>
          <w:sz w:val="20"/>
          <w:szCs w:val="20"/>
        </w:rPr>
        <w:t>. Liczba kontroli z podziałem na poszczególne grupy</w:t>
      </w:r>
    </w:p>
    <w:p w:rsidR="00AF0FDB" w:rsidRPr="00DD2EA5" w:rsidRDefault="00AF0FDB" w:rsidP="0092096B">
      <w:pPr>
        <w:spacing w:before="0" w:after="0"/>
        <w:rPr>
          <w:color w:val="FF0000"/>
        </w:rPr>
      </w:pPr>
    </w:p>
    <w:p w:rsidR="00AF0FDB" w:rsidRPr="00DD2EA5" w:rsidRDefault="00AF0FDB" w:rsidP="0092096B">
      <w:pPr>
        <w:spacing w:before="0" w:after="0"/>
        <w:rPr>
          <w:color w:val="FF0000"/>
        </w:rPr>
      </w:pPr>
    </w:p>
    <w:p w:rsidR="00AF0FDB" w:rsidRPr="00DD2EA5" w:rsidRDefault="00AF0FDB" w:rsidP="0092096B">
      <w:pPr>
        <w:spacing w:before="0" w:after="0"/>
        <w:rPr>
          <w:color w:val="FF0000"/>
        </w:rPr>
      </w:pPr>
    </w:p>
    <w:p w:rsidR="00AF0FDB" w:rsidRPr="00DD2EA5" w:rsidRDefault="00AF0FDB" w:rsidP="0092096B">
      <w:pPr>
        <w:spacing w:before="0" w:after="0"/>
        <w:rPr>
          <w:color w:val="FF0000"/>
        </w:rPr>
      </w:pPr>
    </w:p>
    <w:p w:rsidR="00AF0FDB" w:rsidRPr="00DD2EA5" w:rsidRDefault="00AF0FDB" w:rsidP="0092096B">
      <w:pPr>
        <w:spacing w:before="0" w:after="0"/>
        <w:rPr>
          <w:color w:val="FF0000"/>
        </w:rPr>
      </w:pPr>
    </w:p>
    <w:p w:rsidR="00AF0FDB" w:rsidRPr="00DD2EA5" w:rsidRDefault="00AF0FDB" w:rsidP="0092096B">
      <w:pPr>
        <w:spacing w:before="0" w:after="0"/>
        <w:rPr>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r w:rsidRPr="00DD2EA5">
        <w:rPr>
          <w:rFonts w:ascii="Arial" w:hAnsi="Arial" w:cs="Arial"/>
          <w:b/>
          <w:bCs/>
          <w:color w:val="FF0000"/>
        </w:rPr>
        <w:t xml:space="preserve"> </w:t>
      </w: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DD2EA5" w:rsidRDefault="00AF0FDB" w:rsidP="0092096B">
      <w:pPr>
        <w:spacing w:before="0" w:after="0"/>
        <w:rPr>
          <w:rFonts w:ascii="Arial" w:hAnsi="Arial" w:cs="Arial"/>
          <w:b/>
          <w:bCs/>
          <w:color w:val="FF0000"/>
        </w:rPr>
      </w:pPr>
    </w:p>
    <w:p w:rsidR="00AF0FDB" w:rsidRPr="008D6939" w:rsidRDefault="00AF0FDB" w:rsidP="008D6939">
      <w:pPr>
        <w:spacing w:before="0" w:after="0"/>
        <w:rPr>
          <w:rFonts w:ascii="Arial" w:hAnsi="Arial" w:cs="Arial"/>
          <w:b/>
          <w:bCs/>
          <w:color w:val="FF0000"/>
        </w:rPr>
      </w:pPr>
      <w:bookmarkStart w:id="347" w:name="_Toc938878"/>
      <w:r>
        <w:rPr>
          <w:rFonts w:ascii="Arial" w:hAnsi="Arial" w:cs="Arial"/>
          <w:b/>
          <w:bCs/>
          <w:color w:val="FF0000"/>
        </w:rPr>
        <w:t xml:space="preserve">  </w:t>
      </w:r>
    </w:p>
    <w:p w:rsidR="00AF0FDB" w:rsidRPr="008D6939" w:rsidRDefault="00AF0FDB" w:rsidP="008D6939">
      <w:pPr>
        <w:pStyle w:val="Heading1"/>
        <w:ind w:left="7080"/>
        <w:jc w:val="left"/>
        <w:rPr>
          <w:rFonts w:ascii="Times New Roman" w:hAnsi="Times New Roman" w:cs="Times New Roman"/>
          <w:sz w:val="24"/>
          <w:szCs w:val="24"/>
        </w:rPr>
      </w:pPr>
      <w:r w:rsidRPr="009451E5">
        <w:rPr>
          <w:rFonts w:ascii="Times New Roman" w:hAnsi="Times New Roman" w:cs="Times New Roman"/>
          <w:sz w:val="24"/>
          <w:szCs w:val="24"/>
        </w:rPr>
        <w:t>Zakłady obrotu</w:t>
      </w:r>
      <w:bookmarkEnd w:id="347"/>
    </w:p>
    <w:p w:rsidR="00AF0FDB" w:rsidRPr="00A52ED7" w:rsidRDefault="00AF0FDB" w:rsidP="00B118BB">
      <w:pPr>
        <w:spacing w:before="0" w:after="0"/>
        <w:jc w:val="both"/>
      </w:pPr>
      <w:r w:rsidRPr="00A52ED7">
        <w:t xml:space="preserve">W objętych nadzorem sklepach, hurtowniach i kioskach z żywnością, na straganach oraz w innych punktach sprzedaży środków spożywczych przeprowadzono  </w:t>
      </w:r>
      <w:r>
        <w:rPr>
          <w:b/>
          <w:bCs/>
        </w:rPr>
        <w:t>3542 kontrole sanitarne</w:t>
      </w:r>
      <w:r w:rsidRPr="00A52ED7">
        <w:t xml:space="preserve">. W wyniku </w:t>
      </w:r>
      <w:r>
        <w:t>ich</w:t>
      </w:r>
      <w:r w:rsidRPr="00A52ED7">
        <w:t xml:space="preserve"> nałożono   </w:t>
      </w:r>
      <w:r w:rsidRPr="00A52ED7">
        <w:rPr>
          <w:b/>
          <w:bCs/>
        </w:rPr>
        <w:t>230</w:t>
      </w:r>
      <w:r w:rsidRPr="00A52ED7">
        <w:t xml:space="preserve">  </w:t>
      </w:r>
      <w:r w:rsidRPr="00A52ED7">
        <w:rPr>
          <w:b/>
          <w:bCs/>
        </w:rPr>
        <w:t>mandatów  na kwotę 54.700 zł.</w:t>
      </w:r>
      <w:r w:rsidRPr="00A52ED7">
        <w:t xml:space="preserve">. </w:t>
      </w:r>
    </w:p>
    <w:p w:rsidR="00AF0FDB" w:rsidRPr="00A52ED7" w:rsidRDefault="00AF0FDB" w:rsidP="0092096B">
      <w:pPr>
        <w:spacing w:before="0" w:after="0"/>
        <w:jc w:val="both"/>
      </w:pPr>
      <w:r w:rsidRPr="00A52ED7">
        <w:t>Powody</w:t>
      </w:r>
      <w:r>
        <w:t xml:space="preserve"> nałożenia kary było</w:t>
      </w:r>
      <w:r w:rsidRPr="00A52ED7">
        <w:t xml:space="preserve">:  </w:t>
      </w:r>
    </w:p>
    <w:p w:rsidR="00AF0FDB" w:rsidRPr="00A52ED7" w:rsidRDefault="00AF0FDB" w:rsidP="00372492">
      <w:pPr>
        <w:numPr>
          <w:ilvl w:val="0"/>
          <w:numId w:val="6"/>
        </w:numPr>
        <w:spacing w:before="0" w:after="0"/>
        <w:jc w:val="both"/>
      </w:pPr>
      <w:r w:rsidRPr="00A52ED7">
        <w:t>sprzedaż  środków spożywczych po upływie terminu przydatności do spożycia,</w:t>
      </w:r>
    </w:p>
    <w:p w:rsidR="00AF0FDB" w:rsidRPr="00A52ED7" w:rsidRDefault="00AF0FDB" w:rsidP="00372492">
      <w:pPr>
        <w:numPr>
          <w:ilvl w:val="0"/>
          <w:numId w:val="6"/>
        </w:numPr>
        <w:spacing w:before="0" w:after="0"/>
        <w:jc w:val="both"/>
      </w:pPr>
      <w:r w:rsidRPr="00A52ED7">
        <w:t>niewłaściwy stan czystości pomieszczeń i wyposażenia zakładu,</w:t>
      </w:r>
    </w:p>
    <w:p w:rsidR="00AF0FDB" w:rsidRPr="00A52ED7" w:rsidRDefault="00AF0FDB" w:rsidP="00372492">
      <w:pPr>
        <w:numPr>
          <w:ilvl w:val="0"/>
          <w:numId w:val="6"/>
        </w:numPr>
        <w:spacing w:before="0" w:after="0"/>
        <w:jc w:val="both"/>
      </w:pPr>
      <w:r w:rsidRPr="00A52ED7">
        <w:t xml:space="preserve">brak higieny osobistej pracowników, </w:t>
      </w:r>
    </w:p>
    <w:p w:rsidR="00AF0FDB" w:rsidRPr="00A52ED7" w:rsidRDefault="00AF0FDB" w:rsidP="00372492">
      <w:pPr>
        <w:numPr>
          <w:ilvl w:val="0"/>
          <w:numId w:val="6"/>
        </w:numPr>
        <w:spacing w:before="0" w:after="0"/>
        <w:jc w:val="both"/>
      </w:pPr>
      <w:r w:rsidRPr="00A52ED7">
        <w:t>brak segregacji asortymentowej przy przechowywaniu żywności w chłodni,</w:t>
      </w:r>
    </w:p>
    <w:p w:rsidR="00AF0FDB" w:rsidRPr="00A52ED7" w:rsidRDefault="00AF0FDB" w:rsidP="00372492">
      <w:pPr>
        <w:numPr>
          <w:ilvl w:val="0"/>
          <w:numId w:val="6"/>
        </w:numPr>
        <w:spacing w:before="0" w:after="0"/>
        <w:jc w:val="both"/>
      </w:pPr>
      <w:r w:rsidRPr="00A52ED7">
        <w:t xml:space="preserve"> niewłaściwe przechowywanie odpadów, </w:t>
      </w:r>
    </w:p>
    <w:p w:rsidR="00AF0FDB" w:rsidRPr="00A52ED7" w:rsidRDefault="00AF0FDB" w:rsidP="00372492">
      <w:pPr>
        <w:numPr>
          <w:ilvl w:val="0"/>
          <w:numId w:val="6"/>
        </w:numPr>
        <w:spacing w:before="0" w:after="0"/>
        <w:jc w:val="both"/>
      </w:pPr>
      <w:r w:rsidRPr="00A52ED7">
        <w:t xml:space="preserve">brak możliwości identyfikacji surowców i półproduktów, </w:t>
      </w:r>
    </w:p>
    <w:p w:rsidR="00AF0FDB" w:rsidRPr="00A52ED7" w:rsidRDefault="00AF0FDB" w:rsidP="00372492">
      <w:pPr>
        <w:numPr>
          <w:ilvl w:val="0"/>
          <w:numId w:val="6"/>
        </w:numPr>
        <w:spacing w:before="0" w:after="0"/>
        <w:jc w:val="both"/>
      </w:pPr>
      <w:r w:rsidRPr="00A52ED7">
        <w:t xml:space="preserve">obecność gryzoni lub ich odchodów, </w:t>
      </w:r>
    </w:p>
    <w:p w:rsidR="00AF0FDB" w:rsidRPr="00A52ED7" w:rsidRDefault="00AF0FDB" w:rsidP="00372492">
      <w:pPr>
        <w:numPr>
          <w:ilvl w:val="0"/>
          <w:numId w:val="6"/>
        </w:numPr>
        <w:spacing w:before="0" w:after="0"/>
        <w:jc w:val="both"/>
      </w:pPr>
      <w:r w:rsidRPr="00A52ED7">
        <w:t>brak wody,</w:t>
      </w:r>
    </w:p>
    <w:p w:rsidR="00AF0FDB" w:rsidRPr="00A52ED7" w:rsidRDefault="00AF0FDB" w:rsidP="00372492">
      <w:pPr>
        <w:numPr>
          <w:ilvl w:val="0"/>
          <w:numId w:val="6"/>
        </w:numPr>
        <w:spacing w:before="0" w:after="0"/>
        <w:jc w:val="both"/>
      </w:pPr>
      <w:r w:rsidRPr="00A52ED7">
        <w:t xml:space="preserve">brak podłączenia do kanalizacji. </w:t>
      </w:r>
    </w:p>
    <w:p w:rsidR="00AF0FDB" w:rsidRPr="00A52ED7" w:rsidRDefault="00AF0FDB" w:rsidP="0092096B">
      <w:pPr>
        <w:spacing w:before="0" w:after="0"/>
        <w:jc w:val="both"/>
      </w:pPr>
      <w:r w:rsidRPr="00A52ED7">
        <w:t xml:space="preserve">Wydane  </w:t>
      </w:r>
      <w:r w:rsidRPr="00A52ED7">
        <w:rPr>
          <w:b/>
          <w:bCs/>
        </w:rPr>
        <w:t>decyzje administracyjne</w:t>
      </w:r>
      <w:r w:rsidRPr="00A52ED7">
        <w:t xml:space="preserve"> zobowiązywały właścicieli obiektów do poprawy w nich stanu sanitarno-technicznego.  Zamknięto </w:t>
      </w:r>
      <w:r w:rsidRPr="00A52ED7">
        <w:rPr>
          <w:b/>
          <w:bCs/>
        </w:rPr>
        <w:t xml:space="preserve">8 sklepów spożywczych </w:t>
      </w:r>
      <w:r w:rsidRPr="00A52ED7">
        <w:t xml:space="preserve">i  </w:t>
      </w:r>
      <w:r w:rsidRPr="00A52ED7">
        <w:rPr>
          <w:b/>
          <w:bCs/>
        </w:rPr>
        <w:t>1 stoisko handlowe w galerii handlowej</w:t>
      </w:r>
      <w:r w:rsidRPr="00A52ED7">
        <w:t xml:space="preserve"> z uwagi na zagrożenie zdrowotne, jakie niesie za sobą prowadzenie działalności w tych obiektach. </w:t>
      </w:r>
    </w:p>
    <w:p w:rsidR="00AF0FDB" w:rsidRPr="00A52ED7" w:rsidRDefault="00AF0FDB" w:rsidP="0092096B">
      <w:pPr>
        <w:spacing w:before="0" w:after="0"/>
        <w:jc w:val="both"/>
      </w:pPr>
      <w:r w:rsidRPr="00A52ED7">
        <w:t xml:space="preserve">Przyczyny unieruchomienia tych placówek to: </w:t>
      </w:r>
    </w:p>
    <w:p w:rsidR="00AF0FDB" w:rsidRPr="00A52ED7" w:rsidRDefault="00AF0FDB" w:rsidP="00DF60D5">
      <w:pPr>
        <w:numPr>
          <w:ilvl w:val="0"/>
          <w:numId w:val="1"/>
        </w:numPr>
        <w:spacing w:before="0" w:after="0"/>
        <w:jc w:val="both"/>
        <w:rPr>
          <w:b/>
          <w:bCs/>
        </w:rPr>
      </w:pPr>
      <w:r>
        <w:t xml:space="preserve">  </w:t>
      </w:r>
      <w:r w:rsidRPr="00A52ED7">
        <w:t>obecność szkodników (gryzoni i karaczanów) oraz  ślady ich bytowania,</w:t>
      </w:r>
    </w:p>
    <w:p w:rsidR="00AF0FDB" w:rsidRPr="00A52ED7" w:rsidRDefault="00AF0FDB" w:rsidP="00DF60D5">
      <w:pPr>
        <w:numPr>
          <w:ilvl w:val="0"/>
          <w:numId w:val="1"/>
        </w:numPr>
        <w:spacing w:before="0" w:after="0"/>
        <w:ind w:left="851" w:hanging="491"/>
        <w:jc w:val="both"/>
        <w:rPr>
          <w:b/>
          <w:bCs/>
        </w:rPr>
      </w:pPr>
      <w:r w:rsidRPr="00A52ED7">
        <w:t>brak bieżącej ciepłej i zimnej wody,</w:t>
      </w:r>
    </w:p>
    <w:p w:rsidR="00AF0FDB" w:rsidRPr="00A52ED7" w:rsidRDefault="00AF0FDB" w:rsidP="00DF60D5">
      <w:pPr>
        <w:numPr>
          <w:ilvl w:val="0"/>
          <w:numId w:val="1"/>
        </w:numPr>
        <w:spacing w:before="0" w:after="0"/>
        <w:ind w:left="851" w:hanging="491"/>
        <w:jc w:val="both"/>
      </w:pPr>
      <w:r w:rsidRPr="00A52ED7">
        <w:t>brak odpływu do kanalizacji,</w:t>
      </w:r>
    </w:p>
    <w:p w:rsidR="00AF0FDB" w:rsidRPr="00A52ED7" w:rsidRDefault="00AF0FDB" w:rsidP="00DF60D5">
      <w:pPr>
        <w:numPr>
          <w:ilvl w:val="0"/>
          <w:numId w:val="1"/>
        </w:numPr>
        <w:spacing w:before="0" w:after="0"/>
        <w:ind w:left="851" w:hanging="491"/>
        <w:jc w:val="both"/>
      </w:pPr>
      <w:r w:rsidRPr="00A52ED7">
        <w:t>ogólny brak porządku i czystości w pomieszczeniach.</w:t>
      </w:r>
    </w:p>
    <w:p w:rsidR="00AF0FDB" w:rsidRPr="00A52ED7" w:rsidRDefault="00AF0FDB" w:rsidP="0092096B">
      <w:pPr>
        <w:spacing w:before="0" w:after="0"/>
        <w:jc w:val="both"/>
      </w:pPr>
      <w:r w:rsidRPr="00A52ED7">
        <w:t>Ponadto zakazano wprowadzania do obrotu oraz wstrzymano ich wprowadzanie w przypadku suplementów diety zawierających składniki niedozwolone w Polsce.</w:t>
      </w:r>
    </w:p>
    <w:p w:rsidR="00AF0FDB" w:rsidRPr="00A52ED7" w:rsidRDefault="00AF0FDB" w:rsidP="0092096B">
      <w:pPr>
        <w:spacing w:before="0" w:after="0"/>
        <w:jc w:val="both"/>
      </w:pPr>
      <w:r>
        <w:rPr>
          <w:b/>
          <w:bCs/>
        </w:rPr>
        <w:t>Wymagań nie spełniało 17 sklepów</w:t>
      </w:r>
      <w:r w:rsidRPr="00A52ED7">
        <w:rPr>
          <w:b/>
          <w:bCs/>
        </w:rPr>
        <w:t xml:space="preserve"> spożywczych </w:t>
      </w:r>
      <w:r>
        <w:t>i uznane zostały</w:t>
      </w:r>
      <w:r w:rsidRPr="00A52ED7">
        <w:t xml:space="preserve"> za  niezgodne z obowiązującymi wymaganiami. Powodem uzyskania takiej oceny było nieprawidłowe zabezpieczeni</w:t>
      </w:r>
      <w:r>
        <w:t>e</w:t>
      </w:r>
      <w:r w:rsidRPr="00A52ED7">
        <w:t xml:space="preserve"> zakładów przed dostępem szkodników,  brak wody  bieżącej oraz podłączenia do kanalizacji placówek stacjonarnych, a w przypadku obiektów ruchomych – brak wody donoszonej, przechowywanie środków spożywczych łatwo psujących się poza urządzeniami chłodniczymi.</w:t>
      </w:r>
    </w:p>
    <w:p w:rsidR="00AF0FDB" w:rsidRPr="00DD2EA5" w:rsidRDefault="00AF0FDB" w:rsidP="0092096B">
      <w:pPr>
        <w:spacing w:before="0" w:after="0"/>
        <w:jc w:val="both"/>
        <w:rPr>
          <w:rFonts w:ascii="Arial" w:hAnsi="Arial" w:cs="Arial"/>
          <w:b/>
          <w:bCs/>
          <w:color w:val="FF0000"/>
        </w:rPr>
      </w:pPr>
    </w:p>
    <w:p w:rsidR="00AF0FDB" w:rsidRPr="009451E5" w:rsidRDefault="00AF0FDB" w:rsidP="009451E5">
      <w:pPr>
        <w:pStyle w:val="Heading1"/>
        <w:rPr>
          <w:rFonts w:ascii="Times New Roman" w:hAnsi="Times New Roman" w:cs="Times New Roman"/>
          <w:sz w:val="24"/>
          <w:szCs w:val="24"/>
        </w:rPr>
      </w:pPr>
      <w:bookmarkStart w:id="348" w:name="_Toc938879"/>
      <w:r w:rsidRPr="009451E5">
        <w:rPr>
          <w:rFonts w:ascii="Times New Roman" w:hAnsi="Times New Roman" w:cs="Times New Roman"/>
          <w:sz w:val="24"/>
          <w:szCs w:val="24"/>
        </w:rPr>
        <w:t>Zakłady produkcyjne</w:t>
      </w:r>
      <w:bookmarkEnd w:id="348"/>
    </w:p>
    <w:p w:rsidR="00AF0FDB" w:rsidRPr="00DD2EA5" w:rsidRDefault="00AF0FDB" w:rsidP="0092096B">
      <w:pPr>
        <w:spacing w:before="0" w:after="0"/>
        <w:jc w:val="both"/>
        <w:rPr>
          <w:rFonts w:ascii="Arial" w:hAnsi="Arial" w:cs="Arial"/>
          <w:b/>
          <w:bCs/>
          <w:color w:val="FF0000"/>
        </w:rPr>
      </w:pPr>
    </w:p>
    <w:p w:rsidR="00AF0FDB" w:rsidRPr="00A52ED7" w:rsidRDefault="00AF0FDB" w:rsidP="008D66D2">
      <w:pPr>
        <w:spacing w:before="0" w:after="0"/>
        <w:rPr>
          <w:b/>
          <w:bCs/>
        </w:rPr>
      </w:pPr>
      <w:r w:rsidRPr="00A52ED7">
        <w:t xml:space="preserve">W 2018 roku przeprowadzono </w:t>
      </w:r>
      <w:r w:rsidRPr="00A52ED7">
        <w:rPr>
          <w:b/>
          <w:bCs/>
        </w:rPr>
        <w:t xml:space="preserve">646   kontroli sanitarnych </w:t>
      </w:r>
      <w:r w:rsidRPr="00A52ED7">
        <w:t xml:space="preserve"> w </w:t>
      </w:r>
      <w:r w:rsidRPr="00A52ED7">
        <w:rPr>
          <w:b/>
          <w:bCs/>
        </w:rPr>
        <w:t xml:space="preserve"> </w:t>
      </w:r>
      <w:r w:rsidRPr="00A52ED7">
        <w:t xml:space="preserve">zakładach produkujących środki spożywcze. Winnych zaniedbań  ukarano </w:t>
      </w:r>
      <w:r w:rsidRPr="00A52ED7">
        <w:rPr>
          <w:b/>
          <w:bCs/>
        </w:rPr>
        <w:t xml:space="preserve">82  mandatami </w:t>
      </w:r>
      <w:r>
        <w:rPr>
          <w:b/>
          <w:bCs/>
        </w:rPr>
        <w:t xml:space="preserve">karnymi na łączną kwotę  20.400,00 </w:t>
      </w:r>
      <w:r w:rsidRPr="00A52ED7">
        <w:rPr>
          <w:b/>
          <w:bCs/>
        </w:rPr>
        <w:t xml:space="preserve">zł. </w:t>
      </w:r>
    </w:p>
    <w:p w:rsidR="00AF0FDB" w:rsidRPr="00A52ED7" w:rsidRDefault="00AF0FDB" w:rsidP="0092096B">
      <w:pPr>
        <w:spacing w:before="0" w:after="0"/>
        <w:jc w:val="both"/>
      </w:pPr>
      <w:r w:rsidRPr="00A52ED7">
        <w:t>Powodem karania przedsiębiorców były:</w:t>
      </w:r>
    </w:p>
    <w:p w:rsidR="00AF0FDB" w:rsidRPr="00A52ED7" w:rsidRDefault="00AF0FDB" w:rsidP="00DF60D5">
      <w:pPr>
        <w:numPr>
          <w:ilvl w:val="0"/>
          <w:numId w:val="2"/>
        </w:numPr>
        <w:spacing w:before="0" w:after="0"/>
        <w:jc w:val="both"/>
        <w:rPr>
          <w:rFonts w:ascii="Arial" w:hAnsi="Arial" w:cs="Arial"/>
          <w:b/>
          <w:bCs/>
        </w:rPr>
      </w:pPr>
      <w:r w:rsidRPr="00A52ED7">
        <w:t xml:space="preserve">niedostateczny bieżący stan sanitarno – higieniczny i techniczny, </w:t>
      </w:r>
    </w:p>
    <w:p w:rsidR="00AF0FDB" w:rsidRPr="00A52ED7" w:rsidRDefault="00AF0FDB" w:rsidP="00DF60D5">
      <w:pPr>
        <w:numPr>
          <w:ilvl w:val="0"/>
          <w:numId w:val="2"/>
        </w:numPr>
        <w:spacing w:before="0" w:after="0"/>
        <w:jc w:val="both"/>
        <w:rPr>
          <w:rFonts w:ascii="Arial" w:hAnsi="Arial" w:cs="Arial"/>
          <w:b/>
          <w:bCs/>
        </w:rPr>
      </w:pPr>
      <w:r w:rsidRPr="00A52ED7">
        <w:t xml:space="preserve">brak warunków do prowadzenia higienicznego procesu produkcji, </w:t>
      </w:r>
    </w:p>
    <w:p w:rsidR="00AF0FDB" w:rsidRPr="00A52ED7" w:rsidRDefault="00AF0FDB" w:rsidP="00DF60D5">
      <w:pPr>
        <w:numPr>
          <w:ilvl w:val="0"/>
          <w:numId w:val="2"/>
        </w:numPr>
        <w:spacing w:before="0" w:after="0"/>
        <w:jc w:val="both"/>
        <w:rPr>
          <w:rFonts w:ascii="Arial" w:hAnsi="Arial" w:cs="Arial"/>
          <w:b/>
          <w:bCs/>
        </w:rPr>
      </w:pPr>
      <w:r w:rsidRPr="00A52ED7">
        <w:t xml:space="preserve">brak możliwości identyfikacji surowców, </w:t>
      </w:r>
    </w:p>
    <w:p w:rsidR="00AF0FDB" w:rsidRPr="00A52ED7" w:rsidRDefault="00AF0FDB" w:rsidP="00DF60D5">
      <w:pPr>
        <w:numPr>
          <w:ilvl w:val="0"/>
          <w:numId w:val="2"/>
        </w:numPr>
        <w:spacing w:before="0" w:after="0"/>
        <w:jc w:val="both"/>
        <w:rPr>
          <w:rFonts w:ascii="Arial" w:hAnsi="Arial" w:cs="Arial"/>
          <w:b/>
          <w:bCs/>
        </w:rPr>
      </w:pPr>
      <w:r w:rsidRPr="00A52ED7">
        <w:t xml:space="preserve">stosowanie przeterminowanych surowców i półproduktów do sporządzania wyrobu gotowego, </w:t>
      </w:r>
    </w:p>
    <w:p w:rsidR="00AF0FDB" w:rsidRPr="00A52ED7" w:rsidRDefault="00AF0FDB" w:rsidP="00DF60D5">
      <w:pPr>
        <w:numPr>
          <w:ilvl w:val="0"/>
          <w:numId w:val="2"/>
        </w:numPr>
        <w:spacing w:before="0" w:after="0"/>
        <w:jc w:val="both"/>
        <w:rPr>
          <w:rFonts w:ascii="Arial" w:hAnsi="Arial" w:cs="Arial"/>
          <w:b/>
          <w:bCs/>
        </w:rPr>
      </w:pPr>
      <w:r w:rsidRPr="00A52ED7">
        <w:t xml:space="preserve">brak prowadzonych zapisów wynikających ze stosowanych systemów jakości, </w:t>
      </w:r>
    </w:p>
    <w:p w:rsidR="00AF0FDB" w:rsidRPr="00A52ED7" w:rsidRDefault="00AF0FDB" w:rsidP="00DF60D5">
      <w:pPr>
        <w:numPr>
          <w:ilvl w:val="0"/>
          <w:numId w:val="2"/>
        </w:numPr>
        <w:spacing w:before="0" w:after="0"/>
        <w:jc w:val="both"/>
        <w:rPr>
          <w:rFonts w:ascii="Arial" w:hAnsi="Arial" w:cs="Arial"/>
          <w:b/>
          <w:bCs/>
        </w:rPr>
      </w:pPr>
      <w:r w:rsidRPr="00A52ED7">
        <w:t>niewłaściwa higiena osobista (np. brudna odzież),</w:t>
      </w:r>
    </w:p>
    <w:p w:rsidR="00AF0FDB" w:rsidRPr="00A52ED7" w:rsidRDefault="00AF0FDB" w:rsidP="00DF60D5">
      <w:pPr>
        <w:numPr>
          <w:ilvl w:val="0"/>
          <w:numId w:val="2"/>
        </w:numPr>
        <w:spacing w:before="0" w:after="0"/>
        <w:jc w:val="both"/>
        <w:rPr>
          <w:b/>
          <w:bCs/>
        </w:rPr>
      </w:pPr>
      <w:r w:rsidRPr="00A52ED7">
        <w:t>brak orzeczeń lekarskich do celów sanitarno - epidemiologicznych pracowników.</w:t>
      </w:r>
    </w:p>
    <w:p w:rsidR="00AF0FDB" w:rsidRPr="00A52ED7" w:rsidRDefault="00AF0FDB" w:rsidP="0092096B">
      <w:pPr>
        <w:spacing w:before="0" w:after="0"/>
        <w:ind w:left="720"/>
        <w:jc w:val="both"/>
        <w:rPr>
          <w:b/>
          <w:bCs/>
        </w:rPr>
      </w:pPr>
    </w:p>
    <w:p w:rsidR="00AF0FDB" w:rsidRPr="00A52ED7" w:rsidRDefault="00AF0FDB" w:rsidP="00DD7056">
      <w:pPr>
        <w:suppressAutoHyphens/>
        <w:autoSpaceDN w:val="0"/>
        <w:spacing w:before="0" w:after="0"/>
        <w:jc w:val="both"/>
        <w:textAlignment w:val="baseline"/>
        <w:rPr>
          <w:kern w:val="3"/>
          <w:lang w:eastAsia="ar-SA"/>
        </w:rPr>
      </w:pPr>
      <w:r w:rsidRPr="00A52ED7">
        <w:rPr>
          <w:b/>
          <w:bCs/>
          <w:kern w:val="3"/>
          <w:lang w:eastAsia="ar-SA"/>
        </w:rPr>
        <w:t xml:space="preserve">Zamknięto 1 </w:t>
      </w:r>
      <w:r>
        <w:rPr>
          <w:b/>
          <w:bCs/>
          <w:kern w:val="3"/>
          <w:lang w:eastAsia="ar-SA"/>
        </w:rPr>
        <w:t xml:space="preserve">zakład cateringowy oraz 1 </w:t>
      </w:r>
      <w:r w:rsidRPr="00A52ED7">
        <w:rPr>
          <w:b/>
          <w:bCs/>
          <w:kern w:val="3"/>
          <w:lang w:eastAsia="ar-SA"/>
        </w:rPr>
        <w:t xml:space="preserve">zakład produkcji kanapek </w:t>
      </w:r>
      <w:r w:rsidRPr="00A52ED7">
        <w:rPr>
          <w:kern w:val="3"/>
          <w:lang w:eastAsia="ar-SA"/>
        </w:rPr>
        <w:t>w związku z obecnością śladów gryzoni i owadów oraz brakiem udokumentowania właściwej wentylacji lokalu a także prawidłowej jakości wody używanej do celów produkcyjnych .</w:t>
      </w:r>
    </w:p>
    <w:p w:rsidR="00AF0FDB" w:rsidRPr="00A52ED7" w:rsidRDefault="00AF0FDB" w:rsidP="00DD7056">
      <w:pPr>
        <w:spacing w:before="0" w:after="0"/>
        <w:jc w:val="both"/>
        <w:rPr>
          <w:b/>
          <w:bCs/>
        </w:rPr>
      </w:pPr>
      <w:r w:rsidRPr="00A52ED7">
        <w:t xml:space="preserve"> Zakłady, które podczas kontroli uznano za </w:t>
      </w:r>
      <w:r w:rsidRPr="00A52ED7">
        <w:rPr>
          <w:b/>
          <w:bCs/>
        </w:rPr>
        <w:t>niezgodne</w:t>
      </w:r>
      <w:r w:rsidRPr="00A52ED7">
        <w:t xml:space="preserve"> z obowiązującymi przepisami to </w:t>
      </w:r>
      <w:r>
        <w:rPr>
          <w:b/>
          <w:bCs/>
        </w:rPr>
        <w:t xml:space="preserve">1 </w:t>
      </w:r>
      <w:r w:rsidRPr="00A52ED7">
        <w:rPr>
          <w:b/>
          <w:bCs/>
        </w:rPr>
        <w:t>wytwórnia lodów, 5 piekarni, 3 ciastkarnie, 4 wytwórnie cateringowe</w:t>
      </w:r>
      <w:r w:rsidRPr="00A52ED7">
        <w:t>. Powodem dyskwalifikacji  był przede wszystkim brak aktualnych badań lekarskich personelu.</w:t>
      </w:r>
    </w:p>
    <w:p w:rsidR="00AF0FDB" w:rsidRPr="00A52ED7" w:rsidRDefault="00AF0FDB" w:rsidP="0092096B">
      <w:pPr>
        <w:spacing w:before="0" w:after="0"/>
        <w:jc w:val="both"/>
      </w:pPr>
    </w:p>
    <w:p w:rsidR="00AF0FDB" w:rsidRPr="009451E5" w:rsidRDefault="00AF0FDB" w:rsidP="009451E5">
      <w:pPr>
        <w:pStyle w:val="Heading1"/>
        <w:rPr>
          <w:rFonts w:ascii="Times New Roman" w:hAnsi="Times New Roman" w:cs="Times New Roman"/>
          <w:sz w:val="24"/>
          <w:szCs w:val="24"/>
        </w:rPr>
      </w:pPr>
      <w:bookmarkStart w:id="349" w:name="_Toc938880"/>
      <w:r w:rsidRPr="009451E5">
        <w:rPr>
          <w:rFonts w:ascii="Times New Roman" w:hAnsi="Times New Roman" w:cs="Times New Roman"/>
          <w:sz w:val="24"/>
          <w:szCs w:val="24"/>
        </w:rPr>
        <w:t>Zakłady żywienia</w:t>
      </w:r>
      <w:bookmarkEnd w:id="349"/>
    </w:p>
    <w:p w:rsidR="00AF0FDB" w:rsidRPr="00DD2EA5" w:rsidRDefault="00AF0FDB" w:rsidP="0092096B">
      <w:pPr>
        <w:spacing w:before="0" w:after="0"/>
        <w:jc w:val="both"/>
        <w:rPr>
          <w:rFonts w:ascii="Arial" w:hAnsi="Arial" w:cs="Arial"/>
          <w:b/>
          <w:bCs/>
          <w:color w:val="FF0000"/>
        </w:rPr>
      </w:pPr>
    </w:p>
    <w:p w:rsidR="00AF0FDB" w:rsidRPr="00A52ED7" w:rsidRDefault="00AF0FDB" w:rsidP="0092096B">
      <w:pPr>
        <w:spacing w:before="0" w:after="0"/>
        <w:jc w:val="both"/>
      </w:pPr>
      <w:r w:rsidRPr="00A52ED7">
        <w:t xml:space="preserve">W 2018 roku przeprowadzono </w:t>
      </w:r>
      <w:r w:rsidRPr="00A52ED7">
        <w:rPr>
          <w:b/>
          <w:bCs/>
        </w:rPr>
        <w:t>1495 kontroli.</w:t>
      </w:r>
    </w:p>
    <w:p w:rsidR="00AF0FDB" w:rsidRPr="00A52ED7" w:rsidRDefault="00AF0FDB" w:rsidP="0092096B">
      <w:pPr>
        <w:spacing w:before="0" w:after="0"/>
        <w:jc w:val="both"/>
        <w:rPr>
          <w:b/>
          <w:bCs/>
        </w:rPr>
      </w:pPr>
      <w:r w:rsidRPr="00DD7056">
        <w:t>Między innymi</w:t>
      </w:r>
      <w:r>
        <w:rPr>
          <w:b/>
          <w:bCs/>
        </w:rPr>
        <w:t xml:space="preserve"> </w:t>
      </w:r>
      <w:r w:rsidRPr="00A52ED7">
        <w:rPr>
          <w:b/>
          <w:bCs/>
        </w:rPr>
        <w:t xml:space="preserve">11  zakładów </w:t>
      </w:r>
      <w:r w:rsidRPr="00A52ED7">
        <w:t xml:space="preserve">zdyskwalifikowano pod względem sanitarnym – </w:t>
      </w:r>
      <w:r w:rsidRPr="00A52ED7">
        <w:rPr>
          <w:b/>
          <w:bCs/>
        </w:rPr>
        <w:t>1 stołówkę pracowniczą, 9 restauracji i 1 zakład małej gastronomii.</w:t>
      </w:r>
    </w:p>
    <w:p w:rsidR="00AF0FDB" w:rsidRPr="00A52ED7" w:rsidRDefault="00AF0FDB" w:rsidP="0092096B">
      <w:pPr>
        <w:spacing w:before="0" w:after="0"/>
        <w:jc w:val="both"/>
      </w:pPr>
      <w:r w:rsidRPr="00A52ED7">
        <w:t>Przyczyny dyskwalifikacji  zakładów to:</w:t>
      </w:r>
    </w:p>
    <w:p w:rsidR="00AF0FDB" w:rsidRPr="00A52ED7" w:rsidRDefault="00AF0FDB" w:rsidP="00DF60D5">
      <w:pPr>
        <w:numPr>
          <w:ilvl w:val="1"/>
          <w:numId w:val="3"/>
        </w:numPr>
        <w:spacing w:before="0" w:after="200"/>
        <w:contextualSpacing/>
        <w:jc w:val="both"/>
        <w:rPr>
          <w:lang w:eastAsia="en-US"/>
        </w:rPr>
      </w:pPr>
      <w:r w:rsidRPr="00A52ED7">
        <w:rPr>
          <w:lang w:eastAsia="en-US"/>
        </w:rPr>
        <w:t>brak prawidłowego zabezpieczenia przez szkodnikami (gryzonie, owady)</w:t>
      </w:r>
      <w:r>
        <w:rPr>
          <w:lang w:eastAsia="en-US"/>
        </w:rPr>
        <w:t>,</w:t>
      </w:r>
    </w:p>
    <w:p w:rsidR="00AF0FDB" w:rsidRPr="00A52ED7" w:rsidRDefault="00AF0FDB" w:rsidP="00DF60D5">
      <w:pPr>
        <w:numPr>
          <w:ilvl w:val="1"/>
          <w:numId w:val="3"/>
        </w:numPr>
        <w:spacing w:before="0" w:after="200"/>
        <w:contextualSpacing/>
        <w:jc w:val="both"/>
        <w:rPr>
          <w:lang w:eastAsia="en-US"/>
        </w:rPr>
      </w:pPr>
      <w:r w:rsidRPr="00A52ED7">
        <w:rPr>
          <w:lang w:eastAsia="en-US"/>
        </w:rPr>
        <w:t>zły stan sanitarno- higieniczny sprzętów i wyposażenia w kuchni (brudne lub zniszczone sprzęty produkcyjne i wyposażenie kuchenne),</w:t>
      </w:r>
    </w:p>
    <w:p w:rsidR="00AF0FDB" w:rsidRPr="007700F4" w:rsidRDefault="00AF0FDB" w:rsidP="00DF60D5">
      <w:pPr>
        <w:numPr>
          <w:ilvl w:val="1"/>
          <w:numId w:val="3"/>
        </w:numPr>
        <w:spacing w:before="0" w:after="200"/>
        <w:contextualSpacing/>
        <w:jc w:val="both"/>
        <w:rPr>
          <w:lang w:eastAsia="en-US"/>
        </w:rPr>
      </w:pPr>
      <w:r w:rsidRPr="007700F4">
        <w:rPr>
          <w:lang w:eastAsia="en-US"/>
        </w:rPr>
        <w:t>nieprawidłowe przechowywanie środków spożywczych (brak segregacji żywności i zachowania ciągłości łańcucha chłodniczego),</w:t>
      </w:r>
    </w:p>
    <w:p w:rsidR="00AF0FDB" w:rsidRPr="007700F4" w:rsidRDefault="00AF0FDB" w:rsidP="00DF60D5">
      <w:pPr>
        <w:numPr>
          <w:ilvl w:val="1"/>
          <w:numId w:val="3"/>
        </w:numPr>
        <w:spacing w:before="0" w:after="200"/>
        <w:contextualSpacing/>
        <w:jc w:val="both"/>
        <w:rPr>
          <w:lang w:eastAsia="en-US"/>
        </w:rPr>
      </w:pPr>
      <w:r w:rsidRPr="007700F4">
        <w:rPr>
          <w:lang w:eastAsia="en-US"/>
        </w:rPr>
        <w:t>niewłaściwa higiena osobista personelu,</w:t>
      </w:r>
    </w:p>
    <w:p w:rsidR="00AF0FDB" w:rsidRPr="007700F4" w:rsidRDefault="00AF0FDB" w:rsidP="00DF60D5">
      <w:pPr>
        <w:numPr>
          <w:ilvl w:val="1"/>
          <w:numId w:val="3"/>
        </w:numPr>
        <w:spacing w:before="0" w:after="200"/>
        <w:contextualSpacing/>
        <w:jc w:val="both"/>
        <w:rPr>
          <w:lang w:eastAsia="en-US"/>
        </w:rPr>
      </w:pPr>
      <w:r w:rsidRPr="007700F4">
        <w:rPr>
          <w:lang w:eastAsia="en-US"/>
        </w:rPr>
        <w:t>brak badań lekarskich pracowników.</w:t>
      </w:r>
    </w:p>
    <w:p w:rsidR="00AF0FDB" w:rsidRPr="007700F4" w:rsidRDefault="00AF0FDB" w:rsidP="0092096B">
      <w:pPr>
        <w:spacing w:before="0" w:after="200"/>
        <w:ind w:left="1418"/>
        <w:contextualSpacing/>
        <w:jc w:val="both"/>
        <w:rPr>
          <w:rFonts w:ascii="Calibri" w:hAnsi="Calibri"/>
          <w:sz w:val="22"/>
          <w:szCs w:val="22"/>
          <w:lang w:eastAsia="en-US"/>
        </w:rPr>
      </w:pPr>
    </w:p>
    <w:p w:rsidR="00AF0FDB" w:rsidRPr="007700F4" w:rsidRDefault="00AF0FDB" w:rsidP="0092096B">
      <w:pPr>
        <w:spacing w:after="200"/>
        <w:contextualSpacing/>
        <w:jc w:val="both"/>
        <w:rPr>
          <w:lang w:eastAsia="en-US"/>
        </w:rPr>
      </w:pPr>
      <w:r w:rsidRPr="007700F4">
        <w:rPr>
          <w:b/>
          <w:bCs/>
          <w:lang w:eastAsia="en-US"/>
        </w:rPr>
        <w:t>Unieruchomiono 10 lokali gastronomicznych</w:t>
      </w:r>
      <w:r w:rsidRPr="007700F4">
        <w:rPr>
          <w:lang w:eastAsia="en-US"/>
        </w:rPr>
        <w:t xml:space="preserve">   z uwagi na prowadzenie działalności pomimo braku zgody organów inspekcji sanitarnej, brak bieżącej wody lub wody o właściwej jakości zdrowotnej, antysanitarne warunki produkcji, brak badań lekarskich personelu.</w:t>
      </w:r>
    </w:p>
    <w:p w:rsidR="00AF0FDB" w:rsidRPr="007700F4" w:rsidRDefault="00AF0FDB" w:rsidP="0092096B">
      <w:pPr>
        <w:spacing w:before="0" w:after="0"/>
        <w:jc w:val="both"/>
        <w:rPr>
          <w:b/>
          <w:bCs/>
        </w:rPr>
      </w:pPr>
      <w:r w:rsidRPr="007700F4">
        <w:t xml:space="preserve">Nałożono </w:t>
      </w:r>
      <w:r w:rsidRPr="007700F4">
        <w:rPr>
          <w:b/>
          <w:bCs/>
        </w:rPr>
        <w:t>78 mandatów  na kwotę 25.700</w:t>
      </w:r>
      <w:r w:rsidRPr="007700F4">
        <w:t xml:space="preserve"> </w:t>
      </w:r>
      <w:r>
        <w:rPr>
          <w:b/>
          <w:bCs/>
        </w:rPr>
        <w:t>zł</w:t>
      </w:r>
      <w:r w:rsidRPr="007700F4">
        <w:rPr>
          <w:b/>
          <w:bCs/>
        </w:rPr>
        <w:t xml:space="preserve"> </w:t>
      </w:r>
      <w:r w:rsidRPr="007700F4">
        <w:t>za takie nieprawidłowości jak:</w:t>
      </w:r>
    </w:p>
    <w:p w:rsidR="00AF0FDB" w:rsidRPr="007700F4" w:rsidRDefault="00AF0FDB" w:rsidP="00DF60D5">
      <w:pPr>
        <w:numPr>
          <w:ilvl w:val="1"/>
          <w:numId w:val="3"/>
        </w:numPr>
        <w:spacing w:before="0" w:after="200"/>
        <w:contextualSpacing/>
        <w:jc w:val="both"/>
        <w:rPr>
          <w:lang w:eastAsia="en-US"/>
        </w:rPr>
      </w:pPr>
      <w:r w:rsidRPr="007700F4">
        <w:rPr>
          <w:sz w:val="22"/>
          <w:szCs w:val="22"/>
          <w:lang w:eastAsia="en-US"/>
        </w:rPr>
        <w:t>brak bieżącej zimnej i ciepłej wody,</w:t>
      </w:r>
    </w:p>
    <w:p w:rsidR="00AF0FDB" w:rsidRPr="007700F4" w:rsidRDefault="00AF0FDB" w:rsidP="00DF60D5">
      <w:pPr>
        <w:numPr>
          <w:ilvl w:val="1"/>
          <w:numId w:val="3"/>
        </w:numPr>
        <w:spacing w:before="0" w:after="200"/>
        <w:contextualSpacing/>
        <w:jc w:val="both"/>
        <w:rPr>
          <w:lang w:eastAsia="en-US"/>
        </w:rPr>
      </w:pPr>
      <w:r w:rsidRPr="007700F4">
        <w:rPr>
          <w:lang w:eastAsia="en-US"/>
        </w:rPr>
        <w:t>zły stan sanitarno- higieniczny sprzętów i wyposażenia w kuchni (brudne lub zniszczone sprzęty produkcyjne i wyposażenie kuchenne),</w:t>
      </w:r>
    </w:p>
    <w:p w:rsidR="00AF0FDB" w:rsidRPr="007700F4" w:rsidRDefault="00AF0FDB" w:rsidP="00DF60D5">
      <w:pPr>
        <w:numPr>
          <w:ilvl w:val="1"/>
          <w:numId w:val="3"/>
        </w:numPr>
        <w:spacing w:before="0" w:after="200"/>
        <w:contextualSpacing/>
        <w:jc w:val="both"/>
        <w:rPr>
          <w:lang w:eastAsia="en-US"/>
        </w:rPr>
      </w:pPr>
      <w:r w:rsidRPr="007700F4">
        <w:rPr>
          <w:lang w:eastAsia="en-US"/>
        </w:rPr>
        <w:t>nieprawidłowe przechowywanie środków spożywczych (brak segregacji żywności),</w:t>
      </w:r>
    </w:p>
    <w:p w:rsidR="00AF0FDB" w:rsidRPr="007700F4" w:rsidRDefault="00AF0FDB" w:rsidP="00DF60D5">
      <w:pPr>
        <w:numPr>
          <w:ilvl w:val="1"/>
          <w:numId w:val="3"/>
        </w:numPr>
        <w:spacing w:before="0" w:after="200"/>
        <w:contextualSpacing/>
        <w:jc w:val="both"/>
        <w:rPr>
          <w:lang w:eastAsia="en-US"/>
        </w:rPr>
      </w:pPr>
      <w:r w:rsidRPr="007700F4">
        <w:rPr>
          <w:lang w:eastAsia="en-US"/>
        </w:rPr>
        <w:t>przeterminowane środki spożywcze .</w:t>
      </w:r>
    </w:p>
    <w:p w:rsidR="00AF0FDB" w:rsidRPr="007700F4" w:rsidRDefault="00AF0FDB" w:rsidP="0092096B">
      <w:pPr>
        <w:spacing w:before="0" w:after="0"/>
        <w:jc w:val="both"/>
        <w:rPr>
          <w:b/>
          <w:bCs/>
        </w:rPr>
      </w:pPr>
    </w:p>
    <w:p w:rsidR="00AF0FDB" w:rsidRPr="007700F4" w:rsidRDefault="00AF0FDB" w:rsidP="0092096B">
      <w:pPr>
        <w:spacing w:before="0" w:after="0"/>
        <w:jc w:val="both"/>
        <w:rPr>
          <w:b/>
          <w:bCs/>
        </w:rPr>
      </w:pPr>
      <w:r w:rsidRPr="007700F4">
        <w:rPr>
          <w:b/>
          <w:bCs/>
        </w:rPr>
        <w:t>Nadzór nad importem środków spożywczych oraz materiałów i wyrobów do kontaktu z żywnością</w:t>
      </w:r>
    </w:p>
    <w:p w:rsidR="00AF0FDB" w:rsidRPr="007700F4" w:rsidRDefault="00AF0FDB" w:rsidP="0092096B">
      <w:pPr>
        <w:spacing w:before="0" w:after="0"/>
        <w:jc w:val="both"/>
      </w:pPr>
    </w:p>
    <w:p w:rsidR="00AF0FDB" w:rsidRPr="007700F4" w:rsidRDefault="00AF0FDB" w:rsidP="0018486D">
      <w:pPr>
        <w:spacing w:before="0" w:after="0"/>
        <w:jc w:val="both"/>
      </w:pPr>
      <w:r w:rsidRPr="007700F4">
        <w:t xml:space="preserve">W ramach prowadzonego nadzoru nad importem środków spożywczych oraz przedmiotów i materiałów do kontaktu z żywnością ogółem wydano </w:t>
      </w:r>
      <w:r w:rsidRPr="007700F4">
        <w:rPr>
          <w:b/>
          <w:bCs/>
        </w:rPr>
        <w:t xml:space="preserve">1640 świadectw importowych, </w:t>
      </w:r>
      <w:r w:rsidRPr="007700F4">
        <w:t>w tym</w:t>
      </w:r>
      <w:r w:rsidRPr="007700F4">
        <w:rPr>
          <w:b/>
          <w:bCs/>
        </w:rPr>
        <w:t xml:space="preserve"> </w:t>
      </w:r>
      <w:r w:rsidRPr="007700F4">
        <w:t>dla śr</w:t>
      </w:r>
      <w:r>
        <w:t>odków spożywczych 1045 świadectw</w:t>
      </w:r>
      <w:r w:rsidRPr="007700F4">
        <w:t>, z czego 89 stanowiły dopuszczenia do obrotu na podstawie potwierdzenia dokumentu CED natomiast dla materiałów i wyrobów do kontaktu z żywnością były to 594 świadectwa. Wydano 1 świadectwo o niespełnieniu wymagań zdrowotnych dla materiałów i wyrobów do kontaktu z żywnością.</w:t>
      </w:r>
    </w:p>
    <w:p w:rsidR="00AF0FDB" w:rsidRPr="007700F4" w:rsidRDefault="00AF0FDB" w:rsidP="0018486D">
      <w:pPr>
        <w:spacing w:before="0" w:after="0"/>
        <w:jc w:val="both"/>
      </w:pPr>
      <w:r w:rsidRPr="007700F4">
        <w:rPr>
          <w:b/>
          <w:bCs/>
        </w:rPr>
        <w:t>Łącznie w 2018 roku przeprowadzono 1649 kontroli, podczas których oceniono 3419 partii żywności i 2868 partii materiałów i wyrobów do kontaktu z żywnością.</w:t>
      </w:r>
      <w:r w:rsidRPr="007700F4">
        <w:tab/>
      </w:r>
    </w:p>
    <w:p w:rsidR="00AF0FDB" w:rsidRDefault="00AF0FDB" w:rsidP="0018486D">
      <w:pPr>
        <w:spacing w:before="0" w:after="0"/>
        <w:jc w:val="both"/>
        <w:rPr>
          <w:b/>
          <w:bCs/>
        </w:rPr>
      </w:pPr>
      <w:r w:rsidRPr="007700F4">
        <w:rPr>
          <w:b/>
          <w:bCs/>
        </w:rPr>
        <w:t xml:space="preserve">Dodatkowo negatywnie rozpatrzono lub anulowano 16 wniosków. </w:t>
      </w:r>
    </w:p>
    <w:p w:rsidR="00AF0FDB" w:rsidRPr="007700F4" w:rsidRDefault="00AF0FDB" w:rsidP="0018486D">
      <w:pPr>
        <w:spacing w:before="0" w:after="0"/>
        <w:jc w:val="both"/>
      </w:pPr>
      <w:r w:rsidRPr="007700F4">
        <w:t>W następujących przypadkach nie wydano świadectw:</w:t>
      </w:r>
    </w:p>
    <w:p w:rsidR="00AF0FDB" w:rsidRPr="007700F4" w:rsidRDefault="00AF0FDB" w:rsidP="0092096B">
      <w:pPr>
        <w:spacing w:before="0" w:after="0"/>
        <w:ind w:firstLine="708"/>
        <w:jc w:val="both"/>
      </w:pPr>
      <w:r w:rsidRPr="007700F4">
        <w:t xml:space="preserve">- </w:t>
      </w:r>
      <w:r>
        <w:t xml:space="preserve"> towary </w:t>
      </w:r>
      <w:r w:rsidRPr="007700F4">
        <w:t xml:space="preserve">sanitarnie </w:t>
      </w:r>
      <w:r>
        <w:t xml:space="preserve">zostały </w:t>
      </w:r>
      <w:r w:rsidRPr="007700F4">
        <w:t>odprawione wcześniej na granicy UE,</w:t>
      </w:r>
    </w:p>
    <w:p w:rsidR="00AF0FDB" w:rsidRPr="007700F4" w:rsidRDefault="00AF0FDB" w:rsidP="003A63E1">
      <w:pPr>
        <w:spacing w:before="0" w:after="0"/>
        <w:ind w:left="993" w:hanging="285"/>
        <w:jc w:val="both"/>
      </w:pPr>
      <w:r>
        <w:t xml:space="preserve">- </w:t>
      </w:r>
      <w:r w:rsidRPr="007700F4">
        <w:t>powinny przejść graniczną kontrolę sanitarną w innych właściwych terenowo jednostkach,</w:t>
      </w:r>
    </w:p>
    <w:p w:rsidR="00AF0FDB" w:rsidRPr="007700F4" w:rsidRDefault="00AF0FDB" w:rsidP="003A63E1">
      <w:pPr>
        <w:spacing w:before="0" w:after="0"/>
        <w:ind w:left="851" w:hanging="143"/>
        <w:jc w:val="both"/>
      </w:pPr>
      <w:r w:rsidRPr="007700F4">
        <w:t xml:space="preserve">- importerzy anulowali wnioski i zgłosili towary do odprawy granicznej w innym </w:t>
      </w:r>
      <w:r>
        <w:t xml:space="preserve"> </w:t>
      </w:r>
      <w:r w:rsidRPr="007700F4">
        <w:t>Oddziale Celnym na terenie Rzeczypospolitej Polskiej;</w:t>
      </w:r>
    </w:p>
    <w:p w:rsidR="00AF0FDB" w:rsidRPr="00A31A5A" w:rsidRDefault="00AF0FDB" w:rsidP="003A63E1">
      <w:pPr>
        <w:spacing w:before="0" w:after="0"/>
        <w:ind w:left="851" w:hanging="142"/>
        <w:jc w:val="both"/>
      </w:pPr>
      <w:r w:rsidRPr="007700F4">
        <w:t xml:space="preserve">- importerzy zrezygnowali z wprowadzania na teren Unii Europejskiej zgłoszonych </w:t>
      </w:r>
      <w:r>
        <w:t xml:space="preserve"> </w:t>
      </w:r>
      <w:r w:rsidRPr="007700F4">
        <w:t>towarów i odesłali je do producenta.</w:t>
      </w:r>
    </w:p>
    <w:p w:rsidR="00AF0FDB" w:rsidRPr="009451E5" w:rsidRDefault="00AF0FDB" w:rsidP="009451E5">
      <w:pPr>
        <w:pStyle w:val="Heading1"/>
        <w:rPr>
          <w:rFonts w:ascii="Times New Roman" w:hAnsi="Times New Roman" w:cs="Times New Roman"/>
          <w:sz w:val="24"/>
          <w:szCs w:val="24"/>
        </w:rPr>
      </w:pPr>
      <w:bookmarkStart w:id="350" w:name="_Toc938881"/>
      <w:r w:rsidRPr="009451E5">
        <w:rPr>
          <w:rFonts w:ascii="Times New Roman" w:hAnsi="Times New Roman" w:cs="Times New Roman"/>
          <w:sz w:val="24"/>
          <w:szCs w:val="24"/>
        </w:rPr>
        <w:t>Zakłady produkcji i obrotu kosmetykami i przedmiotami użytku</w:t>
      </w:r>
      <w:bookmarkEnd w:id="350"/>
    </w:p>
    <w:p w:rsidR="00AF0FDB" w:rsidRPr="007700F4" w:rsidRDefault="00AF0FDB" w:rsidP="0092096B">
      <w:pPr>
        <w:spacing w:before="0" w:after="0"/>
        <w:jc w:val="both"/>
        <w:rPr>
          <w:rFonts w:ascii="Arial" w:hAnsi="Arial" w:cs="Arial"/>
          <w:b/>
          <w:bCs/>
        </w:rPr>
      </w:pPr>
    </w:p>
    <w:p w:rsidR="00AF0FDB" w:rsidRPr="007700F4" w:rsidRDefault="00AF0FDB" w:rsidP="0018486D">
      <w:pPr>
        <w:spacing w:before="0" w:after="0"/>
        <w:jc w:val="both"/>
      </w:pPr>
      <w:r w:rsidRPr="007700F4">
        <w:t>W ramach nadzoru nad</w:t>
      </w:r>
      <w:r w:rsidRPr="007700F4">
        <w:rPr>
          <w:b/>
          <w:bCs/>
          <w:i/>
          <w:iCs/>
        </w:rPr>
        <w:t xml:space="preserve"> </w:t>
      </w:r>
      <w:r w:rsidRPr="007700F4">
        <w:t>materiałami i wyrobami przeznaczonymi do kontaktu z żywnością</w:t>
      </w:r>
      <w:r w:rsidRPr="007700F4">
        <w:rPr>
          <w:b/>
          <w:bCs/>
          <w:i/>
          <w:iCs/>
        </w:rPr>
        <w:t xml:space="preserve"> </w:t>
      </w:r>
      <w:r w:rsidRPr="007700F4">
        <w:t xml:space="preserve">skontrolowano </w:t>
      </w:r>
      <w:r w:rsidRPr="007700F4">
        <w:rPr>
          <w:b/>
          <w:bCs/>
        </w:rPr>
        <w:t>5 wytwórni oraz 9 miejsc obrotu</w:t>
      </w:r>
      <w:r w:rsidRPr="007700F4">
        <w:t xml:space="preserve">. Pobrano do badań laboratoryjnych w ramach kontroli urzędowej </w:t>
      </w:r>
      <w:r w:rsidRPr="007700F4">
        <w:rPr>
          <w:b/>
          <w:bCs/>
        </w:rPr>
        <w:t>14 próbek</w:t>
      </w:r>
      <w:r w:rsidRPr="007700F4">
        <w:t xml:space="preserve"> wyrobów do kontaktu z żywnością. Żadna z nich nie została zakwestionowana.</w:t>
      </w:r>
    </w:p>
    <w:p w:rsidR="00AF0FDB" w:rsidRPr="007700F4" w:rsidRDefault="00AF0FDB" w:rsidP="0092096B">
      <w:pPr>
        <w:spacing w:before="0" w:after="0"/>
        <w:jc w:val="both"/>
        <w:outlineLvl w:val="0"/>
      </w:pPr>
    </w:p>
    <w:p w:rsidR="00AF0FDB" w:rsidRPr="0044267B" w:rsidRDefault="00AF0FDB" w:rsidP="0092096B">
      <w:pPr>
        <w:spacing w:before="0" w:after="0"/>
        <w:jc w:val="both"/>
        <w:rPr>
          <w:b/>
          <w:bCs/>
        </w:rPr>
      </w:pPr>
      <w:r w:rsidRPr="007700F4">
        <w:t xml:space="preserve"> W ramach prowadzonego nadzoru nad kosmetykami zgodnie z harmonogramem kontroli na 2018 </w:t>
      </w:r>
      <w:r>
        <w:t xml:space="preserve">rok </w:t>
      </w:r>
      <w:r w:rsidRPr="007700F4">
        <w:t xml:space="preserve">przeprowadzono łącznie </w:t>
      </w:r>
      <w:r>
        <w:rPr>
          <w:b/>
          <w:bCs/>
        </w:rPr>
        <w:t xml:space="preserve">22 kontrole sanitarne </w:t>
      </w:r>
      <w:r w:rsidRPr="007700F4">
        <w:rPr>
          <w:b/>
          <w:bCs/>
        </w:rPr>
        <w:t xml:space="preserve"> </w:t>
      </w:r>
      <w:r w:rsidRPr="007700F4">
        <w:t xml:space="preserve">-  w wytwórniach kosmetyków oraz  w miejscach obrotu kosmetykami (hurtownie). </w:t>
      </w:r>
    </w:p>
    <w:p w:rsidR="00AF0FDB" w:rsidRPr="007700F4" w:rsidRDefault="00AF0FDB" w:rsidP="0092096B">
      <w:pPr>
        <w:spacing w:before="0" w:after="0"/>
        <w:jc w:val="both"/>
      </w:pPr>
      <w:r w:rsidRPr="007700F4">
        <w:t xml:space="preserve">W ramach </w:t>
      </w:r>
      <w:r w:rsidRPr="007700F4">
        <w:rPr>
          <w:b/>
          <w:bCs/>
        </w:rPr>
        <w:t>3 kontroli urzędowych z poborem próbek</w:t>
      </w:r>
      <w:r w:rsidRPr="007700F4">
        <w:t xml:space="preserve"> pobrano do badań laboratoryjnych 3 próbki wyrobów kosmetycznych. Żadna próbka nie została kwestionowana.  </w:t>
      </w:r>
    </w:p>
    <w:p w:rsidR="00AF0FDB" w:rsidRPr="007700F4" w:rsidRDefault="00AF0FDB" w:rsidP="0092096B">
      <w:pPr>
        <w:spacing w:before="0" w:after="0"/>
        <w:jc w:val="both"/>
      </w:pPr>
      <w:r w:rsidRPr="007700F4">
        <w:t xml:space="preserve">   </w:t>
      </w:r>
    </w:p>
    <w:p w:rsidR="00AF0FDB" w:rsidRPr="007700F4" w:rsidRDefault="00AF0FDB" w:rsidP="0092096B">
      <w:pPr>
        <w:spacing w:before="0" w:after="0"/>
        <w:jc w:val="both"/>
        <w:rPr>
          <w:b/>
          <w:bCs/>
        </w:rPr>
      </w:pPr>
      <w:r w:rsidRPr="007700F4">
        <w:rPr>
          <w:b/>
          <w:bCs/>
        </w:rPr>
        <w:t>Podsumowanie</w:t>
      </w:r>
    </w:p>
    <w:p w:rsidR="00AF0FDB" w:rsidRPr="007700F4" w:rsidRDefault="00AF0FDB" w:rsidP="0092096B">
      <w:pPr>
        <w:spacing w:before="0" w:after="0"/>
        <w:jc w:val="both"/>
      </w:pPr>
      <w:r w:rsidRPr="007700F4">
        <w:rPr>
          <w:noProof/>
        </w:rPr>
        <w:t>W 2018 roku kontynuowano wzmożone kontrole zakładów cateringowych,</w:t>
      </w:r>
      <w:r w:rsidRPr="007700F4">
        <w:t xml:space="preserve"> ze szczególnym uwzględnieniem produkcji i dystrybucji posiłków dla uczniów jak i dzieci w przedszkolach i żłobkach a także pensjonariuszy domów pomocy społecznej czy pacjentów w szpitalach. Kontrole wykazały poprawę w kwestii żywienia dzieci  w przedszkolach, natomiast w żłobkach oraz szpitalach czy domach pomocy  tak jak w ubiegłym roku sprawozdawczym wykazano brak weryfikacji  jadłospisów pod kątem spełnienia wymagań w stosunku do aktualnych norm żywienia a tym samym niedostosowanie się przedsiębiorców do wymogów w nich zawartych.</w:t>
      </w:r>
    </w:p>
    <w:p w:rsidR="00AF0FDB" w:rsidRPr="007700F4" w:rsidRDefault="00AF0FDB" w:rsidP="0092096B">
      <w:pPr>
        <w:spacing w:before="0" w:after="0"/>
        <w:jc w:val="both"/>
      </w:pPr>
      <w:r w:rsidRPr="007700F4">
        <w:t>W odniesieniu do kuchni macierzystych, prowadzących samodzielnie produkcję dań w tych  placówkach, zanotowano dalszy spadek   nieprawidłowości.</w:t>
      </w:r>
    </w:p>
    <w:p w:rsidR="00AF0FDB" w:rsidRPr="007700F4" w:rsidRDefault="00AF0FDB" w:rsidP="0092096B">
      <w:pPr>
        <w:spacing w:before="0" w:after="0"/>
        <w:jc w:val="both"/>
      </w:pPr>
      <w:r w:rsidRPr="007700F4">
        <w:t xml:space="preserve">W opisywanym roku sprawozdawczym w zakładach produkcji żywności zanotowano </w:t>
      </w:r>
      <w:r w:rsidRPr="007700F4">
        <w:rPr>
          <w:b/>
          <w:bCs/>
        </w:rPr>
        <w:t>wzrost ilości mandatów – z 54 w 2017</w:t>
      </w:r>
      <w:r>
        <w:rPr>
          <w:b/>
          <w:bCs/>
        </w:rPr>
        <w:t>r.</w:t>
      </w:r>
      <w:r w:rsidRPr="007700F4">
        <w:rPr>
          <w:b/>
          <w:bCs/>
        </w:rPr>
        <w:t xml:space="preserve"> do 82, to jest  o 51%.</w:t>
      </w:r>
      <w:r w:rsidRPr="007700F4">
        <w:t xml:space="preserve"> Wykroczenia dotyczyły głównie braku czystości sprzętu służącego do przechowywania i produkcji żywności, głównie w piekarniach i ciastkarniach, braku  porządku w pomieszczeniach produkcyjnych, nieaktualnych badań lekarskich pracowników. Sytuacja taka – według wyjaśnień przedsiębiorców – spowodowana jest brakiem personelu do pracy. Z tego względu do czynności produkcyjnych przyjmowane są osoby przypadkowe, często niewykształcone w danej dziedzinie.  W obiektach następuje częsta rotacja pracowników, którym nie zależy na pracy, gdyż w każdej chwili mogą zatrudnić się w innym zakładzie.  </w:t>
      </w:r>
    </w:p>
    <w:p w:rsidR="00AF0FDB" w:rsidRDefault="00AF0FDB" w:rsidP="0092096B">
      <w:pPr>
        <w:spacing w:before="0" w:after="0"/>
        <w:jc w:val="both"/>
        <w:rPr>
          <w:b/>
          <w:bCs/>
        </w:rPr>
      </w:pPr>
      <w:r w:rsidRPr="007700F4">
        <w:t>W działalności  nadzorowej  Oddziału Higieny Żywności, Żywienia i Przedmiotów Użytku zanotowano dalszy</w:t>
      </w:r>
      <w:r w:rsidRPr="007700F4">
        <w:rPr>
          <w:b/>
          <w:bCs/>
        </w:rPr>
        <w:t xml:space="preserve"> wzrost kontroli importowych</w:t>
      </w:r>
      <w:r w:rsidRPr="007700F4">
        <w:t xml:space="preserve"> i wydawanych świadectw uprawniających importerów do wprowadzenia do obrotu środków spożywczych czy wyrobów przeznaczonych do kontaktu z żywnością. </w:t>
      </w:r>
      <w:r w:rsidRPr="007700F4">
        <w:rPr>
          <w:b/>
          <w:bCs/>
        </w:rPr>
        <w:t>W porównaniu do roku 2017</w:t>
      </w:r>
      <w:r w:rsidRPr="007700F4">
        <w:t xml:space="preserve"> ich ilość </w:t>
      </w:r>
      <w:r w:rsidRPr="007700F4">
        <w:rPr>
          <w:b/>
          <w:bCs/>
        </w:rPr>
        <w:t>wzrosła o 17%,</w:t>
      </w:r>
      <w:r w:rsidRPr="007700F4">
        <w:t xml:space="preserve"> natomiast </w:t>
      </w:r>
      <w:r w:rsidRPr="007700F4">
        <w:rPr>
          <w:b/>
          <w:bCs/>
        </w:rPr>
        <w:t>w stosunku do roku 2016 – o ponad 36%.</w:t>
      </w: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Default="00AF0FDB" w:rsidP="00E33894">
      <w:pPr>
        <w:spacing w:before="0" w:after="0"/>
        <w:jc w:val="both"/>
        <w:rPr>
          <w:b/>
          <w:bCs/>
          <w:sz w:val="22"/>
          <w:szCs w:val="22"/>
        </w:rPr>
      </w:pPr>
    </w:p>
    <w:p w:rsidR="00AF0FDB" w:rsidRPr="00E33894" w:rsidRDefault="00AF0FDB" w:rsidP="00E33894">
      <w:pPr>
        <w:spacing w:before="0" w:after="0"/>
        <w:jc w:val="both"/>
        <w:rPr>
          <w:sz w:val="22"/>
          <w:szCs w:val="22"/>
        </w:rPr>
      </w:pPr>
      <w:r w:rsidRPr="00E33894">
        <w:rPr>
          <w:b/>
          <w:bCs/>
          <w:sz w:val="22"/>
          <w:szCs w:val="22"/>
        </w:rPr>
        <w:t>Rys. 1 Liczba wydanych świadectw importowych w latach 2016 – 2018.</w:t>
      </w:r>
    </w:p>
    <w:p w:rsidR="00AF0FDB" w:rsidRPr="00DD2EA5" w:rsidRDefault="00AF0FDB" w:rsidP="001F0059">
      <w:pPr>
        <w:pStyle w:val="ListParagraph"/>
        <w:spacing w:line="360" w:lineRule="auto"/>
        <w:ind w:left="0"/>
        <w:jc w:val="center"/>
        <w:rPr>
          <w:rFonts w:ascii="Times New Roman" w:hAnsi="Times New Roman" w:cs="Times New Roman"/>
          <w:noProof/>
          <w:color w:val="FF0000"/>
          <w:sz w:val="24"/>
          <w:szCs w:val="24"/>
          <w:lang w:eastAsia="pl-PL"/>
        </w:rPr>
      </w:pPr>
      <w:r w:rsidRPr="007168F1">
        <w:rPr>
          <w:noProof/>
          <w:lang w:eastAsia="pl-PL"/>
        </w:rPr>
        <w:pict>
          <v:shape id="Wykres 20" o:spid="_x0000_i1025" type="#_x0000_t75" style="width:311.25pt;height:208.5pt;visibility:visible">
            <v:imagedata r:id="rId12" o:title="" cropbottom="-47f"/>
            <o:lock v:ext="edit" aspectratio="f"/>
          </v:shape>
        </w:pict>
      </w:r>
    </w:p>
    <w:p w:rsidR="00AF0FDB" w:rsidRPr="00DD2EA5" w:rsidRDefault="00AF0FDB" w:rsidP="001F0059">
      <w:pPr>
        <w:jc w:val="both"/>
        <w:rPr>
          <w:color w:val="FF0000"/>
        </w:rPr>
      </w:pPr>
    </w:p>
    <w:p w:rsidR="00AF0FDB" w:rsidRPr="00DD2EA5" w:rsidRDefault="00AF0FDB" w:rsidP="00BA1F4E">
      <w:pPr>
        <w:spacing w:before="0" w:after="160" w:line="259" w:lineRule="auto"/>
        <w:rPr>
          <w:color w:val="FF0000"/>
        </w:rPr>
      </w:pPr>
      <w:bookmarkStart w:id="351" w:name="_Toc412019612"/>
    </w:p>
    <w:p w:rsidR="00AF0FDB" w:rsidRDefault="00AF0FDB" w:rsidP="00FB2ADD">
      <w:pPr>
        <w:pStyle w:val="Heading1"/>
        <w:rPr>
          <w:rFonts w:cs="Times New Roman"/>
        </w:rPr>
      </w:pPr>
    </w:p>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Default="00AF0FDB" w:rsidP="00BA1F4E"/>
    <w:p w:rsidR="00AF0FDB" w:rsidRPr="00BA1F4E" w:rsidRDefault="00AF0FDB" w:rsidP="00BA1F4E"/>
    <w:p w:rsidR="00AF0FDB" w:rsidRPr="00301544" w:rsidRDefault="00AF0FDB" w:rsidP="00301544">
      <w:pPr>
        <w:pStyle w:val="Heading1"/>
      </w:pPr>
      <w:bookmarkStart w:id="352" w:name="_Toc938882"/>
      <w:r w:rsidRPr="00301544">
        <w:t>DZIAŁALNOŚĆ</w:t>
      </w:r>
      <w:r w:rsidRPr="00301544">
        <w:br/>
        <w:t>OŚWIATOWO-ZDROWOTNA</w:t>
      </w:r>
      <w:bookmarkEnd w:id="351"/>
      <w:bookmarkEnd w:id="352"/>
    </w:p>
    <w:p w:rsidR="00AF0FDB" w:rsidRDefault="00AF0FDB">
      <w:pPr>
        <w:spacing w:before="0" w:after="160" w:line="259" w:lineRule="auto"/>
      </w:pPr>
      <w:r>
        <w:br w:type="page"/>
      </w:r>
    </w:p>
    <w:p w:rsidR="00AF0FDB" w:rsidRPr="00350CBC" w:rsidRDefault="00AF0FDB" w:rsidP="00E33894">
      <w:pPr>
        <w:pStyle w:val="Heading1"/>
        <w:spacing w:before="0"/>
        <w:rPr>
          <w:rFonts w:ascii="Times New Roman" w:hAnsi="Times New Roman" w:cs="Times New Roman"/>
          <w:sz w:val="24"/>
          <w:szCs w:val="24"/>
        </w:rPr>
      </w:pPr>
      <w:bookmarkStart w:id="353" w:name="_Toc938883"/>
      <w:r w:rsidRPr="00350CBC">
        <w:rPr>
          <w:rFonts w:ascii="Times New Roman" w:hAnsi="Times New Roman" w:cs="Times New Roman"/>
          <w:sz w:val="24"/>
          <w:szCs w:val="24"/>
        </w:rPr>
        <w:t>Program Ograniczania Zdrowotnych Następstw</w:t>
      </w:r>
      <w:bookmarkEnd w:id="353"/>
      <w:r w:rsidRPr="00350CBC">
        <w:rPr>
          <w:rFonts w:ascii="Times New Roman" w:hAnsi="Times New Roman" w:cs="Times New Roman"/>
          <w:sz w:val="24"/>
          <w:szCs w:val="24"/>
        </w:rPr>
        <w:t xml:space="preserve"> </w:t>
      </w:r>
    </w:p>
    <w:p w:rsidR="00AF0FDB" w:rsidRPr="00350CBC" w:rsidRDefault="00AF0FDB" w:rsidP="00E33894">
      <w:pPr>
        <w:pStyle w:val="Heading1"/>
        <w:spacing w:before="0"/>
        <w:rPr>
          <w:rFonts w:ascii="Times New Roman" w:hAnsi="Times New Roman" w:cs="Times New Roman"/>
          <w:sz w:val="24"/>
          <w:szCs w:val="24"/>
        </w:rPr>
      </w:pPr>
      <w:bookmarkStart w:id="354" w:name="_Toc938884"/>
      <w:r w:rsidRPr="00350CBC">
        <w:rPr>
          <w:rFonts w:ascii="Times New Roman" w:hAnsi="Times New Roman" w:cs="Times New Roman"/>
          <w:sz w:val="24"/>
          <w:szCs w:val="24"/>
        </w:rPr>
        <w:t>Palenia Tytoniu w Polsce</w:t>
      </w:r>
      <w:bookmarkEnd w:id="354"/>
    </w:p>
    <w:p w:rsidR="00AF0FDB" w:rsidRPr="007700F4" w:rsidRDefault="00AF0FDB" w:rsidP="007B5868">
      <w:pPr>
        <w:rPr>
          <w:b/>
          <w:bCs/>
        </w:rPr>
      </w:pPr>
      <w:r w:rsidRPr="007700F4">
        <w:rPr>
          <w:b/>
          <w:bCs/>
        </w:rPr>
        <w:t xml:space="preserve">Przedszkolny Program Edukacji Antynikotynowej „Czyste powietrze wokół nas” </w:t>
      </w:r>
    </w:p>
    <w:p w:rsidR="00AF0FDB" w:rsidRPr="007700F4" w:rsidRDefault="00AF0FDB" w:rsidP="007B5868">
      <w:pPr>
        <w:jc w:val="both"/>
      </w:pPr>
      <w:r w:rsidRPr="007700F4">
        <w:t>W roku szkolnym 2017/2018 zakończono realizację X edycji ogólnopolskiego programu edukacyjnego, którego celem jest wzrost kompetencji rodziców w zakresie ochrony dzieci przed ekspozycją na dym tytoniowy oraz zwiększenie umiejętności dzieci w zakresie radzenia sobie w sytuacjach, gdy przebywają w zadymionych pomieszczeniach lub gdy dorośli palą przy nich tytoń. Wychowawcy pięcio</w:t>
      </w:r>
      <w:r>
        <w:t>-</w:t>
      </w:r>
      <w:r w:rsidRPr="007700F4">
        <w:t xml:space="preserve"> i sześciolatków przeprowadzili zajęcia warsztatowe z dziećmi oraz spotkania edukacyjne z rodzicami. Scenariusze zajęć były również wzbogacane o inne formy aktywizujące dzieci i rodziców np. wycieczki, wspólne prace plastyczne, prezentacje multimedialne i quizy. Programem objęto 4572 dzieci oraz 2553 rodziców ze 119 przedszkoli i szkół podstawowych. Przeprowadzono 72 wizytacje, w ramach których oceniono realizację programu. </w:t>
      </w:r>
    </w:p>
    <w:p w:rsidR="00AF0FDB" w:rsidRPr="007700F4" w:rsidRDefault="00AF0FDB" w:rsidP="007B5868">
      <w:pPr>
        <w:jc w:val="both"/>
      </w:pPr>
      <w:r w:rsidRPr="007700F4">
        <w:t xml:space="preserve">Do kolejnej XI edycji programu przystąpiły 153 placówki. Dla nowych koordynatorów zorganizowano  dwa szkolenia, w których uczestniczyło 16 osób. </w:t>
      </w:r>
    </w:p>
    <w:p w:rsidR="00AF0FDB" w:rsidRPr="007700F4" w:rsidRDefault="00AF0FDB" w:rsidP="007B5868">
      <w:pPr>
        <w:jc w:val="both"/>
      </w:pPr>
      <w:r w:rsidRPr="007700F4">
        <w:t xml:space="preserve">Pracownik PSSE w Poznaniu przeprowadził w Przedszkolu nr 83 w Poznaniu pogadankę na temat skutków ekspozycji dzieci na dym tytoniowy oraz przedstawił założenia realizacji programu „Czyste powietrze wokół nas”. Dla chętnych rodziców zorganizowano pomiar tlenku węgla w wydychanym powietrzu.     </w:t>
      </w:r>
    </w:p>
    <w:p w:rsidR="00AF0FDB" w:rsidRPr="008E1D7F" w:rsidRDefault="00AF0FDB" w:rsidP="007B5868">
      <w:pPr>
        <w:jc w:val="center"/>
        <w:rPr>
          <w:color w:val="FF0000"/>
        </w:rPr>
      </w:pPr>
      <w:r w:rsidRPr="002C4F7C">
        <w:rPr>
          <w:noProof/>
          <w:color w:val="FF0000"/>
        </w:rPr>
        <w:pict>
          <v:shape id="Obraz 19" o:spid="_x0000_i1026" type="#_x0000_t75" alt="na str (1)" style="width:294pt;height:176.25pt;visibility:visible">
            <v:imagedata r:id="rId13" o:title=""/>
          </v:shape>
        </w:pict>
      </w:r>
    </w:p>
    <w:p w:rsidR="00AF0FDB" w:rsidRPr="00F82C9C" w:rsidRDefault="00AF0FDB" w:rsidP="007B5868">
      <w:pPr>
        <w:jc w:val="center"/>
      </w:pPr>
      <w:r w:rsidRPr="00F82C9C">
        <w:rPr>
          <w:sz w:val="18"/>
          <w:szCs w:val="18"/>
        </w:rPr>
        <w:t>Fot. 1 Szkolenie w PSSE w Poznaniu dla szkolnych koordynatorów program</w:t>
      </w:r>
    </w:p>
    <w:p w:rsidR="00AF0FDB" w:rsidRDefault="00AF0FDB" w:rsidP="007B5868">
      <w:pPr>
        <w:rPr>
          <w:b/>
          <w:bCs/>
        </w:rPr>
      </w:pPr>
    </w:p>
    <w:p w:rsidR="00AF0FDB" w:rsidRPr="00201414" w:rsidRDefault="00AF0FDB" w:rsidP="007B5868">
      <w:pPr>
        <w:rPr>
          <w:b/>
          <w:bCs/>
        </w:rPr>
      </w:pPr>
      <w:r w:rsidRPr="00201414">
        <w:rPr>
          <w:b/>
          <w:bCs/>
        </w:rPr>
        <w:t>Program antytytoniowej edukacji zdrowotnej „Bieg po zdrowie”</w:t>
      </w:r>
    </w:p>
    <w:p w:rsidR="00AF0FDB" w:rsidRPr="00201414" w:rsidRDefault="00AF0FDB" w:rsidP="00E2559A">
      <w:pPr>
        <w:spacing w:before="0"/>
        <w:jc w:val="both"/>
      </w:pPr>
      <w:r w:rsidRPr="00201414">
        <w:t>W roku szkolnym 2017/2018 zakończono realizację II edycji programu adresowanego do uczniów klas IV szkół podstawowych, którego celem jest zwiększenie wiedzy i umiejętności uczniów na temat zdrowia w kontekście szkodliwości palenia papierosów i używania                        e-papierosów. Nauczyciele przeprowadzili spotkania z rodzicami oraz cykl zajęć z uczniami na podstawie przekazanych scenariuszy. Programem objęto 3056 uczniów oraz 2978 rodziców z 46 szkół. Zorganizowano trzy szkolenia, w których uczestniczyło 34 szkolnych koordynatorów. Z przeprowadzonych 31 wizytacji wynika, że program został pozytywnie oceniony przez nauczycieli ze względu na formę prowadzonych zajęć, która skłaniała dzieci do dyskusji i aktywnego udziału w lekcji.</w:t>
      </w:r>
    </w:p>
    <w:p w:rsidR="00AF0FDB" w:rsidRPr="00713DD8" w:rsidRDefault="00AF0FDB" w:rsidP="00E2559A">
      <w:pPr>
        <w:spacing w:before="0"/>
        <w:jc w:val="both"/>
      </w:pPr>
      <w:r w:rsidRPr="00201414">
        <w:t>Do kolejnej edycji przystąpiły 52 szkoły, przeszk</w:t>
      </w:r>
      <w:r>
        <w:t xml:space="preserve">olono 14 nowych koordynatorów. </w:t>
      </w:r>
    </w:p>
    <w:p w:rsidR="00AF0FDB" w:rsidRPr="00201414" w:rsidRDefault="00AF0FDB" w:rsidP="007B5868">
      <w:pPr>
        <w:rPr>
          <w:b/>
          <w:bCs/>
        </w:rPr>
      </w:pPr>
      <w:r w:rsidRPr="00201414">
        <w:rPr>
          <w:b/>
          <w:bCs/>
        </w:rPr>
        <w:t>Konkurs „Palić, nie palić - oto jest pytanie?”</w:t>
      </w:r>
    </w:p>
    <w:p w:rsidR="00AF0FDB" w:rsidRPr="00201414" w:rsidRDefault="00AF0FDB" w:rsidP="007B5868">
      <w:pPr>
        <w:jc w:val="both"/>
      </w:pPr>
      <w:r w:rsidRPr="00201414">
        <w:t>Zorganizowano etap powiatowy konkursu dla V klas szkół podstawowych pod hasłem „Palić, nie palić - oto jest pytanie?”, który miał na celu poszerzenie wiedzy uczniów na temat negatywnych skutków palenia tytoniu, promowanie niepalenia papierosów i inhalowania e-papierosów, kształtowanie postaw asertywnych wobec osób palących papierosy. Zadaniem tegorocznej edycji było przygotowanie tematycznej gry planszowej jako formy rozrywki na spędzanie wolnego czasu z rówieśnikami. Do konkursu przystąpiło 27 szkół podstawowych. Komisja konkursowa nagrodziła 3 laureatów oraz przyznała 3 wyróżnienia. Podsumowanie etapu powiatowego i wręczenie nagród ufundowanych przez Urząd Miasta Poznania odbyło się w siedzibie PSSE w Poznaniu. Laureatów nagrodzonych prac wraz z opiekunami zaproszono do Multikina na podsumowanie etapu wojewódzkiego konkursu.</w:t>
      </w:r>
    </w:p>
    <w:p w:rsidR="00AF0FDB" w:rsidRPr="00201414" w:rsidRDefault="00AF0FDB" w:rsidP="007B5868"/>
    <w:p w:rsidR="00AF0FDB" w:rsidRPr="008E1D7F" w:rsidRDefault="00AF0FDB" w:rsidP="007B5868">
      <w:pPr>
        <w:rPr>
          <w:color w:val="FF0000"/>
        </w:rPr>
      </w:pPr>
    </w:p>
    <w:p w:rsidR="00AF0FDB" w:rsidRPr="008E1D7F" w:rsidRDefault="00AF0FDB" w:rsidP="00756D72">
      <w:pPr>
        <w:spacing w:before="0"/>
        <w:jc w:val="center"/>
        <w:rPr>
          <w:color w:val="FF0000"/>
        </w:rPr>
      </w:pPr>
      <w:r w:rsidRPr="002C4F7C">
        <w:rPr>
          <w:noProof/>
          <w:color w:val="FF0000"/>
        </w:rPr>
        <w:pict>
          <v:shape id="Obraz 18" o:spid="_x0000_i1027" type="#_x0000_t75" alt="IMG_20180426_112812_resized_20180427_062230002" style="width:324.75pt;height:182.25pt;visibility:visible">
            <v:imagedata r:id="rId14" o:title=""/>
          </v:shape>
        </w:pict>
      </w:r>
    </w:p>
    <w:p w:rsidR="00AF0FDB" w:rsidRPr="00201414" w:rsidRDefault="00AF0FDB" w:rsidP="00756D72">
      <w:pPr>
        <w:spacing w:before="0"/>
        <w:jc w:val="center"/>
        <w:rPr>
          <w:sz w:val="18"/>
          <w:szCs w:val="18"/>
        </w:rPr>
      </w:pPr>
      <w:r w:rsidRPr="00201414">
        <w:rPr>
          <w:sz w:val="18"/>
          <w:szCs w:val="18"/>
        </w:rPr>
        <w:t>Fot. 2 Laureaci konkursu „Palić, nie palić - oto jest pytanie?”</w:t>
      </w:r>
    </w:p>
    <w:p w:rsidR="00AF0FDB" w:rsidRPr="00201414" w:rsidRDefault="00AF0FDB" w:rsidP="007B5868">
      <w:pPr>
        <w:pStyle w:val="Standard"/>
        <w:widowControl w:val="0"/>
        <w:tabs>
          <w:tab w:val="left" w:pos="-3088"/>
        </w:tabs>
        <w:spacing w:line="360" w:lineRule="auto"/>
        <w:ind w:right="-4"/>
        <w:rPr>
          <w:rFonts w:cs="Times New Roman"/>
          <w:b/>
          <w:bCs/>
        </w:rPr>
      </w:pPr>
    </w:p>
    <w:p w:rsidR="00AF0FDB" w:rsidRPr="00201414" w:rsidRDefault="00AF0FDB" w:rsidP="007B5868">
      <w:pPr>
        <w:pStyle w:val="Standard"/>
        <w:widowControl w:val="0"/>
        <w:tabs>
          <w:tab w:val="left" w:pos="-3088"/>
        </w:tabs>
        <w:spacing w:line="360" w:lineRule="auto"/>
        <w:ind w:right="-4"/>
        <w:rPr>
          <w:rFonts w:ascii="Times New Roman" w:hAnsi="Times New Roman" w:cs="Times New Roman"/>
          <w:b/>
          <w:bCs/>
        </w:rPr>
      </w:pPr>
      <w:r w:rsidRPr="00201414">
        <w:rPr>
          <w:rFonts w:ascii="Times New Roman" w:hAnsi="Times New Roman" w:cs="Times New Roman"/>
          <w:b/>
          <w:bCs/>
        </w:rPr>
        <w:t>Projekt „Młodzieżowi Liderzy Zdrowia - kontra tytoń”</w:t>
      </w:r>
    </w:p>
    <w:p w:rsidR="00AF0FDB" w:rsidRDefault="00AF0FDB" w:rsidP="0032577D">
      <w:pPr>
        <w:pStyle w:val="Standard"/>
        <w:widowControl w:val="0"/>
        <w:tabs>
          <w:tab w:val="left" w:pos="-3088"/>
        </w:tabs>
        <w:spacing w:after="0" w:line="360" w:lineRule="auto"/>
        <w:ind w:right="-4"/>
        <w:jc w:val="both"/>
        <w:rPr>
          <w:rFonts w:ascii="Times New Roman" w:hAnsi="Times New Roman" w:cs="Times New Roman"/>
        </w:rPr>
      </w:pPr>
      <w:r w:rsidRPr="00201414">
        <w:rPr>
          <w:rFonts w:ascii="Times New Roman" w:hAnsi="Times New Roman" w:cs="Times New Roman"/>
        </w:rPr>
        <w:t>W ramach projektu edukacji rówieśniczej</w:t>
      </w:r>
      <w:r w:rsidRPr="00201414">
        <w:rPr>
          <w:rFonts w:ascii="Times New Roman" w:hAnsi="Times New Roman" w:cs="Times New Roman"/>
          <w:b/>
          <w:bCs/>
        </w:rPr>
        <w:t xml:space="preserve"> </w:t>
      </w:r>
      <w:r w:rsidRPr="00201414">
        <w:rPr>
          <w:rFonts w:ascii="Times New Roman" w:hAnsi="Times New Roman" w:cs="Times New Roman"/>
        </w:rPr>
        <w:t xml:space="preserve">z zakresu profilaktyki antynikotynowej zorganizowano szkolenie dla 15 gimnazjalistów z pięciu szkół, którego celem było wyposażenie uczestników w niezbędną wiedzę oraz przygotowanie do pełnienia roli liderów zdrowia w swoim środowisku. </w:t>
      </w:r>
    </w:p>
    <w:p w:rsidR="00AF0FDB" w:rsidRPr="00201414" w:rsidRDefault="00AF0FDB" w:rsidP="0032577D">
      <w:pPr>
        <w:pStyle w:val="Standard"/>
        <w:widowControl w:val="0"/>
        <w:tabs>
          <w:tab w:val="left" w:pos="-3088"/>
        </w:tabs>
        <w:spacing w:after="0" w:line="360" w:lineRule="auto"/>
        <w:ind w:right="-4"/>
        <w:jc w:val="both"/>
        <w:rPr>
          <w:rFonts w:ascii="Times New Roman" w:hAnsi="Times New Roman" w:cs="Times New Roman"/>
        </w:rPr>
      </w:pPr>
      <w:r w:rsidRPr="00201414">
        <w:rPr>
          <w:rFonts w:ascii="Times New Roman" w:hAnsi="Times New Roman" w:cs="Times New Roman"/>
        </w:rPr>
        <w:t xml:space="preserve">Na zakończenie szkolenia uczniowie otrzymali certyfikaty oraz zestawy materiałów edukacyjnych. </w:t>
      </w:r>
    </w:p>
    <w:p w:rsidR="00AF0FDB" w:rsidRPr="008E1D7F" w:rsidRDefault="00AF0FDB" w:rsidP="007B5868">
      <w:pPr>
        <w:pStyle w:val="Standard"/>
        <w:widowControl w:val="0"/>
        <w:tabs>
          <w:tab w:val="left" w:pos="-3088"/>
        </w:tabs>
        <w:spacing w:line="360" w:lineRule="auto"/>
        <w:ind w:right="-4"/>
        <w:rPr>
          <w:rFonts w:cs="Times New Roman"/>
          <w:color w:val="FF0000"/>
        </w:rPr>
      </w:pPr>
    </w:p>
    <w:p w:rsidR="00AF0FDB" w:rsidRPr="008E1D7F" w:rsidRDefault="00AF0FDB" w:rsidP="00756D72">
      <w:pPr>
        <w:pStyle w:val="Standard"/>
        <w:widowControl w:val="0"/>
        <w:tabs>
          <w:tab w:val="left" w:pos="-3088"/>
        </w:tabs>
        <w:spacing w:after="0" w:line="360" w:lineRule="auto"/>
        <w:ind w:right="-4"/>
        <w:jc w:val="center"/>
        <w:rPr>
          <w:rFonts w:cs="Times New Roman"/>
          <w:color w:val="FF0000"/>
        </w:rPr>
      </w:pPr>
      <w:r w:rsidRPr="002C4F7C">
        <w:rPr>
          <w:rFonts w:cs="Times New Roman"/>
          <w:b/>
          <w:bCs/>
          <w:noProof/>
          <w:color w:val="FF0000"/>
          <w:lang w:eastAsia="pl-PL"/>
        </w:rPr>
        <w:pict>
          <v:shape id="Obraz 17" o:spid="_x0000_i1028" type="#_x0000_t75" alt="IMG_5379" style="width:300.75pt;height:181.5pt;visibility:visible">
            <v:imagedata r:id="rId15" o:title="" croptop="10431f"/>
          </v:shape>
        </w:pict>
      </w:r>
    </w:p>
    <w:p w:rsidR="00AF0FDB" w:rsidRPr="00756D72" w:rsidRDefault="00AF0FDB" w:rsidP="00756D72">
      <w:pPr>
        <w:pStyle w:val="Standard"/>
        <w:widowControl w:val="0"/>
        <w:tabs>
          <w:tab w:val="left" w:pos="-3088"/>
        </w:tabs>
        <w:spacing w:after="0" w:line="360" w:lineRule="auto"/>
        <w:ind w:right="-4"/>
        <w:jc w:val="center"/>
        <w:rPr>
          <w:rFonts w:ascii="Times New Roman" w:hAnsi="Times New Roman" w:cs="Times New Roman"/>
          <w:sz w:val="18"/>
          <w:szCs w:val="18"/>
        </w:rPr>
      </w:pPr>
      <w:r w:rsidRPr="00756D72">
        <w:rPr>
          <w:rFonts w:ascii="Times New Roman" w:hAnsi="Times New Roman" w:cs="Times New Roman"/>
          <w:sz w:val="18"/>
          <w:szCs w:val="18"/>
        </w:rPr>
        <w:t xml:space="preserve">Fot. 3 Szkolenie w PSSE w Poznaniu dla „MLZ - kontra tytoń” </w:t>
      </w:r>
    </w:p>
    <w:p w:rsidR="00AF0FDB" w:rsidRPr="008E1D7F" w:rsidRDefault="00AF0FDB" w:rsidP="007B5868">
      <w:pPr>
        <w:pStyle w:val="Standard"/>
        <w:widowControl w:val="0"/>
        <w:tabs>
          <w:tab w:val="left" w:pos="-3088"/>
        </w:tabs>
        <w:spacing w:line="360" w:lineRule="auto"/>
        <w:ind w:right="-4"/>
        <w:jc w:val="center"/>
        <w:rPr>
          <w:b/>
          <w:bCs/>
          <w:color w:val="FF0000"/>
        </w:rPr>
      </w:pPr>
      <w:r w:rsidRPr="008E1D7F">
        <w:rPr>
          <w:b/>
          <w:bCs/>
          <w:color w:val="FF0000"/>
        </w:rPr>
        <w:t xml:space="preserve"> </w:t>
      </w:r>
    </w:p>
    <w:p w:rsidR="00AF0FDB" w:rsidRPr="008E1D7F" w:rsidRDefault="00AF0FDB" w:rsidP="00756D72">
      <w:pPr>
        <w:pStyle w:val="Standard"/>
        <w:widowControl w:val="0"/>
        <w:tabs>
          <w:tab w:val="left" w:pos="-3088"/>
        </w:tabs>
        <w:spacing w:after="0" w:line="360" w:lineRule="auto"/>
        <w:ind w:right="-4"/>
        <w:jc w:val="center"/>
        <w:rPr>
          <w:rFonts w:cs="Times New Roman"/>
          <w:b/>
          <w:bCs/>
          <w:color w:val="FF0000"/>
        </w:rPr>
      </w:pPr>
      <w:r w:rsidRPr="002C4F7C">
        <w:rPr>
          <w:rFonts w:cs="Times New Roman"/>
          <w:b/>
          <w:bCs/>
          <w:noProof/>
          <w:color w:val="FF0000"/>
          <w:lang w:eastAsia="pl-PL"/>
        </w:rPr>
        <w:pict>
          <v:shape id="Obraz 16" o:spid="_x0000_i1029" type="#_x0000_t75" alt="IMG_5387" style="width:294.75pt;height:220.5pt;visibility:visible">
            <v:imagedata r:id="rId16" o:title=""/>
          </v:shape>
        </w:pict>
      </w:r>
    </w:p>
    <w:p w:rsidR="00AF0FDB" w:rsidRPr="00201414" w:rsidRDefault="00AF0FDB" w:rsidP="00756D72">
      <w:pPr>
        <w:pStyle w:val="Standard"/>
        <w:widowControl w:val="0"/>
        <w:tabs>
          <w:tab w:val="left" w:pos="-3088"/>
        </w:tabs>
        <w:spacing w:after="0" w:line="360" w:lineRule="auto"/>
        <w:ind w:right="-4"/>
        <w:jc w:val="center"/>
        <w:rPr>
          <w:rFonts w:ascii="Times New Roman" w:hAnsi="Times New Roman" w:cs="Times New Roman"/>
          <w:sz w:val="18"/>
          <w:szCs w:val="18"/>
        </w:rPr>
      </w:pPr>
      <w:r w:rsidRPr="00201414">
        <w:rPr>
          <w:rFonts w:ascii="Times New Roman" w:hAnsi="Times New Roman" w:cs="Times New Roman"/>
          <w:sz w:val="18"/>
          <w:szCs w:val="18"/>
        </w:rPr>
        <w:t>Fot. 4 Szkolenie w PSSE w Poznaniu dla „MLZ - kontra tytoń”</w:t>
      </w:r>
    </w:p>
    <w:p w:rsidR="00AF0FDB" w:rsidRPr="008E1D7F" w:rsidRDefault="00AF0FDB" w:rsidP="007B5868">
      <w:pPr>
        <w:pStyle w:val="Standard"/>
        <w:widowControl w:val="0"/>
        <w:tabs>
          <w:tab w:val="left" w:pos="-3088"/>
        </w:tabs>
        <w:spacing w:line="360" w:lineRule="auto"/>
        <w:ind w:right="-4"/>
        <w:jc w:val="center"/>
        <w:rPr>
          <w:rFonts w:cs="Times New Roman"/>
          <w:b/>
          <w:bCs/>
          <w:color w:val="FF0000"/>
        </w:rPr>
      </w:pPr>
    </w:p>
    <w:p w:rsidR="00AF0FDB" w:rsidRPr="00201414" w:rsidRDefault="00AF0FDB" w:rsidP="007B5868">
      <w:pPr>
        <w:pStyle w:val="Standard"/>
        <w:widowControl w:val="0"/>
        <w:tabs>
          <w:tab w:val="left" w:pos="-3088"/>
        </w:tabs>
        <w:spacing w:line="360" w:lineRule="auto"/>
        <w:ind w:right="-4"/>
        <w:rPr>
          <w:rFonts w:ascii="Times New Roman" w:hAnsi="Times New Roman" w:cs="Times New Roman"/>
          <w:b/>
          <w:bCs/>
        </w:rPr>
      </w:pPr>
      <w:r w:rsidRPr="00201414">
        <w:rPr>
          <w:rFonts w:ascii="Times New Roman" w:hAnsi="Times New Roman" w:cs="Times New Roman"/>
          <w:b/>
          <w:bCs/>
        </w:rPr>
        <w:t>Światowy Dzień Bez Tytoniu</w:t>
      </w:r>
    </w:p>
    <w:p w:rsidR="00AF0FDB" w:rsidRDefault="00AF0FDB" w:rsidP="0032577D">
      <w:pPr>
        <w:pStyle w:val="Standard"/>
        <w:widowControl w:val="0"/>
        <w:tabs>
          <w:tab w:val="left" w:pos="-3088"/>
        </w:tabs>
        <w:spacing w:after="0" w:line="360" w:lineRule="auto"/>
        <w:ind w:right="-4"/>
        <w:jc w:val="both"/>
        <w:rPr>
          <w:rFonts w:ascii="Times New Roman" w:hAnsi="Times New Roman" w:cs="Times New Roman"/>
        </w:rPr>
      </w:pPr>
      <w:r w:rsidRPr="00201414">
        <w:rPr>
          <w:rFonts w:ascii="Times New Roman" w:hAnsi="Times New Roman" w:cs="Times New Roman"/>
        </w:rPr>
        <w:t xml:space="preserve">W ramach obchodów Światowego Dnia Bez Tytoniu włączono się do organizacji  festynu prozdrowotnego na terenie Szkoły Podstawowej w Koziegłowach w ramach VII Dni Zdrowia. </w:t>
      </w:r>
    </w:p>
    <w:p w:rsidR="00AF0FDB" w:rsidRPr="00201414" w:rsidRDefault="00AF0FDB" w:rsidP="0032577D">
      <w:pPr>
        <w:pStyle w:val="Standard"/>
        <w:widowControl w:val="0"/>
        <w:tabs>
          <w:tab w:val="left" w:pos="-3088"/>
        </w:tabs>
        <w:spacing w:after="0" w:line="360" w:lineRule="auto"/>
        <w:ind w:right="-4"/>
        <w:jc w:val="both"/>
        <w:rPr>
          <w:rFonts w:ascii="Times New Roman" w:hAnsi="Times New Roman" w:cs="Times New Roman"/>
        </w:rPr>
      </w:pPr>
      <w:r w:rsidRPr="00201414">
        <w:rPr>
          <w:rFonts w:ascii="Times New Roman" w:hAnsi="Times New Roman" w:cs="Times New Roman"/>
        </w:rPr>
        <w:t>Dla dorosłych uczestników utworzono punkt pomiaru tlenku węgla w wydychanym powietrzu połączony z poradnictwem antynikotynowym i rozdawnictwem materiałów oraz przeprowadzono quiz wiedzy na temat szkodliwości palenia tytoniu. Najmłodsi uczestnicy festynu rozwiązywali zagadki, krzyżówki, rebusy. Punkty z pomiarem tlenku węgla w wydychanym powietrzu utworzono również na terenie Zespołu Szkół nr 1 w Swarzędzu oraz w Branżowej Szkole I Stopnia w Buku.  Łącznie działaniami objęto 197 osób.</w:t>
      </w:r>
    </w:p>
    <w:p w:rsidR="00AF0FDB" w:rsidRPr="008E1D7F" w:rsidRDefault="00AF0FDB" w:rsidP="007B5868">
      <w:pPr>
        <w:pStyle w:val="Standard"/>
        <w:widowControl w:val="0"/>
        <w:tabs>
          <w:tab w:val="left" w:pos="-3088"/>
        </w:tabs>
        <w:spacing w:line="360" w:lineRule="auto"/>
        <w:ind w:right="-4"/>
        <w:rPr>
          <w:rFonts w:cs="Times New Roman"/>
          <w:color w:val="FF0000"/>
        </w:rPr>
      </w:pPr>
    </w:p>
    <w:p w:rsidR="00AF0FDB" w:rsidRPr="008E1D7F" w:rsidRDefault="00AF0FDB" w:rsidP="00756D72">
      <w:pPr>
        <w:pStyle w:val="Standard"/>
        <w:widowControl w:val="0"/>
        <w:tabs>
          <w:tab w:val="left" w:pos="-3088"/>
        </w:tabs>
        <w:spacing w:after="0" w:line="360" w:lineRule="auto"/>
        <w:ind w:right="-4"/>
        <w:jc w:val="center"/>
        <w:rPr>
          <w:rFonts w:cs="Times New Roman"/>
          <w:color w:val="FF0000"/>
        </w:rPr>
      </w:pPr>
      <w:r w:rsidRPr="002C4F7C">
        <w:rPr>
          <w:rFonts w:cs="Times New Roman"/>
          <w:noProof/>
          <w:color w:val="FF0000"/>
          <w:lang w:eastAsia="pl-PL"/>
        </w:rPr>
        <w:pict>
          <v:shape id="Obraz 15" o:spid="_x0000_i1030" type="#_x0000_t75" alt="DSCF9567" style="width:258.75pt;height:162pt;visibility:visible">
            <v:imagedata r:id="rId17" o:title="" croptop="10533f"/>
          </v:shape>
        </w:pict>
      </w:r>
    </w:p>
    <w:p w:rsidR="00AF0FDB" w:rsidRPr="00201414" w:rsidRDefault="00AF0FDB" w:rsidP="00756D72">
      <w:pPr>
        <w:pStyle w:val="Standard"/>
        <w:widowControl w:val="0"/>
        <w:tabs>
          <w:tab w:val="left" w:pos="-3088"/>
        </w:tabs>
        <w:spacing w:after="0" w:line="360" w:lineRule="auto"/>
        <w:ind w:right="-4"/>
        <w:jc w:val="center"/>
        <w:rPr>
          <w:rFonts w:ascii="Times New Roman" w:hAnsi="Times New Roman" w:cs="Times New Roman"/>
          <w:sz w:val="18"/>
          <w:szCs w:val="18"/>
        </w:rPr>
      </w:pPr>
      <w:r w:rsidRPr="00201414">
        <w:rPr>
          <w:rFonts w:ascii="Times New Roman" w:hAnsi="Times New Roman" w:cs="Times New Roman"/>
          <w:sz w:val="18"/>
          <w:szCs w:val="18"/>
        </w:rPr>
        <w:t xml:space="preserve">Fot. 5  Festyn w Szkole Podstawowej w Koziegłowach </w:t>
      </w:r>
    </w:p>
    <w:p w:rsidR="00AF0FDB" w:rsidRPr="008E1D7F" w:rsidRDefault="00AF0FDB" w:rsidP="007B5868">
      <w:pPr>
        <w:pStyle w:val="Standard"/>
        <w:widowControl w:val="0"/>
        <w:tabs>
          <w:tab w:val="left" w:pos="-3088"/>
        </w:tabs>
        <w:spacing w:line="360" w:lineRule="auto"/>
        <w:ind w:right="-4"/>
        <w:jc w:val="center"/>
        <w:rPr>
          <w:rFonts w:cs="Times New Roman"/>
          <w:color w:val="FF0000"/>
          <w:sz w:val="18"/>
          <w:szCs w:val="18"/>
        </w:rPr>
      </w:pPr>
    </w:p>
    <w:p w:rsidR="00AF0FDB" w:rsidRPr="008E1D7F" w:rsidRDefault="00AF0FDB" w:rsidP="00756D72">
      <w:pPr>
        <w:pStyle w:val="Standard"/>
        <w:widowControl w:val="0"/>
        <w:tabs>
          <w:tab w:val="left" w:pos="-3088"/>
        </w:tabs>
        <w:spacing w:after="0" w:line="360" w:lineRule="auto"/>
        <w:ind w:right="-4"/>
        <w:jc w:val="center"/>
        <w:rPr>
          <w:rFonts w:cs="Times New Roman"/>
          <w:color w:val="FF0000"/>
          <w:sz w:val="18"/>
          <w:szCs w:val="18"/>
        </w:rPr>
      </w:pPr>
      <w:r w:rsidRPr="002C4F7C">
        <w:rPr>
          <w:rFonts w:cs="Times New Roman"/>
          <w:noProof/>
          <w:color w:val="FF0000"/>
          <w:sz w:val="18"/>
          <w:szCs w:val="18"/>
          <w:lang w:eastAsia="pl-PL"/>
        </w:rPr>
        <w:pict>
          <v:shape id="Obraz 14" o:spid="_x0000_i1031" type="#_x0000_t75" alt="20180530_100428" style="width:162.75pt;height:246.75pt;visibility:visible">
            <v:imagedata r:id="rId18" o:title="" croptop="5889f"/>
          </v:shape>
        </w:pict>
      </w:r>
    </w:p>
    <w:p w:rsidR="00AF0FDB" w:rsidRPr="00201414" w:rsidRDefault="00AF0FDB" w:rsidP="00756D72">
      <w:pPr>
        <w:pStyle w:val="Standard"/>
        <w:keepNext/>
        <w:tabs>
          <w:tab w:val="left" w:pos="-3088"/>
        </w:tabs>
        <w:spacing w:after="0" w:line="360" w:lineRule="auto"/>
        <w:ind w:right="-4"/>
        <w:jc w:val="center"/>
        <w:rPr>
          <w:rFonts w:ascii="Times New Roman" w:hAnsi="Times New Roman" w:cs="Times New Roman"/>
          <w:sz w:val="18"/>
          <w:szCs w:val="18"/>
        </w:rPr>
      </w:pPr>
      <w:r w:rsidRPr="00201414">
        <w:rPr>
          <w:rFonts w:ascii="Times New Roman" w:hAnsi="Times New Roman" w:cs="Times New Roman"/>
          <w:sz w:val="18"/>
          <w:szCs w:val="18"/>
        </w:rPr>
        <w:t>Fot. 6  Pomiar CO w Zespole Szkół nr 1 w Swarzędzu</w:t>
      </w:r>
    </w:p>
    <w:p w:rsidR="00AF0FDB" w:rsidRPr="00201414" w:rsidRDefault="00AF0FDB" w:rsidP="007B5868">
      <w:pPr>
        <w:rPr>
          <w:b/>
          <w:bCs/>
        </w:rPr>
      </w:pPr>
      <w:r w:rsidRPr="00201414">
        <w:rPr>
          <w:b/>
          <w:bCs/>
        </w:rPr>
        <w:t>Światowy Dzień Rzucania Palenia</w:t>
      </w:r>
    </w:p>
    <w:p w:rsidR="00AF0FDB" w:rsidRDefault="00AF0FDB" w:rsidP="0032577D">
      <w:pPr>
        <w:pStyle w:val="Standard"/>
        <w:widowControl w:val="0"/>
        <w:tabs>
          <w:tab w:val="left" w:pos="-3088"/>
        </w:tabs>
        <w:spacing w:after="0" w:line="360" w:lineRule="auto"/>
        <w:ind w:right="-4"/>
        <w:jc w:val="both"/>
        <w:rPr>
          <w:rFonts w:ascii="Times New Roman" w:hAnsi="Times New Roman" w:cs="Times New Roman"/>
        </w:rPr>
      </w:pPr>
      <w:r w:rsidRPr="00201414">
        <w:rPr>
          <w:rFonts w:ascii="Times New Roman" w:hAnsi="Times New Roman" w:cs="Times New Roman"/>
        </w:rPr>
        <w:t xml:space="preserve">W ramach listopadowych obchodów Światowego Dnia Rzucania Palenia utworzono pięć punktów informacyjno - edukacyjnych, podczas których dokonywano pomiaru tlenku węgla w wydychanym powietrzu oraz udzielano porad antytytoniowych. Z punktów zorganizowanych w O-I Business Service Center przy ul. Baraniaka w Poznaniu, na terenie Huty Szkła przy ul. Gorzysława w Poznaniu,                      w siedzibie PSSE w Poznaniu przy ul. Gronowej, w Starostwie Powiatowym w Poznaniu przy </w:t>
      </w:r>
    </w:p>
    <w:p w:rsidR="00AF0FDB" w:rsidRPr="00201414" w:rsidRDefault="00AF0FDB" w:rsidP="0032577D">
      <w:pPr>
        <w:pStyle w:val="Standard"/>
        <w:widowControl w:val="0"/>
        <w:tabs>
          <w:tab w:val="left" w:pos="-3088"/>
        </w:tabs>
        <w:spacing w:after="0" w:line="360" w:lineRule="auto"/>
        <w:ind w:right="-4"/>
        <w:jc w:val="both"/>
        <w:rPr>
          <w:rFonts w:ascii="Times New Roman" w:hAnsi="Times New Roman" w:cs="Times New Roman"/>
        </w:rPr>
      </w:pPr>
      <w:r w:rsidRPr="00201414">
        <w:rPr>
          <w:rFonts w:ascii="Times New Roman" w:hAnsi="Times New Roman" w:cs="Times New Roman"/>
        </w:rPr>
        <w:t xml:space="preserve">ul. Jackowskiego oraz w Zespole Szkół Samochodowych w Poznaniu skorzystały łącznie 253 osoby. </w:t>
      </w:r>
    </w:p>
    <w:p w:rsidR="00AF0FDB" w:rsidRPr="008E1D7F" w:rsidRDefault="00AF0FDB" w:rsidP="007B5868">
      <w:pPr>
        <w:pStyle w:val="Standard"/>
        <w:widowControl w:val="0"/>
        <w:tabs>
          <w:tab w:val="left" w:pos="-3088"/>
        </w:tabs>
        <w:spacing w:line="360" w:lineRule="auto"/>
        <w:ind w:right="-4"/>
        <w:jc w:val="both"/>
        <w:rPr>
          <w:rFonts w:ascii="Times New Roman" w:hAnsi="Times New Roman" w:cs="Times New Roman"/>
          <w:color w:val="FF0000"/>
        </w:rPr>
      </w:pPr>
    </w:p>
    <w:p w:rsidR="00AF0FDB" w:rsidRPr="008E1D7F" w:rsidRDefault="00AF0FDB" w:rsidP="00756D72">
      <w:pPr>
        <w:spacing w:before="0" w:after="0"/>
        <w:jc w:val="center"/>
        <w:rPr>
          <w:color w:val="FF0000"/>
        </w:rPr>
      </w:pPr>
      <w:r w:rsidRPr="002C4F7C">
        <w:rPr>
          <w:noProof/>
          <w:color w:val="FF0000"/>
        </w:rPr>
        <w:pict>
          <v:shape id="Obraz 11" o:spid="_x0000_i1032" type="#_x0000_t75" alt="IMG_20181116_103012" style="width:242.25pt;height:153pt;visibility:visible">
            <v:imagedata r:id="rId19" o:title="" croptop="9437f"/>
          </v:shape>
        </w:pict>
      </w:r>
    </w:p>
    <w:p w:rsidR="00AF0FDB" w:rsidRPr="00201414" w:rsidRDefault="00AF0FDB" w:rsidP="00756D72">
      <w:pPr>
        <w:pStyle w:val="Standard"/>
        <w:keepNext/>
        <w:tabs>
          <w:tab w:val="left" w:pos="-3088"/>
        </w:tabs>
        <w:spacing w:after="0" w:line="360" w:lineRule="auto"/>
        <w:ind w:right="-4"/>
        <w:jc w:val="center"/>
        <w:rPr>
          <w:rFonts w:ascii="Times New Roman" w:hAnsi="Times New Roman" w:cs="Times New Roman"/>
          <w:sz w:val="18"/>
          <w:szCs w:val="18"/>
        </w:rPr>
      </w:pPr>
      <w:r w:rsidRPr="00201414">
        <w:rPr>
          <w:rFonts w:ascii="Times New Roman" w:hAnsi="Times New Roman" w:cs="Times New Roman"/>
          <w:sz w:val="18"/>
          <w:szCs w:val="18"/>
        </w:rPr>
        <w:t>Fot. 7  Pomiar CO w Zespole Szkół Samochodowych w Poznaniu</w:t>
      </w:r>
    </w:p>
    <w:p w:rsidR="00AF0FDB" w:rsidRPr="008E1D7F" w:rsidRDefault="00AF0FDB" w:rsidP="007B5868">
      <w:pPr>
        <w:jc w:val="center"/>
        <w:rPr>
          <w:color w:val="FF0000"/>
          <w:sz w:val="18"/>
          <w:szCs w:val="18"/>
        </w:rPr>
      </w:pPr>
    </w:p>
    <w:p w:rsidR="00AF0FDB" w:rsidRPr="008E1D7F" w:rsidRDefault="00AF0FDB" w:rsidP="007B5868">
      <w:pPr>
        <w:jc w:val="center"/>
        <w:rPr>
          <w:color w:val="FF0000"/>
          <w:sz w:val="18"/>
          <w:szCs w:val="18"/>
        </w:rPr>
      </w:pPr>
    </w:p>
    <w:p w:rsidR="00AF0FDB" w:rsidRPr="008E1D7F" w:rsidRDefault="00AF0FDB" w:rsidP="00756D72">
      <w:pPr>
        <w:spacing w:before="0" w:after="0"/>
        <w:jc w:val="center"/>
        <w:rPr>
          <w:color w:val="FF0000"/>
          <w:sz w:val="18"/>
          <w:szCs w:val="18"/>
        </w:rPr>
      </w:pPr>
      <w:r w:rsidRPr="002C4F7C">
        <w:rPr>
          <w:noProof/>
          <w:color w:val="FF0000"/>
          <w:sz w:val="18"/>
          <w:szCs w:val="18"/>
        </w:rPr>
        <w:pict>
          <v:shape id="Obraz 10" o:spid="_x0000_i1033" type="#_x0000_t75" alt="IMG_20181115_101629" style="width:228pt;height:153pt;visibility:visible">
            <v:imagedata r:id="rId20" o:title="" croptop="6988f"/>
          </v:shape>
        </w:pict>
      </w:r>
    </w:p>
    <w:p w:rsidR="00AF0FDB" w:rsidRPr="00E2559A" w:rsidRDefault="00AF0FDB" w:rsidP="00E2559A">
      <w:pPr>
        <w:spacing w:before="0" w:after="0"/>
        <w:jc w:val="center"/>
        <w:rPr>
          <w:sz w:val="18"/>
          <w:szCs w:val="18"/>
        </w:rPr>
      </w:pPr>
      <w:r w:rsidRPr="00201414">
        <w:rPr>
          <w:sz w:val="18"/>
          <w:szCs w:val="18"/>
        </w:rPr>
        <w:t>Fot. 8 Punkt informacyjno - edukacyjny w S</w:t>
      </w:r>
      <w:r>
        <w:rPr>
          <w:sz w:val="18"/>
          <w:szCs w:val="18"/>
        </w:rPr>
        <w:t>tarostwie Powiatowym w Poznaniu</w:t>
      </w:r>
    </w:p>
    <w:p w:rsidR="00AF0FDB" w:rsidRPr="00201414" w:rsidRDefault="00AF0FDB" w:rsidP="007B5868">
      <w:pPr>
        <w:rPr>
          <w:b/>
          <w:bCs/>
        </w:rPr>
      </w:pPr>
      <w:r w:rsidRPr="00201414">
        <w:rPr>
          <w:b/>
          <w:bCs/>
        </w:rPr>
        <w:t xml:space="preserve">Pozostałe działania antynikotynowe </w:t>
      </w:r>
    </w:p>
    <w:p w:rsidR="00AF0FDB" w:rsidRPr="00201414" w:rsidRDefault="00AF0FDB" w:rsidP="007B5868">
      <w:pPr>
        <w:pStyle w:val="Standard"/>
        <w:widowControl w:val="0"/>
        <w:tabs>
          <w:tab w:val="left" w:pos="-3088"/>
        </w:tabs>
        <w:spacing w:line="360" w:lineRule="auto"/>
        <w:ind w:right="-4"/>
        <w:jc w:val="both"/>
        <w:rPr>
          <w:rFonts w:ascii="Times New Roman" w:hAnsi="Times New Roman" w:cs="Times New Roman"/>
        </w:rPr>
      </w:pPr>
      <w:r w:rsidRPr="00201414">
        <w:rPr>
          <w:rFonts w:ascii="Times New Roman" w:hAnsi="Times New Roman" w:cs="Times New Roman"/>
        </w:rPr>
        <w:t>Realizując założenia Programu Ograniczania Zdrowotnych Następstw Palenia Tytoniu w Polsce na lata 2014-2018 podejmowano działania w celu zmiany klimatu społecznego i postaw wobec palenia tytoniu. W Szkole Podstawowej nr 71 w Poznaniu i w Branżowej Szkole I Stopnia w Buku utworzono punkty informacyjno - edukacyjne z pomiarem CO w wydychanym powietrzu, z których skorzystało 98 osób. Działania antynikotynowe podjęto wśród 45 pracowników zakładów pracy Auchan Swadzim oraz Strauss Cafe Poland w Tarnowie Podgórnym. W dwóch poznańskich Domach Kultury:  Młodzieżowym Domu Kultury nr 2 oraz Osiedlowym Domu Kultury „Bajka” przeprowadzono pogadanki na temat problemu biernego palenia oraz tematyczne konkursy plastyczne dla 60 dzieci. We współpracy                       z Ochotniczą Strażą Pożarną Poznań Głuszyna, Wydziałem Zarządzania Kryzysowego i Bezpieczeństwa UMP, GOPS w Czerwonaku, Urzędem Miasta Poznania oraz Starostwem Powiatowym uczestniczono w pięciu festynach promujących zdrowie. Oferowano badania smokerlyzerem, udzielano porad antynikotynowych, przeprowadzono konkursy prozdrowotne dla dzieci. Przebadano łącznie 175 osób,                a w konkursach udział wzięło 130 dzieci. We współpracy z Międzynarodowym Stowarzyszeniem Studentów Medycyny IFMSA - Poznań Poland utworzono dwukrotnie punkty informacyjno -edukacyjne dla klientów Auchan Swadzim, z których skorzystało łącznie 75 osób. Pracownicy PSSE w Poznaniu włączyli się w akcję „Lato na Targach” organizowaną przez Urząd Miasta Pozn</w:t>
      </w:r>
      <w:r>
        <w:rPr>
          <w:rFonts w:ascii="Times New Roman" w:hAnsi="Times New Roman" w:cs="Times New Roman"/>
        </w:rPr>
        <w:t>ania i MTP. Na stoisku z pomiaru</w:t>
      </w:r>
      <w:r w:rsidRPr="00201414">
        <w:rPr>
          <w:rFonts w:ascii="Times New Roman" w:hAnsi="Times New Roman" w:cs="Times New Roman"/>
        </w:rPr>
        <w:t xml:space="preserve"> CO w wydychanym powietrzu i poradnictwa antynikotynowego skorzystało 55 osób. W 2018 roku zakończono realizację Programu Ograniczania Zdrowotnych Następstw Palenia Tytoniu w Polsce. Od 2019 roku wszystkie działania dotyczące profilaktyki palenia tytoniu będą realizowane w ramach Narodowego Programu Zdrowia na lata 2016-2020.</w:t>
      </w:r>
    </w:p>
    <w:p w:rsidR="00AF0FDB" w:rsidRPr="008E1D7F" w:rsidRDefault="00AF0FDB" w:rsidP="007B5868">
      <w:pPr>
        <w:pStyle w:val="Standard"/>
        <w:widowControl w:val="0"/>
        <w:tabs>
          <w:tab w:val="left" w:pos="-3088"/>
        </w:tabs>
        <w:spacing w:line="360" w:lineRule="auto"/>
        <w:ind w:right="-4"/>
        <w:jc w:val="both"/>
        <w:rPr>
          <w:rFonts w:cs="Times New Roman"/>
          <w:color w:val="FF0000"/>
        </w:rPr>
      </w:pPr>
    </w:p>
    <w:p w:rsidR="00AF0FDB" w:rsidRPr="008E1D7F" w:rsidRDefault="00AF0FDB" w:rsidP="00756D72">
      <w:pPr>
        <w:pStyle w:val="Standard"/>
        <w:widowControl w:val="0"/>
        <w:tabs>
          <w:tab w:val="left" w:pos="-3088"/>
        </w:tabs>
        <w:spacing w:after="0" w:line="360" w:lineRule="auto"/>
        <w:ind w:right="-4"/>
        <w:jc w:val="center"/>
        <w:rPr>
          <w:rFonts w:cs="Times New Roman"/>
          <w:color w:val="FF0000"/>
        </w:rPr>
      </w:pPr>
      <w:r w:rsidRPr="002C4F7C">
        <w:rPr>
          <w:rFonts w:cs="Times New Roman"/>
          <w:noProof/>
          <w:color w:val="FF0000"/>
          <w:lang w:eastAsia="pl-PL"/>
        </w:rPr>
        <w:pict>
          <v:shape id="Obraz 9" o:spid="_x0000_i1034" type="#_x0000_t75" alt="DSC_4993" style="width:295.5pt;height:181.5pt;visibility:visible">
            <v:imagedata r:id="rId21" o:title="" croptop="6760f"/>
          </v:shape>
        </w:pict>
      </w:r>
    </w:p>
    <w:p w:rsidR="00AF0FDB" w:rsidRDefault="00AF0FDB" w:rsidP="00756D72">
      <w:pPr>
        <w:pStyle w:val="Standard"/>
        <w:widowControl w:val="0"/>
        <w:tabs>
          <w:tab w:val="left" w:pos="-3088"/>
        </w:tabs>
        <w:spacing w:after="0" w:line="360" w:lineRule="auto"/>
        <w:ind w:right="-4"/>
        <w:jc w:val="center"/>
        <w:rPr>
          <w:rFonts w:ascii="Times New Roman" w:hAnsi="Times New Roman" w:cs="Times New Roman"/>
          <w:sz w:val="18"/>
          <w:szCs w:val="18"/>
        </w:rPr>
      </w:pPr>
      <w:r w:rsidRPr="00201414">
        <w:rPr>
          <w:rFonts w:ascii="Times New Roman" w:hAnsi="Times New Roman" w:cs="Times New Roman"/>
          <w:sz w:val="18"/>
          <w:szCs w:val="18"/>
        </w:rPr>
        <w:t>Fot. 9  Pomiar CO w  zakładzie pracy Auchan Swadzim</w:t>
      </w:r>
    </w:p>
    <w:p w:rsidR="00AF0FDB" w:rsidRPr="00201414" w:rsidRDefault="00AF0FDB" w:rsidP="00756D72">
      <w:pPr>
        <w:pStyle w:val="Standard"/>
        <w:widowControl w:val="0"/>
        <w:tabs>
          <w:tab w:val="left" w:pos="-3088"/>
        </w:tabs>
        <w:spacing w:after="0" w:line="360" w:lineRule="auto"/>
        <w:ind w:right="-4"/>
        <w:jc w:val="center"/>
        <w:rPr>
          <w:rFonts w:ascii="Times New Roman" w:hAnsi="Times New Roman" w:cs="Times New Roman"/>
          <w:sz w:val="18"/>
          <w:szCs w:val="18"/>
        </w:rPr>
      </w:pPr>
    </w:p>
    <w:p w:rsidR="00AF0FDB" w:rsidRPr="008E1D7F" w:rsidRDefault="00AF0FDB" w:rsidP="00756D72">
      <w:pPr>
        <w:pStyle w:val="Standard"/>
        <w:widowControl w:val="0"/>
        <w:tabs>
          <w:tab w:val="left" w:pos="-3088"/>
        </w:tabs>
        <w:spacing w:after="0" w:line="360" w:lineRule="auto"/>
        <w:ind w:right="-4"/>
        <w:jc w:val="center"/>
        <w:rPr>
          <w:rFonts w:cs="Times New Roman"/>
          <w:color w:val="FF0000"/>
          <w:sz w:val="18"/>
          <w:szCs w:val="18"/>
        </w:rPr>
      </w:pPr>
      <w:r w:rsidRPr="002C4F7C">
        <w:rPr>
          <w:rFonts w:cs="Times New Roman"/>
          <w:noProof/>
          <w:color w:val="FF0000"/>
          <w:sz w:val="18"/>
          <w:szCs w:val="18"/>
          <w:lang w:eastAsia="pl-PL"/>
        </w:rPr>
        <w:pict>
          <v:shape id="Obraz 8" o:spid="_x0000_i1035" type="#_x0000_t75" alt="20180723_103441" style="width:302.25pt;height:180.75pt;visibility:visible">
            <v:imagedata r:id="rId22" o:title=""/>
          </v:shape>
        </w:pict>
      </w:r>
    </w:p>
    <w:p w:rsidR="00AF0FDB" w:rsidRPr="00201414" w:rsidRDefault="00AF0FDB" w:rsidP="00756D72">
      <w:pPr>
        <w:pStyle w:val="Standard"/>
        <w:widowControl w:val="0"/>
        <w:tabs>
          <w:tab w:val="left" w:pos="-3088"/>
        </w:tabs>
        <w:spacing w:after="0" w:line="360" w:lineRule="auto"/>
        <w:ind w:right="-4"/>
        <w:jc w:val="center"/>
        <w:rPr>
          <w:rFonts w:ascii="Times New Roman" w:hAnsi="Times New Roman" w:cs="Times New Roman"/>
          <w:sz w:val="18"/>
          <w:szCs w:val="18"/>
        </w:rPr>
      </w:pPr>
      <w:r w:rsidRPr="00201414">
        <w:rPr>
          <w:rFonts w:ascii="Times New Roman" w:hAnsi="Times New Roman" w:cs="Times New Roman"/>
          <w:sz w:val="18"/>
          <w:szCs w:val="18"/>
        </w:rPr>
        <w:t>Fot. 10  Zajęcia w Młodzieżowym Domu Kultury nr 2 w Poznaniu</w:t>
      </w:r>
    </w:p>
    <w:p w:rsidR="00AF0FDB" w:rsidRPr="008E1D7F" w:rsidRDefault="00AF0FDB" w:rsidP="00756D72">
      <w:pPr>
        <w:pStyle w:val="Standard"/>
        <w:widowControl w:val="0"/>
        <w:tabs>
          <w:tab w:val="left" w:pos="-3088"/>
        </w:tabs>
        <w:spacing w:after="0" w:line="360" w:lineRule="auto"/>
        <w:ind w:right="-4"/>
        <w:jc w:val="center"/>
        <w:rPr>
          <w:rFonts w:cs="Times New Roman"/>
          <w:color w:val="FF0000"/>
        </w:rPr>
      </w:pPr>
    </w:p>
    <w:p w:rsidR="00AF0FDB" w:rsidRPr="00350CBC" w:rsidRDefault="00AF0FDB" w:rsidP="00350CBC">
      <w:pPr>
        <w:pStyle w:val="Heading1"/>
        <w:rPr>
          <w:rFonts w:ascii="Times New Roman" w:hAnsi="Times New Roman" w:cs="Times New Roman"/>
          <w:sz w:val="24"/>
          <w:szCs w:val="24"/>
        </w:rPr>
      </w:pPr>
      <w:bookmarkStart w:id="355" w:name="_Toc938885"/>
      <w:r w:rsidRPr="00350CBC">
        <w:rPr>
          <w:rFonts w:ascii="Times New Roman" w:hAnsi="Times New Roman" w:cs="Times New Roman"/>
          <w:sz w:val="24"/>
          <w:szCs w:val="24"/>
        </w:rPr>
        <w:t>Program „Trzymaj formę!”</w:t>
      </w:r>
      <w:bookmarkEnd w:id="355"/>
    </w:p>
    <w:p w:rsidR="00AF0FDB" w:rsidRPr="00201414" w:rsidRDefault="00AF0FDB" w:rsidP="007B5868">
      <w:pPr>
        <w:pStyle w:val="ListParagraph"/>
        <w:spacing w:line="360" w:lineRule="auto"/>
        <w:ind w:left="360"/>
        <w:rPr>
          <w:rFonts w:ascii="Times New Roman" w:hAnsi="Times New Roman" w:cs="Times New Roman"/>
          <w:b/>
          <w:bCs/>
        </w:rPr>
      </w:pPr>
    </w:p>
    <w:p w:rsidR="00AF0FDB" w:rsidRPr="00201414" w:rsidRDefault="00AF0FDB" w:rsidP="007B5868">
      <w:pPr>
        <w:tabs>
          <w:tab w:val="left" w:pos="0"/>
        </w:tabs>
        <w:jc w:val="both"/>
      </w:pPr>
      <w:r w:rsidRPr="00201414">
        <w:t xml:space="preserve">W roku szkolnym 2017/2018 zrealizowano XII edycję ogólnopolskiego programu, którego celem jest kształtowanie prozdrowotnych nawyków wśród młodzieży szkolnej poprzez promocję zasad aktywnego stylu życia i zbilansowanej diety. W 102 placówkach programem objęto 11444 uczniów klas V, VI i VII szkół podstawowych oraz gimnazjów oraz 3316 rodziców. Przeprowadzono 43 wizytacje, w ramach których oceniono realizację programu. Szkolnym koordynatorom programu przekazano materiały edukacyjne. </w:t>
      </w:r>
    </w:p>
    <w:p w:rsidR="00AF0FDB" w:rsidRPr="00201414" w:rsidRDefault="00AF0FDB" w:rsidP="007B5868">
      <w:pPr>
        <w:tabs>
          <w:tab w:val="left" w:pos="0"/>
        </w:tabs>
      </w:pPr>
      <w:r w:rsidRPr="00201414">
        <w:t xml:space="preserve">Do kolejnej edycji zgłosiły się 74 szkoły. Do wszystkich szkół podstawowych i gimnazjów przesłano informację o VIII edycji „Konkursu wiedzy o zdrowym stylu życia”. </w:t>
      </w:r>
    </w:p>
    <w:p w:rsidR="00AF0FDB" w:rsidRDefault="00AF0FDB" w:rsidP="006542E5">
      <w:pPr>
        <w:pStyle w:val="ListParagraph"/>
        <w:spacing w:line="360" w:lineRule="auto"/>
        <w:ind w:left="0"/>
        <w:jc w:val="right"/>
        <w:rPr>
          <w:rFonts w:ascii="Times New Roman" w:hAnsi="Times New Roman" w:cs="Times New Roman"/>
          <w:b/>
          <w:bCs/>
        </w:rPr>
      </w:pPr>
    </w:p>
    <w:p w:rsidR="00AF0FDB" w:rsidRPr="00350CBC" w:rsidRDefault="00AF0FDB" w:rsidP="00350CBC">
      <w:pPr>
        <w:pStyle w:val="Heading1"/>
        <w:rPr>
          <w:rFonts w:ascii="Times New Roman" w:hAnsi="Times New Roman" w:cs="Times New Roman"/>
          <w:sz w:val="24"/>
          <w:szCs w:val="24"/>
        </w:rPr>
      </w:pPr>
      <w:bookmarkStart w:id="356" w:name="_Toc938886"/>
      <w:r w:rsidRPr="00350CBC">
        <w:rPr>
          <w:rFonts w:ascii="Times New Roman" w:hAnsi="Times New Roman" w:cs="Times New Roman"/>
          <w:sz w:val="24"/>
          <w:szCs w:val="24"/>
        </w:rPr>
        <w:t>Profilaktyka HIV/AIDS</w:t>
      </w:r>
      <w:bookmarkEnd w:id="356"/>
    </w:p>
    <w:p w:rsidR="00AF0FDB" w:rsidRPr="00201414" w:rsidRDefault="00AF0FDB" w:rsidP="007B5868">
      <w:pPr>
        <w:rPr>
          <w:b/>
          <w:bCs/>
        </w:rPr>
      </w:pPr>
      <w:r w:rsidRPr="00201414">
        <w:rPr>
          <w:b/>
          <w:bCs/>
        </w:rPr>
        <w:t xml:space="preserve">Akcja „Bezpieczne Walentynki” </w:t>
      </w:r>
    </w:p>
    <w:p w:rsidR="00AF0FDB" w:rsidRPr="00201414" w:rsidRDefault="00AF0FDB" w:rsidP="006542E5">
      <w:pPr>
        <w:jc w:val="both"/>
      </w:pPr>
      <w:r w:rsidRPr="00201414">
        <w:t>Z inicjatywy PSSE w Poznaniu wśród uczniów Zespołu Szkół Odzieżowych w Poznaniu zorganizowano akcję informacyjno-edukacyjną połączoną z dystrybucją materiałów. Młodzież informowano o zagrożeniach wynikających z ryzykownych zachowań w kontekście zakażeń HIV i choroby AIDS oraz innych chorób przenoszonych drogą płciową.</w:t>
      </w:r>
    </w:p>
    <w:p w:rsidR="00AF0FDB" w:rsidRPr="008E1D7F" w:rsidRDefault="00AF0FDB" w:rsidP="00756D72">
      <w:pPr>
        <w:spacing w:before="0"/>
        <w:jc w:val="center"/>
        <w:rPr>
          <w:color w:val="FF0000"/>
        </w:rPr>
      </w:pPr>
      <w:r w:rsidRPr="002C4F7C">
        <w:rPr>
          <w:noProof/>
          <w:color w:val="FF0000"/>
        </w:rPr>
        <w:pict>
          <v:shape id="Obraz 7" o:spid="_x0000_i1036" type="#_x0000_t75" alt="IMG_20180209_103535_resized_20180213_073736798" style="width:185.25pt;height:246.75pt;visibility:visible">
            <v:imagedata r:id="rId23" o:title="" croptop="4107f" cropbottom="11630f"/>
          </v:shape>
        </w:pict>
      </w:r>
    </w:p>
    <w:p w:rsidR="00AF0FDB" w:rsidRPr="00201414" w:rsidRDefault="00AF0FDB" w:rsidP="00756D72">
      <w:pPr>
        <w:spacing w:before="0"/>
        <w:jc w:val="center"/>
        <w:rPr>
          <w:sz w:val="18"/>
          <w:szCs w:val="18"/>
        </w:rPr>
      </w:pPr>
      <w:r w:rsidRPr="00201414">
        <w:rPr>
          <w:sz w:val="18"/>
          <w:szCs w:val="18"/>
        </w:rPr>
        <w:t>Fot. 11 Punkt informacyjno - edukacyjny w Zespole Szkół Odzieżowych w Poznaniu</w:t>
      </w:r>
    </w:p>
    <w:p w:rsidR="00AF0FDB" w:rsidRPr="00201414" w:rsidRDefault="00AF0FDB" w:rsidP="00756D72">
      <w:pPr>
        <w:spacing w:before="0"/>
        <w:jc w:val="center"/>
      </w:pPr>
    </w:p>
    <w:p w:rsidR="00AF0FDB" w:rsidRPr="00201414" w:rsidRDefault="00AF0FDB" w:rsidP="007B5868">
      <w:pPr>
        <w:rPr>
          <w:b/>
          <w:bCs/>
        </w:rPr>
      </w:pPr>
      <w:r w:rsidRPr="00201414">
        <w:rPr>
          <w:b/>
          <w:bCs/>
        </w:rPr>
        <w:t xml:space="preserve">Projekt „Młodzieżowi Liderzy Zdrowia - kontra HIV” </w:t>
      </w:r>
    </w:p>
    <w:p w:rsidR="00AF0FDB" w:rsidRPr="00201414" w:rsidRDefault="00AF0FDB" w:rsidP="0018486D">
      <w:pPr>
        <w:jc w:val="both"/>
      </w:pPr>
      <w:r w:rsidRPr="00201414">
        <w:t xml:space="preserve">W ramach realizacji projektu w PSSE w Poznaniu zorganizowano szkolenie dla 14 uczniów z trzech szkół ponadgimnazjalnych. Celem szkolenia było nabycie umiejętności dokonywania świadomych decyzji zmniejszających ryzyko zakażenia wirusem HIV, ukształtowanie właściwych postaw wobec osób zakażonych wirusem HIV i chorych na AIDS, wzbudzenie zainteresowania własnym zdrowiem, odpowiedzialności za zdrowie partnera oraz wskazanie miejsc, gdzie można uzyskać pomoc, poradnictwo i opiekę medyczną. Uczestnikom szkolenia zaproponowano podjęcie działań w zakresie profilaktyki HIV/AIDS w środowisku szkolnym i poza szkolnym przed wakacjami oraz w ramach obchodów Światowego Dnia AIDS. </w:t>
      </w:r>
    </w:p>
    <w:p w:rsidR="00AF0FDB" w:rsidRPr="008E1D7F" w:rsidRDefault="00AF0FDB" w:rsidP="00756D72">
      <w:pPr>
        <w:spacing w:before="0"/>
        <w:jc w:val="center"/>
        <w:rPr>
          <w:color w:val="FF0000"/>
        </w:rPr>
      </w:pPr>
      <w:r w:rsidRPr="002C4F7C">
        <w:rPr>
          <w:noProof/>
          <w:color w:val="FF0000"/>
        </w:rPr>
        <w:pict>
          <v:shape id="Obraz 5" o:spid="_x0000_i1037" type="#_x0000_t75" alt="IMG_20180515_095736_resized_20180516_091526939" style="width:162.75pt;height:211.5pt;visibility:visible">
            <v:imagedata r:id="rId24" o:title="" croptop="17069f"/>
          </v:shape>
        </w:pict>
      </w:r>
    </w:p>
    <w:p w:rsidR="00AF0FDB" w:rsidRPr="00201414" w:rsidRDefault="00AF0FDB" w:rsidP="00756D72">
      <w:pPr>
        <w:spacing w:before="0"/>
        <w:jc w:val="center"/>
        <w:rPr>
          <w:sz w:val="18"/>
          <w:szCs w:val="18"/>
        </w:rPr>
      </w:pPr>
      <w:r w:rsidRPr="00201414">
        <w:rPr>
          <w:sz w:val="18"/>
          <w:szCs w:val="18"/>
        </w:rPr>
        <w:t>Fot. 12 Szkolenie dla uczniów szkół ponadgimnazjalnych „MLZ - kontra HIV”</w:t>
      </w:r>
    </w:p>
    <w:p w:rsidR="00AF0FDB" w:rsidRPr="00201414" w:rsidRDefault="00AF0FDB" w:rsidP="007B5868">
      <w:pPr>
        <w:rPr>
          <w:b/>
          <w:bCs/>
        </w:rPr>
      </w:pPr>
      <w:r w:rsidRPr="00201414">
        <w:rPr>
          <w:b/>
          <w:bCs/>
        </w:rPr>
        <w:t>Kampania „Mam czas rozmawiać”</w:t>
      </w:r>
    </w:p>
    <w:p w:rsidR="00AF0FDB" w:rsidRPr="00201414" w:rsidRDefault="00AF0FDB" w:rsidP="00A31A5A">
      <w:pPr>
        <w:jc w:val="both"/>
        <w:rPr>
          <w:b/>
          <w:bCs/>
        </w:rPr>
      </w:pPr>
      <w:r w:rsidRPr="00201414">
        <w:t xml:space="preserve">Kampania oparta na idei promowania międzypokoleniowego dialogu o zdrowiu rodziny w tym HIV/AIDS i chorobach przenoszonych drogą płciową. W roku 2018 szczególny nacisk położono na dialog pomiędzy kobietami, które planują ciążę lub oczekują narodzin dziecka. Informację przesłano do urzędów miast i gmin z prośbą o rozpowszechnienie w środowisku lokalnym, materiały kampanijne wykorzystywano w działaniach edukacyjnych. </w:t>
      </w:r>
    </w:p>
    <w:p w:rsidR="00AF0FDB" w:rsidRPr="00201414" w:rsidRDefault="00AF0FDB" w:rsidP="007B5868">
      <w:pPr>
        <w:rPr>
          <w:b/>
          <w:bCs/>
        </w:rPr>
      </w:pPr>
      <w:r w:rsidRPr="00201414">
        <w:rPr>
          <w:b/>
          <w:bCs/>
        </w:rPr>
        <w:t xml:space="preserve">Etap powiatowy konkursu „Nie daj szansy AIDS” </w:t>
      </w:r>
    </w:p>
    <w:p w:rsidR="00AF0FDB" w:rsidRPr="00201414" w:rsidRDefault="00AF0FDB" w:rsidP="0018486D">
      <w:pPr>
        <w:jc w:val="both"/>
      </w:pPr>
      <w:r w:rsidRPr="00201414">
        <w:t xml:space="preserve">Tegorocznym zadaniem konkursowym dla uczniów klas III gimnazjów i szkół ponadgimnazjalnych było nakręcenie filmu, który powinien m.in. propagować wiedzę o drogach zakażenia i objawach towarzyszących zakażeniu HIV, wskazywać na bezpieczne zachowania chroniące przed zakażeniem, zachęcać do wykonania testu w kierunku HIV po każdej sytuacji ryzykownej. Do konkursu przystąpiło 7 szkół. W szkole laureatów I miejsca - Technikum TEB Edukacja w Poznaniu zorganizowano imprezę podsumowującą etap powiatowy konkursu. Laureatom wręczono nagrody ufundowane przez Polskie Towarzystwo Oświaty Zdrowotnej - Oddział Terenowy i PSSE w Poznaniu. Uroczyste wręczenie nagród poprzedził wykład Dyrektora Poznańskiego Ośrodka Psychoterapii Integratywnej w Poznaniu na temat profilaktyki HIV/AIDS. Laureatów I miejsca wraz z opiekunem zaproszono do Kina Muza na podsumowanie etapu wojewódzkiego konkursu. </w:t>
      </w:r>
    </w:p>
    <w:p w:rsidR="00AF0FDB" w:rsidRPr="008E1D7F" w:rsidRDefault="00AF0FDB" w:rsidP="007B5868">
      <w:pPr>
        <w:autoSpaceDE w:val="0"/>
        <w:autoSpaceDN w:val="0"/>
        <w:adjustRightInd w:val="0"/>
        <w:rPr>
          <w:b/>
          <w:bCs/>
          <w:color w:val="FF0000"/>
        </w:rPr>
      </w:pPr>
    </w:p>
    <w:p w:rsidR="00AF0FDB" w:rsidRPr="008E1D7F" w:rsidRDefault="00AF0FDB" w:rsidP="00756D72">
      <w:pPr>
        <w:autoSpaceDE w:val="0"/>
        <w:autoSpaceDN w:val="0"/>
        <w:adjustRightInd w:val="0"/>
        <w:spacing w:before="0"/>
        <w:jc w:val="center"/>
        <w:rPr>
          <w:b/>
          <w:bCs/>
          <w:color w:val="FF0000"/>
        </w:rPr>
      </w:pPr>
      <w:r w:rsidRPr="002C4F7C">
        <w:rPr>
          <w:b/>
          <w:bCs/>
          <w:noProof/>
          <w:color w:val="FF0000"/>
        </w:rPr>
        <w:pict>
          <v:shape id="Obraz 4" o:spid="_x0000_i1038" type="#_x0000_t75" alt="IMG_20181129_115455_resized_20181129_032641712" style="width:325.5pt;height:183pt;visibility:visible">
            <v:imagedata r:id="rId25" o:title=""/>
          </v:shape>
        </w:pict>
      </w:r>
    </w:p>
    <w:p w:rsidR="00AF0FDB" w:rsidRPr="00201414" w:rsidRDefault="00AF0FDB" w:rsidP="00756D72">
      <w:pPr>
        <w:spacing w:before="0"/>
        <w:jc w:val="center"/>
        <w:rPr>
          <w:sz w:val="18"/>
          <w:szCs w:val="18"/>
        </w:rPr>
      </w:pPr>
      <w:r w:rsidRPr="00201414">
        <w:rPr>
          <w:sz w:val="18"/>
          <w:szCs w:val="18"/>
        </w:rPr>
        <w:t>Fot. 13 Laureaci I miejsca etapu powiatowego konkursu na film</w:t>
      </w:r>
    </w:p>
    <w:p w:rsidR="00AF0FDB" w:rsidRPr="008E1D7F" w:rsidRDefault="00AF0FDB" w:rsidP="007B5868">
      <w:pPr>
        <w:autoSpaceDE w:val="0"/>
        <w:autoSpaceDN w:val="0"/>
        <w:adjustRightInd w:val="0"/>
        <w:jc w:val="center"/>
        <w:rPr>
          <w:b/>
          <w:bCs/>
          <w:color w:val="FF0000"/>
        </w:rPr>
      </w:pPr>
    </w:p>
    <w:p w:rsidR="00AF0FDB" w:rsidRPr="00201414" w:rsidRDefault="00AF0FDB" w:rsidP="007B5868">
      <w:pPr>
        <w:autoSpaceDE w:val="0"/>
        <w:autoSpaceDN w:val="0"/>
        <w:adjustRightInd w:val="0"/>
        <w:rPr>
          <w:b/>
          <w:bCs/>
        </w:rPr>
      </w:pPr>
      <w:r w:rsidRPr="00201414">
        <w:rPr>
          <w:b/>
          <w:bCs/>
        </w:rPr>
        <w:t>1 grudnia Światowy Dzień AIDS</w:t>
      </w:r>
    </w:p>
    <w:p w:rsidR="00AF0FDB" w:rsidRPr="00201414" w:rsidRDefault="00AF0FDB" w:rsidP="0018486D">
      <w:pPr>
        <w:autoSpaceDE w:val="0"/>
        <w:autoSpaceDN w:val="0"/>
        <w:adjustRightInd w:val="0"/>
        <w:jc w:val="both"/>
      </w:pPr>
      <w:r w:rsidRPr="00201414">
        <w:t>W ramach obchodów Światowego Dnia AIDS dla uczniów Zespołu Szkół Zawodowych Nr 2 w Poznaniu przeprowadzono wykład z zakresu profilaktyki HIV/AIDS. W Zespole Szkół Budowlano - Drzewnych w Poznaniu przeprowadzono wykład i utworzono punkt informacyjno - edukacyjny. Łącznie z oferty skorzystało 158 uczniów.</w:t>
      </w:r>
    </w:p>
    <w:p w:rsidR="00AF0FDB" w:rsidRPr="008E1D7F" w:rsidRDefault="00AF0FDB" w:rsidP="007B5868">
      <w:pPr>
        <w:rPr>
          <w:color w:val="FF0000"/>
        </w:rPr>
      </w:pPr>
    </w:p>
    <w:p w:rsidR="00AF0FDB" w:rsidRPr="008E1D7F" w:rsidRDefault="00AF0FDB" w:rsidP="00756D72">
      <w:pPr>
        <w:spacing w:before="0"/>
        <w:jc w:val="center"/>
        <w:rPr>
          <w:color w:val="FF0000"/>
        </w:rPr>
      </w:pPr>
      <w:r w:rsidRPr="002C4F7C">
        <w:rPr>
          <w:noProof/>
          <w:color w:val="FF0000"/>
        </w:rPr>
        <w:pict>
          <v:shape id="Obraz 3" o:spid="_x0000_i1039" type="#_x0000_t75" alt="1 grudnia Zespół Szkół Budowlano Drzewnych Poznań 1" style="width:336pt;height:188.25pt;visibility:visible">
            <v:imagedata r:id="rId26" o:title=""/>
          </v:shape>
        </w:pict>
      </w:r>
    </w:p>
    <w:p w:rsidR="00AF0FDB" w:rsidRPr="00201414" w:rsidRDefault="00AF0FDB" w:rsidP="00756D72">
      <w:pPr>
        <w:spacing w:before="0"/>
        <w:jc w:val="center"/>
        <w:rPr>
          <w:sz w:val="18"/>
          <w:szCs w:val="18"/>
        </w:rPr>
      </w:pPr>
      <w:r w:rsidRPr="00201414">
        <w:rPr>
          <w:sz w:val="18"/>
          <w:szCs w:val="18"/>
        </w:rPr>
        <w:t>Fot.14  Wykład dla uczniów w Zespole Szkół Budowlano - Drzewnych w Poznań</w:t>
      </w:r>
      <w:r w:rsidRPr="00201414">
        <w:t xml:space="preserve">  </w:t>
      </w:r>
    </w:p>
    <w:p w:rsidR="00AF0FDB" w:rsidRPr="008E1D7F" w:rsidRDefault="00AF0FDB" w:rsidP="007B5868">
      <w:pPr>
        <w:pStyle w:val="ListParagraph"/>
        <w:spacing w:line="360" w:lineRule="auto"/>
        <w:ind w:left="0"/>
        <w:jc w:val="right"/>
        <w:rPr>
          <w:rFonts w:ascii="Arial" w:hAnsi="Arial" w:cs="Arial"/>
          <w:b/>
          <w:bCs/>
          <w:color w:val="FF0000"/>
        </w:rPr>
      </w:pPr>
    </w:p>
    <w:p w:rsidR="00AF0FDB" w:rsidRPr="00201414" w:rsidRDefault="00AF0FDB" w:rsidP="007B5868">
      <w:pPr>
        <w:pStyle w:val="ListParagraph"/>
        <w:spacing w:line="360" w:lineRule="auto"/>
        <w:ind w:left="0"/>
        <w:jc w:val="right"/>
        <w:rPr>
          <w:rFonts w:ascii="Arial" w:hAnsi="Arial" w:cs="Arial"/>
          <w:b/>
          <w:bCs/>
        </w:rPr>
      </w:pPr>
    </w:p>
    <w:p w:rsidR="00AF0FDB" w:rsidRPr="00350CBC" w:rsidRDefault="00AF0FDB" w:rsidP="00350CBC">
      <w:pPr>
        <w:pStyle w:val="Heading1"/>
        <w:rPr>
          <w:rFonts w:ascii="Times New Roman" w:hAnsi="Times New Roman" w:cs="Times New Roman"/>
          <w:sz w:val="24"/>
          <w:szCs w:val="24"/>
        </w:rPr>
      </w:pPr>
      <w:bookmarkStart w:id="357" w:name="_Toc938887"/>
      <w:r w:rsidRPr="00350CBC">
        <w:rPr>
          <w:rFonts w:ascii="Times New Roman" w:hAnsi="Times New Roman" w:cs="Times New Roman"/>
          <w:sz w:val="24"/>
          <w:szCs w:val="24"/>
        </w:rPr>
        <w:t>Profilaktyczny program w zakresie przeciwdziałania uzależnieniu od alkoholu, tytoniu i innych środków psychoaktywnych</w:t>
      </w:r>
      <w:bookmarkEnd w:id="357"/>
    </w:p>
    <w:p w:rsidR="00AF0FDB" w:rsidRPr="00201414" w:rsidRDefault="00AF0FDB" w:rsidP="0018486D">
      <w:pPr>
        <w:jc w:val="both"/>
      </w:pPr>
      <w:r w:rsidRPr="00201414">
        <w:t>To ogólnopolski projekt z zakresu profilaktyki uzależnień, którego celem jest ograniczenie używania tytoniu, alkoholu i innych substancji psychoaktywnych przez kobiety w wieku prokreacyjnym. P</w:t>
      </w:r>
      <w:r>
        <w:t xml:space="preserve">owiatowa </w:t>
      </w:r>
      <w:r w:rsidRPr="00201414">
        <w:t>S</w:t>
      </w:r>
      <w:r>
        <w:t xml:space="preserve">tacja </w:t>
      </w:r>
      <w:r w:rsidRPr="00201414">
        <w:t>S</w:t>
      </w:r>
      <w:r>
        <w:t xml:space="preserve">anitarno - </w:t>
      </w:r>
      <w:r w:rsidRPr="00201414">
        <w:t>E</w:t>
      </w:r>
      <w:r>
        <w:t>pidemiologiczna</w:t>
      </w:r>
      <w:r w:rsidRPr="00201414">
        <w:t xml:space="preserve"> w Poznaniu w ramach projektu realizowała program edukacyjny kierowany do szkół ponadgimnazjalnych oraz dystrybuowała materiały informacyjno - edukacyjne do 17 poradni ginekologiczno - położniczych. </w:t>
      </w:r>
    </w:p>
    <w:p w:rsidR="00AF0FDB" w:rsidRPr="00201414" w:rsidRDefault="00AF0FDB" w:rsidP="007B5868">
      <w:pPr>
        <w:rPr>
          <w:b/>
          <w:bCs/>
        </w:rPr>
      </w:pPr>
      <w:r w:rsidRPr="00201414">
        <w:rPr>
          <w:b/>
          <w:bCs/>
        </w:rPr>
        <w:t xml:space="preserve">Program dla szkół ponadgimnazjalnych „ARS, czyli jak dbać o miłość?” </w:t>
      </w:r>
    </w:p>
    <w:p w:rsidR="00AF0FDB" w:rsidRPr="00201414" w:rsidRDefault="00AF0FDB" w:rsidP="0018486D">
      <w:pPr>
        <w:jc w:val="both"/>
      </w:pPr>
      <w:r w:rsidRPr="00201414">
        <w:t xml:space="preserve">Do realizacji V edycji programu przystąpiło 18 szkół, edukacją objęto 1282 uczniów. Do szkół przesłano informację o ogólnopolskim konkursie pt. „Szkoła wolna od używek” na projekt edukacyjny mający na celu przeciwdziałanie uzależnieniom od alkoholu, tytoniu i innych środków psychoaktywnych. Przeprowadzono 11 wizytacji oceniających realizację programu. </w:t>
      </w:r>
    </w:p>
    <w:p w:rsidR="00AF0FDB" w:rsidRPr="00E2559A" w:rsidRDefault="00AF0FDB" w:rsidP="00E2559A">
      <w:pPr>
        <w:pStyle w:val="Standard"/>
        <w:spacing w:line="360" w:lineRule="auto"/>
        <w:jc w:val="both"/>
        <w:rPr>
          <w:rFonts w:ascii="Times New Roman" w:hAnsi="Times New Roman" w:cs="Times New Roman"/>
        </w:rPr>
      </w:pPr>
      <w:r w:rsidRPr="00201414">
        <w:rPr>
          <w:rFonts w:ascii="Times New Roman" w:hAnsi="Times New Roman" w:cs="Times New Roman"/>
        </w:rPr>
        <w:t>W roku szkolnym 2018/2019 w pr</w:t>
      </w:r>
      <w:r>
        <w:rPr>
          <w:rFonts w:ascii="Times New Roman" w:hAnsi="Times New Roman" w:cs="Times New Roman"/>
        </w:rPr>
        <w:t>ogramie udział weźmie 19 szkół.</w:t>
      </w:r>
    </w:p>
    <w:p w:rsidR="00AF0FDB" w:rsidRPr="00350CBC" w:rsidRDefault="00AF0FDB" w:rsidP="00350CBC">
      <w:pPr>
        <w:pStyle w:val="Heading1"/>
        <w:rPr>
          <w:rFonts w:ascii="Times New Roman" w:hAnsi="Times New Roman" w:cs="Times New Roman"/>
          <w:sz w:val="24"/>
          <w:szCs w:val="24"/>
        </w:rPr>
      </w:pPr>
      <w:bookmarkStart w:id="358" w:name="_Toc938888"/>
      <w:r w:rsidRPr="00350CBC">
        <w:rPr>
          <w:rFonts w:ascii="Times New Roman" w:hAnsi="Times New Roman" w:cs="Times New Roman"/>
          <w:sz w:val="24"/>
          <w:szCs w:val="24"/>
        </w:rPr>
        <w:t>Program  „Moje Dziecko Idzie do Szkoły”</w:t>
      </w:r>
      <w:bookmarkEnd w:id="358"/>
    </w:p>
    <w:p w:rsidR="00AF0FDB" w:rsidRPr="00201414" w:rsidRDefault="00AF0FDB" w:rsidP="0018486D">
      <w:pPr>
        <w:jc w:val="both"/>
      </w:pPr>
      <w:r w:rsidRPr="00201414">
        <w:t>Celem realizowanego od wielu lat programu jest kształtowanie prawidłowych nawyków i umiejętności prozdrowotnych wśród dzieci i ich rodziców. Inicjatorem projektu jest Wojewódzka Stacja Sanitarno - Epidemiologiczna w Poznaniu. W roku szkolnym 2017/2018 program realizowało 161 przedszkoli i szkół podstawowych. Placówki zaopatrzono w materiały edukacyjne tj. broszury dla rodziców oraz kolorowanki tematyczne dla dzieci. Zadaniem nauczycieli była edukacja rodziców w oparciu o informacje zawarte w broszurze. Jak wynika z przeprowadzonych 89 wizytacji wychowawcy grup pięcio</w:t>
      </w:r>
      <w:r>
        <w:t>-</w:t>
      </w:r>
      <w:r w:rsidRPr="00201414">
        <w:t xml:space="preserve"> i sześciolatków poruszali poszczególne zagadnienia w trakcie zebrań z rodzicami oraz podczas rozmów indywidualnych. Podobnie, jak w latach poprzednich placówki organizowały spotkania dzieci i rodziców ze specjalistami. Ogółem programem objęto 5468 dzieci oraz ich rodziców i opiekunów. </w:t>
      </w:r>
    </w:p>
    <w:p w:rsidR="00AF0FDB" w:rsidRPr="00E2559A" w:rsidRDefault="00AF0FDB" w:rsidP="00E2559A">
      <w:pPr>
        <w:jc w:val="both"/>
      </w:pPr>
      <w:r w:rsidRPr="00201414">
        <w:t>W czerwcu 2018 r. zakończyła się wieloletnia realizacja programu. W miejsce programu „Moje Dziecko Idzie do Szkoły” W</w:t>
      </w:r>
      <w:r>
        <w:t xml:space="preserve">ojewódzka </w:t>
      </w:r>
      <w:r w:rsidRPr="00201414">
        <w:t>S</w:t>
      </w:r>
      <w:r>
        <w:t xml:space="preserve">tacja </w:t>
      </w:r>
      <w:r w:rsidRPr="00201414">
        <w:t>S</w:t>
      </w:r>
      <w:r>
        <w:t xml:space="preserve">anitarno - </w:t>
      </w:r>
      <w:r w:rsidRPr="00201414">
        <w:t>E</w:t>
      </w:r>
      <w:r>
        <w:t>pidemiologiczna</w:t>
      </w:r>
      <w:r w:rsidRPr="00201414">
        <w:t xml:space="preserve"> w Poznaniu opracowała nowy program edukacyjny pt. „Mamo, Tato - co Wy na to?”, który </w:t>
      </w:r>
      <w:r>
        <w:t>jest</w:t>
      </w:r>
      <w:r w:rsidRPr="00201414">
        <w:t xml:space="preserve"> wdrażany od stycznia 2019 r. </w:t>
      </w:r>
    </w:p>
    <w:p w:rsidR="00AF0FDB" w:rsidRDefault="00AF0FDB" w:rsidP="00350CBC">
      <w:pPr>
        <w:pStyle w:val="Heading1"/>
        <w:rPr>
          <w:rFonts w:ascii="Times New Roman" w:hAnsi="Times New Roman" w:cs="Times New Roman"/>
          <w:sz w:val="24"/>
          <w:szCs w:val="24"/>
        </w:rPr>
      </w:pPr>
      <w:bookmarkStart w:id="359" w:name="_Toc938889"/>
      <w:r w:rsidRPr="00350CBC">
        <w:rPr>
          <w:rFonts w:ascii="Times New Roman" w:hAnsi="Times New Roman" w:cs="Times New Roman"/>
          <w:sz w:val="24"/>
          <w:szCs w:val="24"/>
        </w:rPr>
        <w:t>Program edukacyjny „Wybierz życie - pierwszy krok”</w:t>
      </w:r>
      <w:bookmarkEnd w:id="359"/>
    </w:p>
    <w:p w:rsidR="00AF0FDB" w:rsidRPr="00E2559A" w:rsidRDefault="00AF0FDB" w:rsidP="00E2559A"/>
    <w:p w:rsidR="00AF0FDB" w:rsidRPr="00201414" w:rsidRDefault="00AF0FDB" w:rsidP="00E2559A">
      <w:pPr>
        <w:pStyle w:val="Standard"/>
        <w:spacing w:after="0" w:line="360" w:lineRule="auto"/>
        <w:jc w:val="both"/>
        <w:rPr>
          <w:rFonts w:ascii="Times New Roman" w:hAnsi="Times New Roman" w:cs="Times New Roman"/>
        </w:rPr>
      </w:pPr>
      <w:r w:rsidRPr="00201414">
        <w:rPr>
          <w:rFonts w:ascii="Times New Roman" w:hAnsi="Times New Roman" w:cs="Times New Roman"/>
        </w:rPr>
        <w:t>Program edukacyjny obejmujący tematykę profilaktyki raka szyjki macicy adresowany jest do uczniów szkół ponadgimnazjalnych, ich rodziców i opiekunów oraz kadry pedagogicznej. Celem programu jest zmniejszenie występowania raka szyjki macicy i umieralności na tę chorobę poprzez zwiększenie poziomu wiedzy i motywowanie kobiet do regularnego poddawania się badaniom profilaktycznym przez całe życie. W roku szkolnym 2017/2018 program kontynuowało 14 placówek</w:t>
      </w:r>
      <w:bookmarkStart w:id="360" w:name="_Hlk535482839"/>
      <w:r w:rsidRPr="00201414">
        <w:rPr>
          <w:rFonts w:ascii="Times New Roman" w:hAnsi="Times New Roman" w:cs="Times New Roman"/>
        </w:rPr>
        <w:t>. Szkolni koordynatorzy programu otrzymali materiały edukacyjne do jego realizacji.</w:t>
      </w:r>
      <w:bookmarkEnd w:id="360"/>
      <w:r w:rsidRPr="00201414">
        <w:rPr>
          <w:rFonts w:ascii="Times New Roman" w:hAnsi="Times New Roman" w:cs="Times New Roman"/>
        </w:rPr>
        <w:t xml:space="preserve"> Z nadesłanych ze szkół informacji wynika, że odbyły się lekcje poświęcone profilaktyce raka szyjki macicy w oparciu o </w:t>
      </w:r>
      <w:r>
        <w:rPr>
          <w:rFonts w:ascii="Times New Roman" w:hAnsi="Times New Roman" w:cs="Times New Roman"/>
        </w:rPr>
        <w:t xml:space="preserve">nadesłane </w:t>
      </w:r>
      <w:r w:rsidRPr="00201414">
        <w:rPr>
          <w:rFonts w:ascii="Times New Roman" w:hAnsi="Times New Roman" w:cs="Times New Roman"/>
        </w:rPr>
        <w:t xml:space="preserve">scenariusze. Edukacją objęto 1925 uczniów, 769 rodziców i  51 nauczycieli. Przeprowadzono 11 wizytacji oceniających realizację programu w szkołach. Do szkół realizujących program wysłano regulamin konkursu na fotografię. </w:t>
      </w:r>
    </w:p>
    <w:p w:rsidR="00AF0FDB" w:rsidRPr="00201414" w:rsidRDefault="00AF0FDB" w:rsidP="00E2559A">
      <w:pPr>
        <w:pStyle w:val="Standard"/>
        <w:spacing w:after="0" w:line="360" w:lineRule="auto"/>
        <w:rPr>
          <w:rFonts w:ascii="Times New Roman" w:hAnsi="Times New Roman" w:cs="Times New Roman"/>
        </w:rPr>
      </w:pPr>
      <w:r w:rsidRPr="00201414">
        <w:rPr>
          <w:rFonts w:ascii="Times New Roman" w:hAnsi="Times New Roman" w:cs="Times New Roman"/>
        </w:rPr>
        <w:t>W roku szkolnym 2018/2019 w programie udział weźmie 14 szkół.</w:t>
      </w:r>
    </w:p>
    <w:p w:rsidR="00AF0FDB" w:rsidRPr="00350CBC" w:rsidRDefault="00AF0FDB" w:rsidP="00350CBC">
      <w:pPr>
        <w:pStyle w:val="Heading1"/>
        <w:rPr>
          <w:rFonts w:ascii="Times New Roman" w:hAnsi="Times New Roman" w:cs="Times New Roman"/>
          <w:sz w:val="24"/>
          <w:szCs w:val="24"/>
        </w:rPr>
      </w:pPr>
      <w:bookmarkStart w:id="361" w:name="_Toc938890"/>
      <w:r w:rsidRPr="00350CBC">
        <w:rPr>
          <w:rFonts w:ascii="Times New Roman" w:hAnsi="Times New Roman" w:cs="Times New Roman"/>
          <w:sz w:val="24"/>
          <w:szCs w:val="24"/>
        </w:rPr>
        <w:t>Realizacja interwencji nieprogramowych</w:t>
      </w:r>
      <w:bookmarkEnd w:id="361"/>
    </w:p>
    <w:p w:rsidR="00AF0FDB" w:rsidRPr="00201414" w:rsidRDefault="00AF0FDB" w:rsidP="007B5868">
      <w:pPr>
        <w:rPr>
          <w:b/>
          <w:bCs/>
        </w:rPr>
      </w:pPr>
      <w:r w:rsidRPr="00201414">
        <w:rPr>
          <w:b/>
          <w:bCs/>
        </w:rPr>
        <w:t>Światowy Dzień Zdrowia</w:t>
      </w:r>
    </w:p>
    <w:p w:rsidR="00AF0FDB" w:rsidRPr="00201414" w:rsidRDefault="00AF0FDB" w:rsidP="00E2559A">
      <w:pPr>
        <w:spacing w:before="0"/>
        <w:jc w:val="both"/>
      </w:pPr>
      <w:r w:rsidRPr="00201414">
        <w:t>Światowy Dzień Zdrowia przebiegał pod hasłem „Zdrowie dla wszystkich”, a jego tematem przewodnim była „Powszechna opieka zdrowotna: wszędzie dla każdego”. Wśród najważniejszych przesłań zwrócono m.in. uwagę na fakt, iż powszechna opieka zdrowotna jest kluczem do zdrowia i dobrostanu ludzi oraz narodów. Polega ona na zapewnieniu wszystkim dostępu do świadczeń zdrowotnych na odpowiednim poziomie tam, gdzie i </w:t>
      </w:r>
      <w:r>
        <w:t xml:space="preserve"> </w:t>
      </w:r>
      <w:r w:rsidRPr="00201414">
        <w:t xml:space="preserve">kiedy jest to konieczne bez generowania dodatkowego obciążenia finansowego. </w:t>
      </w:r>
    </w:p>
    <w:p w:rsidR="00AF0FDB" w:rsidRDefault="00AF0FDB" w:rsidP="00E2559A">
      <w:pPr>
        <w:spacing w:before="0"/>
        <w:jc w:val="both"/>
      </w:pPr>
      <w:r w:rsidRPr="00201414">
        <w:t>Na terenie Galerii MM PSSE w Poznaniu wraz z Międzynarodowym Stowarzyszeniem Studentów Medycyny IFMSA - Poland Oddział w Poznaniu współorganizowała akcję profilaktyczną „Zdrowie pod kontrolą”. Osoby zainteresowane mogły skorzystać z oferty badań profilaktycznych: pomiaru glukozy we krwi, pomiaru ciśnienia tętniczego, rozkładu lipidów, analizy składu ciała oraz porad dietetycznych. Na stanowisku P</w:t>
      </w:r>
      <w:r>
        <w:t xml:space="preserve">owiatowej </w:t>
      </w:r>
      <w:r w:rsidRPr="00201414">
        <w:t>S</w:t>
      </w:r>
      <w:r>
        <w:t xml:space="preserve">tacji </w:t>
      </w:r>
      <w:r w:rsidRPr="00201414">
        <w:t>S</w:t>
      </w:r>
      <w:r>
        <w:t xml:space="preserve">anitarno - </w:t>
      </w:r>
      <w:r w:rsidRPr="00201414">
        <w:t>E</w:t>
      </w:r>
      <w:r>
        <w:t>pidemiologicznej</w:t>
      </w:r>
      <w:r w:rsidRPr="00201414">
        <w:t xml:space="preserve"> w Poznaniu można było skorzystać z pomiaru poziomu tlenku węgla w wydychanym powietrzu, poradnictwa antynikotynowego oraz dowiedzieć się, jak alkohol upośledza zmysły człowieka - ćwiczenia z wykorzystaniem alkogogli. Udzielono wywiadu w TVP3, Radiu Eska, Radiu Emaus oraz Radiu Poznań. </w:t>
      </w:r>
    </w:p>
    <w:p w:rsidR="00AF0FDB" w:rsidRPr="00201414" w:rsidRDefault="00AF0FDB" w:rsidP="00713DD8">
      <w:pPr>
        <w:jc w:val="both"/>
      </w:pPr>
    </w:p>
    <w:p w:rsidR="00AF0FDB" w:rsidRPr="008E1D7F" w:rsidRDefault="00AF0FDB" w:rsidP="00756D72">
      <w:pPr>
        <w:pStyle w:val="Standard"/>
        <w:spacing w:after="0" w:line="360" w:lineRule="auto"/>
        <w:jc w:val="center"/>
        <w:rPr>
          <w:rFonts w:cs="Times New Roman"/>
          <w:color w:val="FF0000"/>
        </w:rPr>
      </w:pPr>
      <w:r w:rsidRPr="002C4F7C">
        <w:rPr>
          <w:rFonts w:cs="Times New Roman"/>
          <w:noProof/>
          <w:color w:val="FF0000"/>
          <w:lang w:eastAsia="pl-PL"/>
        </w:rPr>
        <w:pict>
          <v:shape id="Obraz 2" o:spid="_x0000_i1040" type="#_x0000_t75" alt="IMG_5320" style="width:206.25pt;height:275.25pt;visibility:visible">
            <v:imagedata r:id="rId27" o:title=""/>
          </v:shape>
        </w:pict>
      </w:r>
    </w:p>
    <w:p w:rsidR="00AF0FDB" w:rsidRPr="00201414" w:rsidRDefault="00AF0FDB" w:rsidP="00756D72">
      <w:pPr>
        <w:pStyle w:val="Standard"/>
        <w:spacing w:after="0" w:line="360" w:lineRule="auto"/>
        <w:jc w:val="center"/>
        <w:rPr>
          <w:rFonts w:ascii="Times New Roman" w:hAnsi="Times New Roman" w:cs="Times New Roman"/>
          <w:sz w:val="18"/>
          <w:szCs w:val="18"/>
        </w:rPr>
      </w:pPr>
      <w:r w:rsidRPr="00201414">
        <w:rPr>
          <w:rFonts w:ascii="Times New Roman" w:hAnsi="Times New Roman" w:cs="Times New Roman"/>
          <w:sz w:val="18"/>
          <w:szCs w:val="18"/>
        </w:rPr>
        <w:t>Fot. 15 Punkt informacyjno - edukacyjny w Galerii MM w Poznaniu</w:t>
      </w:r>
    </w:p>
    <w:p w:rsidR="00AF0FDB" w:rsidRPr="008E1D7F" w:rsidRDefault="00AF0FDB" w:rsidP="007B5868">
      <w:pPr>
        <w:rPr>
          <w:b/>
          <w:bCs/>
          <w:color w:val="FF0000"/>
        </w:rPr>
      </w:pPr>
    </w:p>
    <w:p w:rsidR="00AF0FDB" w:rsidRPr="00201414" w:rsidRDefault="00AF0FDB" w:rsidP="007B5868">
      <w:pPr>
        <w:rPr>
          <w:b/>
          <w:bCs/>
        </w:rPr>
      </w:pPr>
      <w:r w:rsidRPr="00201414">
        <w:rPr>
          <w:b/>
          <w:bCs/>
        </w:rPr>
        <w:t>Profilaktyka zażywania „dopalaczy”</w:t>
      </w:r>
    </w:p>
    <w:p w:rsidR="00AF0FDB" w:rsidRPr="00800C37" w:rsidRDefault="00AF0FDB" w:rsidP="00800C37">
      <w:pPr>
        <w:pStyle w:val="Standard"/>
        <w:spacing w:line="360" w:lineRule="auto"/>
        <w:jc w:val="both"/>
        <w:rPr>
          <w:rFonts w:cs="Times New Roman"/>
        </w:rPr>
      </w:pPr>
      <w:r w:rsidRPr="00201414">
        <w:rPr>
          <w:rFonts w:ascii="Times New Roman" w:hAnsi="Times New Roman" w:cs="Times New Roman"/>
        </w:rPr>
        <w:t>Kontynuowano działania informacyjno - edukacyjne mające na celu wzrost świadomości społecznej na temat wpływu narkotyków i nowych substancji psychoaktywnych na funkcjonowanie organizmu ludzkiego. W 10 szkołach z miasta Poznania oraz powiatu poznańskiego przeprowadzono wykłady, w których łącznie uczestniczyło 730 uczniów. W podjętym przedsięwzięciu współpracowano z Komisariatami Policji: Poznań - Grunwald i Poznań - Stare Miasto oraz Komisariatem Policji w Komornikach. Uczestniczono w spotkaniu z rodzicami uczniów oraz nauczycielami z Zespołu Szkół Samochodowych w Poznaniu. Edukacją objęto 95 osób. Przeprowadzono również spotkania na temat dopalaczy z 30 uczestnikami letniego obozu sportowego w Szkole Podstawowej nr 1 w Kórniku. W 2 szkołach przeprowadzono zajęcia warsztatowe z udziałem 80 uczniów. Dystrybuowano materiały informacyjno - edukacyjne do szkół, jak i do zakładów pracy Strauss Cafe Poland i Auchan Swadzim w Tarnowie Podgórnym. Podjęte przez PSSE w Poznaniu działania w profilaktyce antydopalaczowej zaprezentowano w Urzędzie Marszałkowskim Województwa Wielkopolskiego podczas konferencji nt. strategii rozwiązywania problemu uzależnień zorganizowanej przez Krajowe Biuro ds. Przeciwdziałania Narkomanii oraz Fundację Polskiej Sieci Polityki Narkotykowej</w:t>
      </w:r>
      <w:r w:rsidRPr="00201414">
        <w:t>.</w:t>
      </w:r>
    </w:p>
    <w:p w:rsidR="00AF0FDB" w:rsidRDefault="00AF0FDB" w:rsidP="00E2559A">
      <w:pPr>
        <w:pStyle w:val="Heading1"/>
        <w:jc w:val="left"/>
        <w:rPr>
          <w:rFonts w:ascii="Times New Roman" w:hAnsi="Times New Roman" w:cs="Times New Roman"/>
          <w:sz w:val="24"/>
          <w:szCs w:val="24"/>
        </w:rPr>
      </w:pPr>
      <w:bookmarkStart w:id="362" w:name="_Toc938891"/>
    </w:p>
    <w:p w:rsidR="00AF0FDB" w:rsidRPr="00350CBC" w:rsidRDefault="00AF0FDB" w:rsidP="00350CBC">
      <w:pPr>
        <w:pStyle w:val="Heading1"/>
        <w:rPr>
          <w:rFonts w:ascii="Times New Roman" w:hAnsi="Times New Roman" w:cs="Times New Roman"/>
          <w:sz w:val="24"/>
          <w:szCs w:val="24"/>
        </w:rPr>
      </w:pPr>
      <w:r w:rsidRPr="00350CBC">
        <w:rPr>
          <w:rFonts w:ascii="Times New Roman" w:hAnsi="Times New Roman" w:cs="Times New Roman"/>
          <w:sz w:val="24"/>
          <w:szCs w:val="24"/>
        </w:rPr>
        <w:t>Inne przedsięwzięcia</w:t>
      </w:r>
      <w:bookmarkEnd w:id="362"/>
    </w:p>
    <w:p w:rsidR="00AF0FDB" w:rsidRPr="00201414" w:rsidRDefault="00AF0FDB" w:rsidP="006542E5">
      <w:pPr>
        <w:spacing w:before="0"/>
        <w:rPr>
          <w:b/>
          <w:bCs/>
        </w:rPr>
      </w:pPr>
      <w:r w:rsidRPr="00201414">
        <w:rPr>
          <w:b/>
          <w:bCs/>
        </w:rPr>
        <w:t>Wielkopolska Sieć Szkół Promujących Zdrowie</w:t>
      </w:r>
    </w:p>
    <w:p w:rsidR="00AF0FDB" w:rsidRPr="00201414" w:rsidRDefault="00AF0FDB" w:rsidP="006542E5">
      <w:pPr>
        <w:spacing w:before="0"/>
        <w:jc w:val="both"/>
        <w:rPr>
          <w:b/>
          <w:bCs/>
        </w:rPr>
      </w:pPr>
      <w:r w:rsidRPr="00201414">
        <w:t>Inicjatorem i koordynatorem Wielkopolskiej Sieci Szkół Promujących Zdrowie jest Kuratorium Oświaty w Poznaniu. P</w:t>
      </w:r>
      <w:r>
        <w:t xml:space="preserve">owiatowa </w:t>
      </w:r>
      <w:r w:rsidRPr="00201414">
        <w:t>S</w:t>
      </w:r>
      <w:r>
        <w:t xml:space="preserve">tacja </w:t>
      </w:r>
      <w:r w:rsidRPr="00201414">
        <w:t>S</w:t>
      </w:r>
      <w:r>
        <w:t xml:space="preserve">anitarno - </w:t>
      </w:r>
      <w:r w:rsidRPr="00201414">
        <w:t>E</w:t>
      </w:r>
      <w:r>
        <w:t>pidemiologiczna</w:t>
      </w:r>
      <w:r w:rsidRPr="00201414">
        <w:t xml:space="preserve"> w Poznaniu wspierała szkoły proponując udział w programach edukacyjnych i konkursach prozdrowotnych. Na zaproszenie szkół uczestniczono w trzech wizytach studyjnych podsumowujących okres przygotowawczy do uzyskania wojewódzkiego certyfikatu Szkoły Promującej Zdrowie . </w:t>
      </w:r>
    </w:p>
    <w:p w:rsidR="00AF0FDB" w:rsidRPr="00201414" w:rsidRDefault="00AF0FDB" w:rsidP="007B5868"/>
    <w:p w:rsidR="00AF0FDB" w:rsidRPr="00201414" w:rsidRDefault="00AF0FDB" w:rsidP="006542E5">
      <w:pPr>
        <w:spacing w:before="0"/>
        <w:rPr>
          <w:b/>
          <w:bCs/>
        </w:rPr>
      </w:pPr>
      <w:r w:rsidRPr="00201414">
        <w:rPr>
          <w:b/>
          <w:bCs/>
        </w:rPr>
        <w:t>Konferencja dla opiekunów szkolnych kół PCK</w:t>
      </w:r>
    </w:p>
    <w:p w:rsidR="00AF0FDB" w:rsidRPr="00201414" w:rsidRDefault="00AF0FDB" w:rsidP="006542E5">
      <w:pPr>
        <w:spacing w:before="0"/>
        <w:jc w:val="both"/>
      </w:pPr>
      <w:r w:rsidRPr="00201414">
        <w:t>Na zaproszenie Oddziału Rejonowego Polskiego Czerwonego Krzyża w Poznaniu uczestniczono w spotkaniu z  nauczycielami, opiekunami szkolnych kół PCK, którym przedstawiono ofertę realizacji programów edukacyjnych.</w:t>
      </w:r>
    </w:p>
    <w:p w:rsidR="00AF0FDB" w:rsidRPr="00201414" w:rsidRDefault="00AF0FDB" w:rsidP="006542E5">
      <w:pPr>
        <w:jc w:val="both"/>
      </w:pPr>
    </w:p>
    <w:p w:rsidR="00AF0FDB" w:rsidRPr="00201414" w:rsidRDefault="00AF0FDB" w:rsidP="006542E5">
      <w:pPr>
        <w:spacing w:before="0"/>
        <w:rPr>
          <w:b/>
          <w:bCs/>
        </w:rPr>
      </w:pPr>
      <w:r w:rsidRPr="00201414">
        <w:rPr>
          <w:b/>
          <w:bCs/>
        </w:rPr>
        <w:t>Europejski Tydzień Szczepień</w:t>
      </w:r>
    </w:p>
    <w:p w:rsidR="00AF0FDB" w:rsidRPr="00201414" w:rsidRDefault="00AF0FDB" w:rsidP="006542E5">
      <w:pPr>
        <w:spacing w:before="0"/>
        <w:jc w:val="both"/>
      </w:pPr>
      <w:r w:rsidRPr="00201414">
        <w:t xml:space="preserve">Informację o obchodach Europejskiego Tygodnia Szczepień przebiegającego pod hasłem „Zapobiegaj. Chroń. Zaszczep” zamieszczono na stronie internetowej PSSE w Poznaniu. Celem inicjatywy było zwiększenie liczby osób zaszczepionych poprzez podniesienie poziomu wiedzy i świadomości społeczeństwa, ze szczególnym zwróceniem uwagi na potrzeby                    i korzyści wynikające ze szczepień na każdym etapie życia.  </w:t>
      </w:r>
    </w:p>
    <w:p w:rsidR="00AF0FDB" w:rsidRPr="00201414" w:rsidRDefault="00AF0FDB" w:rsidP="006542E5">
      <w:pPr>
        <w:spacing w:before="0"/>
        <w:rPr>
          <w:b/>
          <w:bCs/>
        </w:rPr>
      </w:pPr>
    </w:p>
    <w:p w:rsidR="00AF0FDB" w:rsidRPr="00201414" w:rsidRDefault="00AF0FDB" w:rsidP="006542E5">
      <w:pPr>
        <w:spacing w:before="0"/>
        <w:rPr>
          <w:b/>
          <w:bCs/>
        </w:rPr>
      </w:pPr>
      <w:r w:rsidRPr="00201414">
        <w:rPr>
          <w:b/>
          <w:bCs/>
        </w:rPr>
        <w:t xml:space="preserve">X Ogólnopolski Dzień Szczepień </w:t>
      </w:r>
    </w:p>
    <w:p w:rsidR="00AF0FDB" w:rsidRPr="00201414" w:rsidRDefault="00AF0FDB" w:rsidP="006542E5">
      <w:pPr>
        <w:spacing w:before="0"/>
        <w:jc w:val="both"/>
      </w:pPr>
      <w:r>
        <w:t xml:space="preserve">Dzień </w:t>
      </w:r>
      <w:r w:rsidRPr="00201414">
        <w:t xml:space="preserve">7 grudnia 2018 r. obchodzony był X Ogólnopolskim Dniem Szczepień, którego celem było propagowanie szczepień, jako najskuteczniejszego sposobu zapobiegania chorobom, poprawa społecznej wiedzy na temat korzyści wynikających ze stosowania szczepień, a także konieczności poszerzenia dostępu do tego rodzaju profilaktyki. Informację zamieszczono na stronie internetowej PSSE w Poznaniu oraz przesłano do urzędów miast i gmin. </w:t>
      </w:r>
    </w:p>
    <w:p w:rsidR="00AF0FDB" w:rsidRPr="00201414" w:rsidRDefault="00AF0FDB" w:rsidP="006542E5">
      <w:pPr>
        <w:jc w:val="both"/>
      </w:pPr>
    </w:p>
    <w:p w:rsidR="00AF0FDB" w:rsidRPr="008E1D7F" w:rsidRDefault="00AF0FDB" w:rsidP="006542E5">
      <w:pPr>
        <w:spacing w:before="0"/>
        <w:rPr>
          <w:b/>
          <w:bCs/>
          <w:color w:val="FF0000"/>
        </w:rPr>
      </w:pPr>
    </w:p>
    <w:p w:rsidR="00AF0FDB" w:rsidRPr="008E1D7F" w:rsidRDefault="00AF0FDB" w:rsidP="006542E5">
      <w:pPr>
        <w:spacing w:before="0"/>
        <w:rPr>
          <w:b/>
          <w:bCs/>
          <w:color w:val="FF0000"/>
        </w:rPr>
      </w:pPr>
    </w:p>
    <w:p w:rsidR="00AF0FDB" w:rsidRPr="00201414" w:rsidRDefault="00AF0FDB" w:rsidP="006542E5">
      <w:pPr>
        <w:spacing w:before="0"/>
        <w:rPr>
          <w:b/>
          <w:bCs/>
        </w:rPr>
      </w:pPr>
      <w:r w:rsidRPr="00201414">
        <w:rPr>
          <w:b/>
          <w:bCs/>
        </w:rPr>
        <w:t>Wiosna bez pneumokoków</w:t>
      </w:r>
    </w:p>
    <w:p w:rsidR="00AF0FDB" w:rsidRPr="00201414" w:rsidRDefault="00AF0FDB" w:rsidP="006542E5">
      <w:pPr>
        <w:spacing w:before="0"/>
      </w:pPr>
      <w:r w:rsidRPr="00201414">
        <w:t>Zamieszczenie na stronie internetowej PSSE w Poznaniu o akcji „Wiosna bez pneumokoków”, w ramach której można było bezpłatnie zaszczepić dzieci urodzone w latach 2013-2016 przeciwko pneumokokom.</w:t>
      </w:r>
    </w:p>
    <w:p w:rsidR="00AF0FDB" w:rsidRPr="00201414" w:rsidRDefault="00AF0FDB" w:rsidP="006542E5">
      <w:pPr>
        <w:spacing w:before="0"/>
        <w:rPr>
          <w:b/>
          <w:bCs/>
        </w:rPr>
      </w:pPr>
    </w:p>
    <w:p w:rsidR="00AF0FDB" w:rsidRPr="00201414" w:rsidRDefault="00AF0FDB" w:rsidP="006542E5">
      <w:pPr>
        <w:spacing w:before="0"/>
        <w:rPr>
          <w:b/>
          <w:bCs/>
        </w:rPr>
      </w:pPr>
      <w:r w:rsidRPr="00201414">
        <w:rPr>
          <w:b/>
          <w:bCs/>
        </w:rPr>
        <w:t>Mały kleszcz - duży problem</w:t>
      </w:r>
    </w:p>
    <w:p w:rsidR="00AF0FDB" w:rsidRPr="00201414" w:rsidRDefault="00AF0FDB" w:rsidP="006542E5">
      <w:pPr>
        <w:spacing w:before="0"/>
        <w:jc w:val="both"/>
      </w:pPr>
      <w:r w:rsidRPr="00201414">
        <w:t xml:space="preserve">W ramach akcji informacyjno - edukacyjnej „Mały kleszcz - duży problem” pracownik PSSE w Poznaniu przeprowadził dwa szkolenia na temat kleszczy dla seniorów z Klubów Seniora „Złota Jesień” w Owińskach oraz „Pod Jaworem” w Czerwonaku. Łącznie w szkoleniach udział wzięły 74 osoby. Dla dzieci uczestniczących w półkoloniach w poznańskich domach kultury przeprowadzono pogadanki, podczas których zwrócono uwagę na prawidłową                        i skuteczną profilaktykę przeciwkleszczową oraz przekazano materiały tematyczne. Broszury informacyjne otrzymali również uczestnicy letniego obozu sportowego w Kórniku. Ponadto prowadzono działania informacyjno - edukacyjne podczas 10 imprez prozdrowotnych na terenie Poznania i powiatu poznańskiego. Do 19 szkół oraz 2 przedszkoli przekazano kleszczołapki do wykorzystania przez opiekunów na wycieczkach szkolnych i zielonych szkołach oraz przez pielęgniarki szkolne w gabinecie. </w:t>
      </w:r>
    </w:p>
    <w:p w:rsidR="00AF0FDB" w:rsidRPr="00201414" w:rsidRDefault="00AF0FDB" w:rsidP="007B5868"/>
    <w:p w:rsidR="00AF0FDB" w:rsidRPr="00201414" w:rsidRDefault="00AF0FDB" w:rsidP="00201414">
      <w:pPr>
        <w:spacing w:before="0"/>
      </w:pPr>
      <w:r w:rsidRPr="00201414">
        <w:rPr>
          <w:b/>
          <w:bCs/>
        </w:rPr>
        <w:t>Europejski Kodeks Walki z Rakiem</w:t>
      </w:r>
    </w:p>
    <w:p w:rsidR="00AF0FDB" w:rsidRPr="00201414" w:rsidRDefault="00AF0FDB" w:rsidP="00201414">
      <w:pPr>
        <w:tabs>
          <w:tab w:val="left" w:pos="-284"/>
        </w:tabs>
        <w:spacing w:before="0"/>
        <w:ind w:left="30"/>
        <w:jc w:val="both"/>
      </w:pPr>
      <w:r w:rsidRPr="00201414">
        <w:t>Do szkół podstawowych i gimnazjów przekazywano otrzymane z Wielkopolskiego Centrum Onkologii w Poznaniu poradniki metodyczne „Szkoła Promująca Zalecenia Europejskiego Kodeksu Walki z Rakiem” do wykorzystania przy realizacji programów edukacyjnych.</w:t>
      </w:r>
    </w:p>
    <w:p w:rsidR="00AF0FDB" w:rsidRPr="00201414" w:rsidRDefault="00AF0FDB" w:rsidP="007B5868">
      <w:pPr>
        <w:tabs>
          <w:tab w:val="left" w:pos="-284"/>
        </w:tabs>
        <w:rPr>
          <w:b/>
          <w:bCs/>
        </w:rPr>
      </w:pPr>
    </w:p>
    <w:p w:rsidR="00AF0FDB" w:rsidRPr="00201414" w:rsidRDefault="00AF0FDB" w:rsidP="009A6959">
      <w:pPr>
        <w:tabs>
          <w:tab w:val="left" w:pos="-284"/>
        </w:tabs>
        <w:spacing w:before="0"/>
        <w:ind w:left="30"/>
        <w:rPr>
          <w:b/>
          <w:bCs/>
        </w:rPr>
      </w:pPr>
      <w:r w:rsidRPr="00201414">
        <w:rPr>
          <w:b/>
          <w:bCs/>
        </w:rPr>
        <w:t>Profilaktyka przeciwnowotworowa</w:t>
      </w:r>
    </w:p>
    <w:p w:rsidR="00AF0FDB" w:rsidRPr="00201414" w:rsidRDefault="00AF0FDB" w:rsidP="0018486D">
      <w:pPr>
        <w:tabs>
          <w:tab w:val="left" w:pos="-284"/>
        </w:tabs>
        <w:spacing w:before="0"/>
        <w:ind w:left="30"/>
        <w:jc w:val="both"/>
        <w:rPr>
          <w:b/>
          <w:bCs/>
        </w:rPr>
      </w:pPr>
      <w:r w:rsidRPr="00201414">
        <w:t>Materiały tj. plakaty i ulotki wydane w ramach Narodowego Programu Zwalczania Chorób Nowotworowych na lata 2016-2024 wykorzystywano w bieżących działaniach i akcjach prozdrowotnych.</w:t>
      </w:r>
    </w:p>
    <w:p w:rsidR="00AF0FDB" w:rsidRPr="00201414" w:rsidRDefault="00AF0FDB" w:rsidP="007B5868">
      <w:pPr>
        <w:tabs>
          <w:tab w:val="left" w:pos="-284"/>
        </w:tabs>
        <w:ind w:left="30"/>
        <w:rPr>
          <w:b/>
          <w:bCs/>
        </w:rPr>
      </w:pPr>
    </w:p>
    <w:p w:rsidR="00AF0FDB" w:rsidRDefault="00AF0FDB" w:rsidP="007B5868">
      <w:pPr>
        <w:tabs>
          <w:tab w:val="left" w:pos="-284"/>
        </w:tabs>
        <w:ind w:left="30"/>
        <w:rPr>
          <w:b/>
          <w:bCs/>
          <w:color w:val="FF0000"/>
        </w:rPr>
      </w:pPr>
    </w:p>
    <w:p w:rsidR="00AF0FDB" w:rsidRPr="008E1D7F" w:rsidRDefault="00AF0FDB" w:rsidP="007B5868">
      <w:pPr>
        <w:tabs>
          <w:tab w:val="left" w:pos="-284"/>
        </w:tabs>
        <w:ind w:left="30"/>
        <w:rPr>
          <w:b/>
          <w:bCs/>
          <w:color w:val="FF0000"/>
        </w:rPr>
      </w:pPr>
    </w:p>
    <w:p w:rsidR="00AF0FDB" w:rsidRPr="00201414" w:rsidRDefault="00AF0FDB" w:rsidP="009A6959">
      <w:pPr>
        <w:tabs>
          <w:tab w:val="left" w:pos="-284"/>
        </w:tabs>
        <w:spacing w:before="0"/>
        <w:ind w:left="30"/>
        <w:rPr>
          <w:b/>
          <w:bCs/>
        </w:rPr>
      </w:pPr>
      <w:r w:rsidRPr="00201414">
        <w:rPr>
          <w:b/>
          <w:bCs/>
        </w:rPr>
        <w:t>Profilaktyka grypy</w:t>
      </w:r>
    </w:p>
    <w:p w:rsidR="00AF0FDB" w:rsidRDefault="00AF0FDB" w:rsidP="00F8185D">
      <w:pPr>
        <w:tabs>
          <w:tab w:val="left" w:pos="-284"/>
        </w:tabs>
        <w:spacing w:before="0"/>
        <w:ind w:left="30"/>
      </w:pPr>
      <w:r w:rsidRPr="00201414">
        <w:t>W ramach Ogólnopolskiego Programu Zwalczania Grypy i akcji „Zaszczep się wiedzą” przesłano materiały w formie elektronicznej do urzędów miast i gmin oraz do pl</w:t>
      </w:r>
      <w:r>
        <w:t xml:space="preserve">acówek nauczania i wychowania. </w:t>
      </w:r>
    </w:p>
    <w:p w:rsidR="00AF0FDB" w:rsidRPr="00201414" w:rsidRDefault="00AF0FDB" w:rsidP="00F8185D">
      <w:pPr>
        <w:tabs>
          <w:tab w:val="left" w:pos="-284"/>
        </w:tabs>
        <w:spacing w:before="0"/>
        <w:ind w:left="30"/>
      </w:pPr>
      <w:r w:rsidRPr="00201414">
        <w:t xml:space="preserve"> </w:t>
      </w:r>
    </w:p>
    <w:p w:rsidR="00AF0FDB" w:rsidRPr="00201414" w:rsidRDefault="00AF0FDB" w:rsidP="009A6959">
      <w:pPr>
        <w:tabs>
          <w:tab w:val="left" w:pos="-284"/>
        </w:tabs>
        <w:spacing w:before="0"/>
        <w:ind w:left="30"/>
        <w:rPr>
          <w:b/>
          <w:bCs/>
        </w:rPr>
      </w:pPr>
      <w:r w:rsidRPr="00201414">
        <w:rPr>
          <w:b/>
          <w:bCs/>
        </w:rPr>
        <w:t>Profilaktyka wszawicy</w:t>
      </w:r>
    </w:p>
    <w:p w:rsidR="00AF0FDB" w:rsidRPr="00201414" w:rsidRDefault="00AF0FDB" w:rsidP="009A6959">
      <w:pPr>
        <w:tabs>
          <w:tab w:val="left" w:pos="-284"/>
        </w:tabs>
        <w:spacing w:before="0"/>
        <w:ind w:left="30"/>
        <w:rPr>
          <w:b/>
          <w:bCs/>
        </w:rPr>
      </w:pPr>
      <w:bookmarkStart w:id="363" w:name="_Hlk535483990"/>
      <w:r w:rsidRPr="00201414">
        <w:t xml:space="preserve">Prowadzono dystrybucję materiałów na temat wszawicy do placówek nauczania i wychowania. </w:t>
      </w:r>
      <w:bookmarkEnd w:id="363"/>
    </w:p>
    <w:p w:rsidR="00AF0FDB" w:rsidRPr="00201414" w:rsidRDefault="00AF0FDB" w:rsidP="009A6959">
      <w:pPr>
        <w:tabs>
          <w:tab w:val="left" w:pos="-284"/>
        </w:tabs>
        <w:spacing w:before="0"/>
        <w:ind w:left="30"/>
        <w:rPr>
          <w:b/>
          <w:bCs/>
        </w:rPr>
      </w:pPr>
    </w:p>
    <w:p w:rsidR="00AF0FDB" w:rsidRPr="00201414" w:rsidRDefault="00AF0FDB" w:rsidP="009A6959">
      <w:pPr>
        <w:tabs>
          <w:tab w:val="left" w:pos="-284"/>
        </w:tabs>
        <w:spacing w:before="0"/>
        <w:ind w:left="30"/>
        <w:rPr>
          <w:b/>
          <w:bCs/>
        </w:rPr>
      </w:pPr>
      <w:r w:rsidRPr="00201414">
        <w:rPr>
          <w:b/>
          <w:bCs/>
        </w:rPr>
        <w:t>Profilaktyka WZW typu A</w:t>
      </w:r>
    </w:p>
    <w:p w:rsidR="00AF0FDB" w:rsidRPr="00201414" w:rsidRDefault="00AF0FDB" w:rsidP="009A6959">
      <w:pPr>
        <w:tabs>
          <w:tab w:val="left" w:pos="-284"/>
        </w:tabs>
        <w:spacing w:before="0"/>
        <w:ind w:left="30"/>
        <w:rPr>
          <w:b/>
          <w:bCs/>
        </w:rPr>
      </w:pPr>
      <w:r w:rsidRPr="00201414">
        <w:t>Prowadzono dystrybucję plakatów do placówek nauczania i wychowania, poradni lekarza rodzinnego oraz do domów pomocy społecznej.</w:t>
      </w:r>
    </w:p>
    <w:p w:rsidR="00AF0FDB" w:rsidRPr="00201414" w:rsidRDefault="00AF0FDB" w:rsidP="009A6959">
      <w:pPr>
        <w:tabs>
          <w:tab w:val="left" w:pos="-284"/>
        </w:tabs>
        <w:spacing w:before="0"/>
        <w:ind w:left="30"/>
        <w:rPr>
          <w:b/>
          <w:bCs/>
        </w:rPr>
      </w:pPr>
    </w:p>
    <w:p w:rsidR="00AF0FDB" w:rsidRPr="00201414" w:rsidRDefault="00AF0FDB" w:rsidP="009A6959">
      <w:pPr>
        <w:tabs>
          <w:tab w:val="left" w:pos="-284"/>
        </w:tabs>
        <w:ind w:left="30"/>
        <w:jc w:val="both"/>
        <w:rPr>
          <w:b/>
          <w:bCs/>
        </w:rPr>
      </w:pPr>
      <w:r w:rsidRPr="00201414">
        <w:rPr>
          <w:b/>
          <w:bCs/>
        </w:rPr>
        <w:t xml:space="preserve">Bezpieczeństwo w wakacje </w:t>
      </w:r>
    </w:p>
    <w:p w:rsidR="00AF0FDB" w:rsidRDefault="00AF0FDB" w:rsidP="00E2559A">
      <w:pPr>
        <w:pStyle w:val="Standard"/>
        <w:spacing w:line="360" w:lineRule="auto"/>
        <w:jc w:val="both"/>
        <w:rPr>
          <w:rFonts w:ascii="Times New Roman" w:hAnsi="Times New Roman" w:cs="Times New Roman"/>
        </w:rPr>
      </w:pPr>
      <w:r w:rsidRPr="00201414">
        <w:rPr>
          <w:rFonts w:ascii="Times New Roman" w:hAnsi="Times New Roman" w:cs="Times New Roman"/>
        </w:rPr>
        <w:t>W ramach ferii zimowych do szkół oraz urzędów miast i gmin przesłano w wersji elektronicznej ulotkę pt.: „Patent na bezpieczne ferie”. W okresie wakacji do organizatorów wypoczynku letniego dla dzieci i młodzieży szkolnej przesłano elektroniczną wersję ulotki pt.: „Patent na bezpieczne wakacje”. Pracownicy PSSE w Poznaniu włączyli się w akcję „Lato na Targach” organizowaną przez Urząd Miasta Poznania oraz MTP. Na stanowisku PSSE w Poznaniu  można było skorzystać z pomiaru tlenku węgla w wydychanym powietrzu, poradnictwa antynikotynowego oraz ćwiczeń z alkogoglami. Dodatkowo można było uzyskać informację na temat profilaktyki HIV/AIDS oraz chorób odkleszczowych, a także zagrożeń wynikających z zażywania „dopalaczy”. Dla dzieci przygotowano rebusy, krzyżówki promujące zdrowy styl życia. Łącznie z punktu skorzystały 204 osoby. Na dwóch półkoloniach dla dzieci przeprowadzono pogadanki na temat bezpieczeństwa podczas wakacji. Przeprowadzono również tematyczne spotkania na temat dopalaczy z uczestnika</w:t>
      </w:r>
      <w:r>
        <w:rPr>
          <w:rFonts w:ascii="Times New Roman" w:hAnsi="Times New Roman" w:cs="Times New Roman"/>
        </w:rPr>
        <w:t xml:space="preserve">mi obozu sportowego w Kórniku. </w:t>
      </w:r>
    </w:p>
    <w:p w:rsidR="00AF0FDB" w:rsidRPr="00E2559A" w:rsidRDefault="00AF0FDB" w:rsidP="00E2559A">
      <w:pPr>
        <w:pStyle w:val="Standard"/>
        <w:spacing w:line="360" w:lineRule="auto"/>
        <w:jc w:val="both"/>
        <w:rPr>
          <w:rFonts w:ascii="Times New Roman" w:hAnsi="Times New Roman" w:cs="Times New Roman"/>
        </w:rPr>
      </w:pPr>
    </w:p>
    <w:p w:rsidR="00AF0FDB" w:rsidRPr="00201414" w:rsidRDefault="00AF0FDB" w:rsidP="009A6959">
      <w:pPr>
        <w:spacing w:before="0"/>
        <w:rPr>
          <w:b/>
          <w:bCs/>
        </w:rPr>
      </w:pPr>
      <w:r w:rsidRPr="00201414">
        <w:rPr>
          <w:b/>
          <w:bCs/>
        </w:rPr>
        <w:t xml:space="preserve">Współpraca z mediami </w:t>
      </w:r>
    </w:p>
    <w:p w:rsidR="00AF0FDB" w:rsidRPr="00201414" w:rsidRDefault="00AF0FDB" w:rsidP="009A6959">
      <w:pPr>
        <w:spacing w:before="0"/>
        <w:jc w:val="both"/>
      </w:pPr>
      <w:r w:rsidRPr="00201414">
        <w:t xml:space="preserve">Informacje o akcjach, festynach, konkursach, wdrażanych programach edukacyjnych przekazywano do mediów za pośrednictwem rzecznika prasowego PSSE w Poznaniu. </w:t>
      </w:r>
    </w:p>
    <w:p w:rsidR="00AF0FDB" w:rsidRPr="00201414" w:rsidRDefault="00AF0FDB" w:rsidP="009A6959">
      <w:pPr>
        <w:jc w:val="both"/>
      </w:pPr>
    </w:p>
    <w:p w:rsidR="00AF0FDB" w:rsidRPr="008E1D7F" w:rsidRDefault="00AF0FDB" w:rsidP="009A6959">
      <w:pPr>
        <w:spacing w:before="0"/>
        <w:rPr>
          <w:b/>
          <w:bCs/>
          <w:color w:val="FF0000"/>
        </w:rPr>
      </w:pPr>
    </w:p>
    <w:p w:rsidR="00AF0FDB" w:rsidRPr="00201414" w:rsidRDefault="00AF0FDB" w:rsidP="009A6959">
      <w:pPr>
        <w:spacing w:before="0"/>
        <w:rPr>
          <w:b/>
          <w:bCs/>
        </w:rPr>
      </w:pPr>
      <w:r w:rsidRPr="00201414">
        <w:rPr>
          <w:b/>
          <w:bCs/>
        </w:rPr>
        <w:t>Strona internetowa PSSE w Poznaniu</w:t>
      </w:r>
    </w:p>
    <w:p w:rsidR="00AF0FDB" w:rsidRPr="00201414" w:rsidRDefault="00AF0FDB" w:rsidP="009A6959">
      <w:pPr>
        <w:spacing w:before="0"/>
        <w:jc w:val="both"/>
      </w:pPr>
      <w:r w:rsidRPr="00201414">
        <w:t>Informacje oraz zdjęcia z przebiegu akcji prozdrowotnych, wiadomości o realizowanych programach i szkoleniach zamieszczano na stronie internetowej PSSE w Poznaniu.</w:t>
      </w:r>
    </w:p>
    <w:p w:rsidR="00AF0FDB" w:rsidRPr="008E1D7F" w:rsidRDefault="00AF0FDB" w:rsidP="00B4710C">
      <w:pPr>
        <w:tabs>
          <w:tab w:val="left" w:pos="6345"/>
        </w:tabs>
        <w:rPr>
          <w:color w:val="FF0000"/>
        </w:rPr>
      </w:pPr>
    </w:p>
    <w:p w:rsidR="00AF0FDB" w:rsidRPr="008E1D7F" w:rsidRDefault="00AF0FDB" w:rsidP="003528B0">
      <w:pPr>
        <w:pStyle w:val="Heading1"/>
        <w:rPr>
          <w:rFonts w:cs="Times New Roman"/>
          <w:color w:val="FF0000"/>
        </w:rPr>
      </w:pPr>
    </w:p>
    <w:p w:rsidR="00AF0FDB" w:rsidRPr="008E1D7F" w:rsidRDefault="00AF0FDB">
      <w:pPr>
        <w:spacing w:before="0" w:after="160" w:line="259" w:lineRule="auto"/>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pPr>
        <w:spacing w:before="0" w:after="160" w:line="259" w:lineRule="auto"/>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Pr="008E1D7F" w:rsidRDefault="00AF0FDB" w:rsidP="003528B0">
      <w:pPr>
        <w:pStyle w:val="BodyTextIndent"/>
        <w:ind w:left="0"/>
        <w:jc w:val="both"/>
        <w:rPr>
          <w:color w:val="FF0000"/>
        </w:rPr>
      </w:pPr>
    </w:p>
    <w:p w:rsidR="00AF0FDB" w:rsidRDefault="00AF0FDB" w:rsidP="003528B0">
      <w:pPr>
        <w:pStyle w:val="BodyTextIndent"/>
        <w:ind w:left="0"/>
        <w:jc w:val="both"/>
      </w:pPr>
    </w:p>
    <w:p w:rsidR="00AF0FDB" w:rsidRDefault="00AF0FDB" w:rsidP="003528B0">
      <w:pPr>
        <w:pStyle w:val="BodyTextIndent"/>
        <w:ind w:left="0"/>
        <w:jc w:val="both"/>
      </w:pPr>
    </w:p>
    <w:p w:rsidR="00AF0FDB" w:rsidRDefault="00AF0FDB" w:rsidP="003528B0">
      <w:pPr>
        <w:pStyle w:val="BodyTextIndent"/>
        <w:ind w:left="0"/>
        <w:jc w:val="both"/>
      </w:pPr>
    </w:p>
    <w:p w:rsidR="00AF0FDB" w:rsidRDefault="00AF0FDB" w:rsidP="003528B0">
      <w:pPr>
        <w:pStyle w:val="BodyTextIndent"/>
        <w:ind w:left="0"/>
        <w:jc w:val="both"/>
      </w:pPr>
    </w:p>
    <w:p w:rsidR="00AF0FDB" w:rsidRDefault="00AF0FDB" w:rsidP="003528B0">
      <w:pPr>
        <w:pStyle w:val="BodyTextIndent"/>
        <w:ind w:left="0"/>
        <w:jc w:val="both"/>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Default="00AF0FDB" w:rsidP="00301544">
      <w:pPr>
        <w:pStyle w:val="Heading1"/>
        <w:rPr>
          <w:rFonts w:cs="Times New Roman"/>
        </w:rPr>
      </w:pPr>
    </w:p>
    <w:p w:rsidR="00AF0FDB" w:rsidRPr="00F8185D" w:rsidRDefault="00AF0FDB" w:rsidP="00F8185D"/>
    <w:p w:rsidR="00AF0FDB" w:rsidRDefault="00AF0FDB" w:rsidP="00301544">
      <w:pPr>
        <w:pStyle w:val="Heading1"/>
        <w:rPr>
          <w:rFonts w:cs="Times New Roman"/>
        </w:rPr>
      </w:pPr>
    </w:p>
    <w:p w:rsidR="00AF0FDB" w:rsidRPr="008F4884" w:rsidRDefault="00AF0FDB" w:rsidP="008F4884"/>
    <w:p w:rsidR="00AF0FDB" w:rsidRPr="00301544" w:rsidRDefault="00AF0FDB" w:rsidP="00301544">
      <w:pPr>
        <w:pStyle w:val="Heading1"/>
      </w:pPr>
      <w:bookmarkStart w:id="364" w:name="_Toc938892"/>
      <w:r w:rsidRPr="00301544">
        <w:t>DZIAŁALNOŚĆ</w:t>
      </w:r>
      <w:bookmarkEnd w:id="364"/>
    </w:p>
    <w:p w:rsidR="00AF0FDB" w:rsidRPr="00301544" w:rsidRDefault="00AF0FDB" w:rsidP="00301544">
      <w:pPr>
        <w:pStyle w:val="Heading1"/>
      </w:pPr>
      <w:bookmarkStart w:id="365" w:name="_Toc286138880"/>
      <w:bookmarkStart w:id="366" w:name="_Toc411600419"/>
      <w:bookmarkStart w:id="367" w:name="_Toc412019627"/>
      <w:bookmarkStart w:id="368" w:name="_Toc938893"/>
      <w:r w:rsidRPr="00301544">
        <w:t>OPINIODAWCZO-NADZOROWA</w:t>
      </w:r>
      <w:bookmarkEnd w:id="365"/>
      <w:bookmarkEnd w:id="366"/>
      <w:bookmarkEnd w:id="367"/>
      <w:bookmarkEnd w:id="368"/>
    </w:p>
    <w:p w:rsidR="00AF0FDB" w:rsidRDefault="00AF0FDB" w:rsidP="00AF3CA1">
      <w:pPr>
        <w:pStyle w:val="BodyTextIndent"/>
        <w:ind w:left="0"/>
        <w:jc w:val="both"/>
        <w:rPr>
          <w:color w:val="FF0000"/>
        </w:rPr>
      </w:pPr>
    </w:p>
    <w:p w:rsidR="00AF0FDB" w:rsidRPr="00201414" w:rsidRDefault="00AF0FDB" w:rsidP="00AF3CA1">
      <w:pPr>
        <w:pStyle w:val="BodyTextIndent"/>
        <w:ind w:left="-142"/>
        <w:jc w:val="both"/>
      </w:pPr>
      <w:r w:rsidRPr="00201414">
        <w:t>Oddział Zapobiegawczego Nadzoru Sanitarnego realizuje obowiązki i zadania</w:t>
      </w:r>
      <w:r w:rsidRPr="00201414">
        <w:br/>
        <w:t>mające na celu zapewnienie właściwego stanu sanitarno – higienicznego w nowoprojektowanych i modernizowanych obiektach zarówno na etapie planowania, jak i realizacji zamierzeń inwestycyjnych.</w:t>
      </w:r>
    </w:p>
    <w:p w:rsidR="00AF0FDB" w:rsidRPr="00201414" w:rsidRDefault="00AF0FDB" w:rsidP="0018486D">
      <w:pPr>
        <w:pStyle w:val="BodyTextIndent"/>
        <w:ind w:left="-180"/>
        <w:jc w:val="both"/>
      </w:pPr>
      <w:r w:rsidRPr="00201414">
        <w:t xml:space="preserve">Zasięg działania Oddziału obejmuje inwestycje planowane i realizowane na terenie miasta Poznania i powiatu poznańskiego obejmującego 17 gmin. </w:t>
      </w:r>
    </w:p>
    <w:p w:rsidR="00AF0FDB" w:rsidRPr="00201414" w:rsidRDefault="00AF0FDB" w:rsidP="0018486D">
      <w:pPr>
        <w:pStyle w:val="BodyTextIndent"/>
        <w:ind w:left="-180"/>
        <w:jc w:val="both"/>
      </w:pPr>
      <w:r w:rsidRPr="00201414">
        <w:t>Działania i kompetencje zapobiegawczego nadzoru sanitarnego wynikające z art. 3 ustawy           z dnia 14 marca 1985r. o Państwowej Inspekcji Sanitarnej (Dz. U. z 201</w:t>
      </w:r>
      <w:r>
        <w:t xml:space="preserve">9 </w:t>
      </w:r>
      <w:r w:rsidRPr="00201414">
        <w:t xml:space="preserve">r., </w:t>
      </w:r>
      <w:r>
        <w:t>poz.59</w:t>
      </w:r>
      <w:r w:rsidRPr="00201414">
        <w:t>) oraz innych ustaw i przepisów wykonawczych polegają w szczególności na:</w:t>
      </w:r>
    </w:p>
    <w:p w:rsidR="00AF0FDB" w:rsidRPr="00201414" w:rsidRDefault="00AF0FDB" w:rsidP="00372492">
      <w:pPr>
        <w:pStyle w:val="BodyTextIndent"/>
        <w:numPr>
          <w:ilvl w:val="0"/>
          <w:numId w:val="7"/>
        </w:numPr>
        <w:spacing w:before="0" w:after="0"/>
        <w:jc w:val="both"/>
      </w:pPr>
      <w:r w:rsidRPr="00201414">
        <w:t>opiniowaniu i uzgadnianiu projektów miejscowych planów zagospodarowania</w:t>
      </w:r>
      <w:r w:rsidRPr="00201414">
        <w:br/>
        <w:t>przestrzennego, studium uwarunkowań i kierunków zagospodarowania przestrzennego gminy,</w:t>
      </w:r>
    </w:p>
    <w:p w:rsidR="00AF0FDB" w:rsidRPr="00201414" w:rsidRDefault="00AF0FDB" w:rsidP="00372492">
      <w:pPr>
        <w:pStyle w:val="BodyTextIndent"/>
        <w:numPr>
          <w:ilvl w:val="0"/>
          <w:numId w:val="7"/>
        </w:numPr>
        <w:spacing w:before="0" w:after="0"/>
        <w:jc w:val="both"/>
      </w:pPr>
      <w:r w:rsidRPr="00201414">
        <w:t>opiniowaniu przedsięwzięć mogących znacząco (zawsze i potencjalnie) oddziaływać na środowisko,</w:t>
      </w:r>
    </w:p>
    <w:p w:rsidR="00AF0FDB" w:rsidRPr="00201414" w:rsidRDefault="00AF0FDB" w:rsidP="00372492">
      <w:pPr>
        <w:pStyle w:val="BodyTextIndent"/>
        <w:numPr>
          <w:ilvl w:val="0"/>
          <w:numId w:val="7"/>
        </w:numPr>
        <w:spacing w:before="0" w:after="0"/>
        <w:jc w:val="both"/>
      </w:pPr>
      <w:r w:rsidRPr="00201414">
        <w:t>uzgadnianiu dokumentacji projektowej pod względem wymagań higi</w:t>
      </w:r>
      <w:r>
        <w:t>enicznych</w:t>
      </w:r>
      <w:r>
        <w:br/>
        <w:t xml:space="preserve">i zdrowotnych dotyczących </w:t>
      </w:r>
      <w:r w:rsidRPr="00201414">
        <w:t>budowy oraz zmiany sposobu użytkowania obiektów budowlanych,</w:t>
      </w:r>
    </w:p>
    <w:p w:rsidR="00AF0FDB" w:rsidRPr="00201414" w:rsidRDefault="00AF0FDB" w:rsidP="00372492">
      <w:pPr>
        <w:pStyle w:val="BodyTextIndent"/>
        <w:numPr>
          <w:ilvl w:val="0"/>
          <w:numId w:val="7"/>
        </w:numPr>
        <w:spacing w:before="0" w:after="0"/>
        <w:jc w:val="both"/>
      </w:pPr>
      <w:r w:rsidRPr="00201414">
        <w:t>uczestniczeniu w dopuszczeniu do użytku obiektów budowlanych.</w:t>
      </w:r>
    </w:p>
    <w:p w:rsidR="00AF0FDB" w:rsidRPr="00201414" w:rsidRDefault="00AF0FDB" w:rsidP="0018486D">
      <w:pPr>
        <w:pStyle w:val="BodyTextIndent"/>
        <w:ind w:left="-180"/>
        <w:jc w:val="both"/>
      </w:pPr>
      <w:r w:rsidRPr="00201414">
        <w:t>W 2018</w:t>
      </w:r>
      <w:r>
        <w:t xml:space="preserve"> </w:t>
      </w:r>
      <w:r w:rsidRPr="00201414">
        <w:t xml:space="preserve">r. w ramach sprawowanego zapobiegawczego nadzoru sanitarnego przeprowadzono 1594 postępowania administracyjne, w których zajęto stanowisko </w:t>
      </w:r>
      <w:r>
        <w:t>(</w:t>
      </w:r>
      <w:r w:rsidRPr="00201414">
        <w:t>w formie decyzji, postanowienia, opinii sanitarnej l</w:t>
      </w:r>
      <w:r>
        <w:t>ub pisma)</w:t>
      </w:r>
      <w:r w:rsidRPr="00201414">
        <w:t xml:space="preserve"> w zakresie spełniania wymagań higienicznych i zdrowotnych; w ramach w</w:t>
      </w:r>
      <w:r>
        <w:t xml:space="preserve">yżej wymienionych </w:t>
      </w:r>
      <w:r w:rsidRPr="00201414">
        <w:t xml:space="preserve">postępowań wydano 358 decyzji płatniczych. </w:t>
      </w:r>
    </w:p>
    <w:p w:rsidR="00AF0FDB" w:rsidRPr="00201414" w:rsidRDefault="00AF0FDB" w:rsidP="008F4884">
      <w:pPr>
        <w:pStyle w:val="BodyTextIndent"/>
        <w:ind w:left="-180"/>
        <w:jc w:val="both"/>
      </w:pPr>
      <w:r w:rsidRPr="00201414">
        <w:t>Opinie sanitarne (decyzje, uzgodnienia, opinie lub pisma) stwierdzające spełnienie</w:t>
      </w:r>
      <w:r w:rsidRPr="00201414">
        <w:br/>
        <w:t xml:space="preserve">wymagań higienicznych i zdrowotnych zostały wydane dla takich obiektów jak: </w:t>
      </w:r>
    </w:p>
    <w:p w:rsidR="00AF0FDB" w:rsidRPr="00201414" w:rsidRDefault="00AF0FDB" w:rsidP="00E2559A">
      <w:pPr>
        <w:pStyle w:val="BodyTextIndent"/>
        <w:spacing w:before="0" w:after="0"/>
        <w:ind w:left="360" w:hanging="180"/>
        <w:jc w:val="both"/>
      </w:pPr>
      <w:r>
        <w:t xml:space="preserve">- </w:t>
      </w:r>
      <w:r w:rsidRPr="00201414">
        <w:t>ochrony zdrowia: pomieszczenia podmiotu wykonującego działalność leczniczą</w:t>
      </w:r>
      <w:r>
        <w:t>,</w:t>
      </w:r>
      <w:r w:rsidRPr="00201414">
        <w:br/>
      </w:r>
      <w:r>
        <w:t xml:space="preserve">  </w:t>
      </w:r>
      <w:r w:rsidRPr="00201414">
        <w:t xml:space="preserve">pomieszczenia apteki i pomieszczenia hurtowni farmaceutycznych, </w:t>
      </w:r>
    </w:p>
    <w:p w:rsidR="00AF0FDB" w:rsidRPr="00201414" w:rsidRDefault="00AF0FDB" w:rsidP="00E2559A">
      <w:pPr>
        <w:pStyle w:val="BodyTextIndent"/>
        <w:spacing w:before="0" w:after="0" w:line="276" w:lineRule="auto"/>
        <w:ind w:left="360" w:hanging="180"/>
        <w:jc w:val="both"/>
      </w:pPr>
      <w:r w:rsidRPr="00201414">
        <w:t xml:space="preserve">- </w:t>
      </w:r>
      <w:r>
        <w:t xml:space="preserve">   </w:t>
      </w:r>
      <w:r w:rsidRPr="00201414">
        <w:t xml:space="preserve">oświaty i wychowania (szkoły, przedszkola, żłobki), </w:t>
      </w:r>
    </w:p>
    <w:p w:rsidR="00AF0FDB" w:rsidRPr="00201414" w:rsidRDefault="00AF0FDB" w:rsidP="00E2559A">
      <w:pPr>
        <w:pStyle w:val="BodyTextIndent"/>
        <w:spacing w:before="0" w:after="0" w:line="276" w:lineRule="auto"/>
        <w:ind w:left="-180" w:firstLine="360"/>
        <w:jc w:val="both"/>
      </w:pPr>
      <w:r w:rsidRPr="00201414">
        <w:t xml:space="preserve">- </w:t>
      </w:r>
      <w:r>
        <w:t xml:space="preserve">   </w:t>
      </w:r>
      <w:r w:rsidRPr="00201414">
        <w:t xml:space="preserve">turystycznych (hotele, pensjonaty), </w:t>
      </w:r>
    </w:p>
    <w:p w:rsidR="00AF0FDB" w:rsidRPr="00201414" w:rsidRDefault="00AF0FDB" w:rsidP="00E2559A">
      <w:pPr>
        <w:pStyle w:val="BodyTextIndent"/>
        <w:spacing w:before="0" w:after="0"/>
        <w:ind w:left="-180" w:firstLine="360"/>
        <w:jc w:val="both"/>
      </w:pPr>
      <w:r w:rsidRPr="00201414">
        <w:t xml:space="preserve">- </w:t>
      </w:r>
      <w:r>
        <w:t xml:space="preserve">   </w:t>
      </w:r>
      <w:r w:rsidRPr="00201414">
        <w:t xml:space="preserve">rekreacyjno - sportowych, </w:t>
      </w:r>
    </w:p>
    <w:p w:rsidR="00AF0FDB" w:rsidRDefault="00AF0FDB" w:rsidP="00E2559A">
      <w:pPr>
        <w:pStyle w:val="BodyTextIndent"/>
        <w:spacing w:before="0" w:after="0"/>
        <w:ind w:left="360" w:hanging="180"/>
        <w:jc w:val="both"/>
      </w:pPr>
      <w:r w:rsidRPr="00201414">
        <w:t xml:space="preserve">- </w:t>
      </w:r>
      <w:r>
        <w:t xml:space="preserve"> </w:t>
      </w:r>
      <w:r w:rsidRPr="00201414">
        <w:t xml:space="preserve">dróg, obiektów handlowych, obiektów biurowych, zakładów przemysłowych </w:t>
      </w:r>
    </w:p>
    <w:p w:rsidR="00AF0FDB" w:rsidRPr="00201414" w:rsidRDefault="00AF0FDB" w:rsidP="00F8185D">
      <w:pPr>
        <w:pStyle w:val="BodyTextIndent"/>
        <w:spacing w:before="0"/>
        <w:ind w:left="360" w:hanging="180"/>
        <w:jc w:val="both"/>
      </w:pPr>
      <w:r>
        <w:t xml:space="preserve">   </w:t>
      </w:r>
      <w:r w:rsidRPr="00201414">
        <w:t xml:space="preserve">i </w:t>
      </w:r>
      <w:r>
        <w:t xml:space="preserve"> </w:t>
      </w:r>
      <w:r w:rsidRPr="00201414">
        <w:t xml:space="preserve">infrastruktury technicznej.  </w:t>
      </w:r>
    </w:p>
    <w:p w:rsidR="00AF0FDB" w:rsidRPr="00201414" w:rsidRDefault="00AF0FDB" w:rsidP="00433ACE">
      <w:pPr>
        <w:pStyle w:val="BodyTextIndent"/>
        <w:ind w:left="-180"/>
        <w:jc w:val="both"/>
      </w:pPr>
      <w:r w:rsidRPr="00201414">
        <w:t>Ad 1.</w:t>
      </w:r>
      <w:r w:rsidRPr="00201414">
        <w:rPr>
          <w:b/>
          <w:bCs/>
        </w:rPr>
        <w:t xml:space="preserve"> </w:t>
      </w:r>
      <w:r w:rsidRPr="00201414">
        <w:t>Zgodnie z ustawą z dnia 27 marca 2003r. o planowaniu i zagospodarowaniu</w:t>
      </w:r>
      <w:r w:rsidRPr="00201414">
        <w:br/>
        <w:t>przestrzennym (Dz. U. z 2018</w:t>
      </w:r>
      <w:r>
        <w:t xml:space="preserve"> </w:t>
      </w:r>
      <w:r w:rsidRPr="00201414">
        <w:t>r., poz. 1945) oraz ustawą z dnia 3 października 2008 roku o udostępnianiu informacji o środowisku i jego ochronie, udziale społeczeństwa w ochronie środowiska oraz o ocenach oddziaływania na środowisko (Dz. U. z 2018</w:t>
      </w:r>
      <w:r>
        <w:t xml:space="preserve"> </w:t>
      </w:r>
      <w:r w:rsidRPr="00201414">
        <w:t>r., poz. 2081 z późn. zm.) w ramach strategicznych ocen oddziaływania na środowisko rozpatrzono i wydano 4</w:t>
      </w:r>
      <w:r>
        <w:t>50 opinii, uzgodnień i pism dotyczących</w:t>
      </w:r>
      <w:r w:rsidRPr="00201414">
        <w:t xml:space="preserve"> projektów miejscowych planów zagospodarowania przestrzennego oraz studium uwarunkowań i kierunków zagospodarowania przestrzennego gminy, w tym: </w:t>
      </w:r>
    </w:p>
    <w:p w:rsidR="00AF0FDB" w:rsidRPr="00201414" w:rsidRDefault="00AF0FDB" w:rsidP="00DE0EFA">
      <w:pPr>
        <w:pStyle w:val="BodyTextIndent"/>
        <w:numPr>
          <w:ilvl w:val="0"/>
          <w:numId w:val="22"/>
        </w:numPr>
        <w:tabs>
          <w:tab w:val="left" w:pos="2160"/>
        </w:tabs>
        <w:spacing w:before="0" w:after="0"/>
        <w:jc w:val="both"/>
      </w:pPr>
      <w:r>
        <w:t>opinii sanitarnych dotyczących</w:t>
      </w:r>
      <w:r w:rsidRPr="00201414">
        <w:t xml:space="preserve"> odstąpienia od przeprowadzenia strategicznej oceny</w:t>
      </w:r>
      <w:r w:rsidRPr="00201414">
        <w:br/>
        <w:t>oddziaływania na środowisko</w:t>
      </w:r>
      <w:r>
        <w:t xml:space="preserve"> - 4</w:t>
      </w:r>
      <w:r w:rsidRPr="00201414">
        <w:t>,</w:t>
      </w:r>
    </w:p>
    <w:p w:rsidR="00AF0FDB" w:rsidRPr="00201414" w:rsidRDefault="00AF0FDB" w:rsidP="00DE0EFA">
      <w:pPr>
        <w:pStyle w:val="BodyTextIndent"/>
        <w:numPr>
          <w:ilvl w:val="0"/>
          <w:numId w:val="22"/>
        </w:numPr>
        <w:tabs>
          <w:tab w:val="left" w:pos="2160"/>
        </w:tabs>
        <w:spacing w:before="0" w:after="0"/>
        <w:jc w:val="both"/>
      </w:pPr>
      <w:r w:rsidRPr="00201414">
        <w:t>pism uzgadniających prognozę oddziaływania na środowisko</w:t>
      </w:r>
      <w:r>
        <w:t xml:space="preserve"> - 107</w:t>
      </w:r>
      <w:r w:rsidRPr="00201414">
        <w:t>,</w:t>
      </w:r>
    </w:p>
    <w:p w:rsidR="00AF0FDB" w:rsidRPr="00201414" w:rsidRDefault="00AF0FDB" w:rsidP="00DE0EFA">
      <w:pPr>
        <w:pStyle w:val="BodyTextIndent"/>
        <w:numPr>
          <w:ilvl w:val="0"/>
          <w:numId w:val="22"/>
        </w:numPr>
        <w:tabs>
          <w:tab w:val="left" w:pos="2160"/>
        </w:tabs>
        <w:spacing w:before="0" w:after="0"/>
        <w:jc w:val="both"/>
      </w:pPr>
      <w:r>
        <w:t>pism</w:t>
      </w:r>
      <w:r w:rsidRPr="00201414">
        <w:t xml:space="preserve"> uzgadniających zakres i stopień szczegółowości informacji wymaganych</w:t>
      </w:r>
      <w:r w:rsidRPr="00201414">
        <w:br/>
        <w:t>w prognozie oddziaływania na środowisko</w:t>
      </w:r>
      <w:r>
        <w:t xml:space="preserve"> - 43</w:t>
      </w:r>
      <w:r w:rsidRPr="00201414">
        <w:t>,</w:t>
      </w:r>
    </w:p>
    <w:p w:rsidR="00AF0FDB" w:rsidRPr="00201414" w:rsidRDefault="00AF0FDB" w:rsidP="00DE0EFA">
      <w:pPr>
        <w:pStyle w:val="BodyTextIndent"/>
        <w:numPr>
          <w:ilvl w:val="0"/>
          <w:numId w:val="22"/>
        </w:numPr>
        <w:tabs>
          <w:tab w:val="left" w:pos="2160"/>
        </w:tabs>
        <w:spacing w:before="0" w:after="0"/>
        <w:jc w:val="both"/>
      </w:pPr>
      <w:r>
        <w:t>opinii sanitarnych dotyczących</w:t>
      </w:r>
      <w:r w:rsidRPr="00201414">
        <w:t xml:space="preserve"> dokumentu projektu miejscowego planu</w:t>
      </w:r>
      <w:r w:rsidRPr="00201414">
        <w:br/>
        <w:t>zagospodarowania przestrzennego wraz z prognozą oddziaływania na środowisko</w:t>
      </w:r>
      <w:r>
        <w:t xml:space="preserve"> - 177</w:t>
      </w:r>
      <w:r w:rsidRPr="00201414">
        <w:t>,</w:t>
      </w:r>
    </w:p>
    <w:p w:rsidR="00AF0FDB" w:rsidRPr="00201414" w:rsidRDefault="00AF0FDB" w:rsidP="00DE0EFA">
      <w:pPr>
        <w:pStyle w:val="BodyTextIndent"/>
        <w:numPr>
          <w:ilvl w:val="0"/>
          <w:numId w:val="22"/>
        </w:numPr>
        <w:tabs>
          <w:tab w:val="left" w:pos="2160"/>
        </w:tabs>
        <w:spacing w:before="0" w:after="0"/>
        <w:jc w:val="both"/>
      </w:pPr>
      <w:r w:rsidRPr="00201414">
        <w:t>postanowień uzgadniających projekt miejscowego planu zagospodarowania</w:t>
      </w:r>
      <w:r w:rsidRPr="00201414">
        <w:br/>
        <w:t>przestrzennego</w:t>
      </w:r>
      <w:r>
        <w:t xml:space="preserve"> - 69</w:t>
      </w:r>
      <w:r w:rsidRPr="00201414">
        <w:t>,</w:t>
      </w:r>
    </w:p>
    <w:p w:rsidR="00AF0FDB" w:rsidRPr="00201414" w:rsidRDefault="00AF0FDB" w:rsidP="00DE0EFA">
      <w:pPr>
        <w:pStyle w:val="BodyTextIndent"/>
        <w:numPr>
          <w:ilvl w:val="0"/>
          <w:numId w:val="22"/>
        </w:numPr>
        <w:tabs>
          <w:tab w:val="left" w:pos="2160"/>
        </w:tabs>
        <w:spacing w:before="0" w:after="0"/>
        <w:jc w:val="both"/>
      </w:pPr>
      <w:r w:rsidRPr="00201414">
        <w:t>spraw zgodnie z</w:t>
      </w:r>
      <w:r>
        <w:t xml:space="preserve"> kompetencją rzeczową przekazanych</w:t>
      </w:r>
      <w:r w:rsidRPr="00201414">
        <w:t xml:space="preserve"> do Wielkopolskiego</w:t>
      </w:r>
      <w:r w:rsidRPr="00201414">
        <w:br/>
        <w:t>Państwowego Wojewódzkiego Inspektora Sanitarnego</w:t>
      </w:r>
      <w:r>
        <w:t xml:space="preserve"> - 49</w:t>
      </w:r>
      <w:r w:rsidRPr="00201414">
        <w:t>,</w:t>
      </w:r>
    </w:p>
    <w:p w:rsidR="00AF0FDB" w:rsidRDefault="00AF0FDB" w:rsidP="00E2559A">
      <w:pPr>
        <w:pStyle w:val="BodyTextIndent"/>
        <w:numPr>
          <w:ilvl w:val="0"/>
          <w:numId w:val="22"/>
        </w:numPr>
        <w:tabs>
          <w:tab w:val="left" w:pos="2160"/>
        </w:tabs>
        <w:spacing w:before="0" w:after="0"/>
        <w:jc w:val="both"/>
      </w:pPr>
      <w:r>
        <w:t>pismo zamykające – 1.</w:t>
      </w:r>
    </w:p>
    <w:p w:rsidR="00AF0FDB" w:rsidRPr="00E2559A" w:rsidRDefault="00AF0FDB" w:rsidP="00E2559A">
      <w:pPr>
        <w:pStyle w:val="BodyTextIndent"/>
        <w:tabs>
          <w:tab w:val="left" w:pos="2160"/>
        </w:tabs>
        <w:spacing w:before="0" w:after="0"/>
        <w:ind w:left="540"/>
        <w:jc w:val="both"/>
      </w:pPr>
    </w:p>
    <w:p w:rsidR="00AF0FDB" w:rsidRPr="00201414" w:rsidRDefault="00AF0FDB" w:rsidP="00201414">
      <w:pPr>
        <w:pStyle w:val="BodyTextIndent"/>
        <w:spacing w:before="0"/>
        <w:ind w:left="-180"/>
        <w:jc w:val="both"/>
      </w:pPr>
      <w:r w:rsidRPr="00201414">
        <w:t>Ad 2. Ustawa z 3 października 2008 roku o udostępnianiu informacji o środowisku</w:t>
      </w:r>
      <w:r w:rsidRPr="00201414">
        <w:br/>
        <w:t>i jego ochronie, udziale społeczeństwa w ochronie środowiska oraz o ocenach oddziaływania na środowisko (Dz. U. z 2018</w:t>
      </w:r>
      <w:r>
        <w:t xml:space="preserve"> </w:t>
      </w:r>
      <w:r w:rsidRPr="00201414">
        <w:t>r., poz. 2081 z późn. zm.)  przywołuje organ Inspekcji</w:t>
      </w:r>
      <w:r w:rsidRPr="00201414">
        <w:br/>
        <w:t>Sanitarnej do wyrażenia opinii w przypadku przedsięwzięć znacząco oddziaływujących</w:t>
      </w:r>
      <w:r w:rsidRPr="00201414">
        <w:br/>
        <w:t xml:space="preserve">na środowisko: </w:t>
      </w:r>
    </w:p>
    <w:p w:rsidR="00AF0FDB" w:rsidRPr="00201414" w:rsidRDefault="00AF0FDB" w:rsidP="00E2559A">
      <w:pPr>
        <w:pStyle w:val="BodyTextIndent"/>
        <w:spacing w:before="0" w:after="0"/>
        <w:ind w:left="993" w:hanging="285"/>
        <w:jc w:val="both"/>
      </w:pPr>
      <w:r>
        <w:t xml:space="preserve">- </w:t>
      </w:r>
      <w:r w:rsidRPr="00201414">
        <w:t>co do potrzeby przeprowadzenia oceny oddziaływania przedsięwzięcia</w:t>
      </w:r>
      <w:r w:rsidRPr="00201414">
        <w:br/>
        <w:t xml:space="preserve">na środowisko, a w przypadku stwierdzenia takiej potrzeby - co do zakresu raportu o oddziaływaniu przedsięwzięcia na środowisko, </w:t>
      </w:r>
    </w:p>
    <w:p w:rsidR="00AF0FDB" w:rsidRPr="00201414" w:rsidRDefault="00AF0FDB" w:rsidP="00E2559A">
      <w:pPr>
        <w:pStyle w:val="BodyTextIndent"/>
        <w:spacing w:before="0" w:after="0"/>
        <w:ind w:left="-180" w:firstLine="888"/>
        <w:jc w:val="both"/>
      </w:pPr>
      <w:r w:rsidRPr="00201414">
        <w:t xml:space="preserve">- </w:t>
      </w:r>
      <w:r>
        <w:t xml:space="preserve">  </w:t>
      </w:r>
      <w:r w:rsidRPr="00201414">
        <w:t xml:space="preserve">w zakresie oceny oddziaływania przedsięwzięcia na środowisko.         </w:t>
      </w:r>
    </w:p>
    <w:p w:rsidR="00AF0FDB" w:rsidRDefault="00AF0FDB" w:rsidP="000D42B1">
      <w:pPr>
        <w:pStyle w:val="BodyTextIndent"/>
        <w:ind w:left="0"/>
        <w:jc w:val="both"/>
      </w:pPr>
    </w:p>
    <w:p w:rsidR="00AF0FDB" w:rsidRPr="00201414" w:rsidRDefault="00AF0FDB" w:rsidP="000D42B1">
      <w:pPr>
        <w:pStyle w:val="BodyTextIndent"/>
        <w:ind w:left="0"/>
        <w:jc w:val="both"/>
      </w:pPr>
      <w:r w:rsidRPr="00201414">
        <w:t>W związku z przeprowadzonymi postę</w:t>
      </w:r>
      <w:r>
        <w:t>powaniami administracyjnymi dotyczących</w:t>
      </w:r>
      <w:r w:rsidRPr="00201414">
        <w:t xml:space="preserve"> oceny</w:t>
      </w:r>
      <w:r w:rsidRPr="00201414">
        <w:br/>
        <w:t xml:space="preserve">oddziaływania przedsięwzięcia na </w:t>
      </w:r>
      <w:r>
        <w:t>środowisko zajęto 299 stanowisk</w:t>
      </w:r>
      <w:r w:rsidRPr="00201414">
        <w:t xml:space="preserve"> wydając:</w:t>
      </w:r>
    </w:p>
    <w:p w:rsidR="00AF0FDB" w:rsidRPr="00201414" w:rsidRDefault="00AF0FDB" w:rsidP="0018486D">
      <w:pPr>
        <w:pStyle w:val="BodyTextIndent"/>
        <w:numPr>
          <w:ilvl w:val="0"/>
          <w:numId w:val="22"/>
        </w:numPr>
        <w:tabs>
          <w:tab w:val="left" w:pos="2160"/>
        </w:tabs>
        <w:spacing w:before="0" w:after="0"/>
        <w:jc w:val="both"/>
      </w:pPr>
      <w:r>
        <w:t>251 stanowisk dotyczących</w:t>
      </w:r>
      <w:r w:rsidRPr="00201414">
        <w:t xml:space="preserve"> potrzeby przeprowadzenia oceny oddziaływania przedsięwzięcia na środowisko, w tym:</w:t>
      </w:r>
    </w:p>
    <w:p w:rsidR="00AF0FDB" w:rsidRPr="00201414" w:rsidRDefault="00AF0FDB" w:rsidP="00F8185D">
      <w:pPr>
        <w:pStyle w:val="BodyTextIndent"/>
        <w:tabs>
          <w:tab w:val="left" w:pos="2160"/>
        </w:tabs>
        <w:spacing w:line="240" w:lineRule="auto"/>
        <w:ind w:left="540" w:firstLine="311"/>
        <w:jc w:val="both"/>
      </w:pPr>
      <w:r>
        <w:t xml:space="preserve">- </w:t>
      </w:r>
      <w:r w:rsidRPr="00201414">
        <w:t>opinie, w których odstąpiono od określenia zakresu raportu</w:t>
      </w:r>
      <w:r>
        <w:t xml:space="preserve"> - 231</w:t>
      </w:r>
      <w:r w:rsidRPr="00201414">
        <w:t>,</w:t>
      </w:r>
    </w:p>
    <w:p w:rsidR="00AF0FDB" w:rsidRPr="00201414" w:rsidRDefault="00AF0FDB" w:rsidP="00F8185D">
      <w:pPr>
        <w:pStyle w:val="BodyTextIndent"/>
        <w:tabs>
          <w:tab w:val="left" w:pos="2160"/>
        </w:tabs>
        <w:spacing w:line="240" w:lineRule="auto"/>
        <w:ind w:left="540" w:firstLine="311"/>
        <w:jc w:val="both"/>
      </w:pPr>
      <w:r>
        <w:t xml:space="preserve">- </w:t>
      </w:r>
      <w:r w:rsidRPr="00201414">
        <w:t>opin</w:t>
      </w:r>
      <w:r>
        <w:t>ie</w:t>
      </w:r>
      <w:r w:rsidRPr="00201414">
        <w:t>, w których nałożono raport</w:t>
      </w:r>
      <w:r>
        <w:t xml:space="preserve"> - 11</w:t>
      </w:r>
      <w:r w:rsidRPr="00201414">
        <w:t xml:space="preserve">, </w:t>
      </w:r>
    </w:p>
    <w:p w:rsidR="00AF0FDB" w:rsidRDefault="00AF0FDB" w:rsidP="000D42B1">
      <w:pPr>
        <w:pStyle w:val="BodyTextIndent"/>
        <w:tabs>
          <w:tab w:val="left" w:pos="2160"/>
        </w:tabs>
        <w:spacing w:line="240" w:lineRule="auto"/>
        <w:ind w:left="540" w:firstLine="311"/>
        <w:jc w:val="both"/>
      </w:pPr>
      <w:r>
        <w:t xml:space="preserve">- </w:t>
      </w:r>
      <w:r w:rsidRPr="00201414">
        <w:t>pism</w:t>
      </w:r>
      <w:r>
        <w:t>a</w:t>
      </w:r>
      <w:r w:rsidRPr="00201414">
        <w:t xml:space="preserve"> (w tym pisma dot. po</w:t>
      </w:r>
      <w:r>
        <w:t>dtrzymania wydanego stanowiska) – 9.</w:t>
      </w:r>
    </w:p>
    <w:p w:rsidR="00AF0FDB" w:rsidRPr="00201414" w:rsidRDefault="00AF0FDB" w:rsidP="000D42B1">
      <w:pPr>
        <w:pStyle w:val="BodyTextIndent"/>
        <w:tabs>
          <w:tab w:val="left" w:pos="2160"/>
        </w:tabs>
        <w:spacing w:line="240" w:lineRule="auto"/>
        <w:ind w:left="540" w:firstLine="311"/>
        <w:jc w:val="both"/>
      </w:pPr>
    </w:p>
    <w:p w:rsidR="00AF0FDB" w:rsidRPr="00201414" w:rsidRDefault="00AF0FDB" w:rsidP="00DE0EFA">
      <w:pPr>
        <w:pStyle w:val="BodyTextIndent"/>
        <w:numPr>
          <w:ilvl w:val="0"/>
          <w:numId w:val="22"/>
        </w:numPr>
        <w:tabs>
          <w:tab w:val="left" w:pos="2160"/>
        </w:tabs>
        <w:spacing w:before="0" w:after="0"/>
        <w:jc w:val="both"/>
      </w:pPr>
      <w:r w:rsidRPr="00201414">
        <w:t>48 stanowisk przed wydaniem decyzji o środowiskowych uwarunkowaniach, w tym:</w:t>
      </w:r>
    </w:p>
    <w:p w:rsidR="00AF0FDB" w:rsidRPr="00201414" w:rsidRDefault="00AF0FDB" w:rsidP="00433ACE">
      <w:pPr>
        <w:pStyle w:val="BodyTextIndent"/>
        <w:tabs>
          <w:tab w:val="left" w:pos="2160"/>
        </w:tabs>
        <w:ind w:left="851"/>
        <w:jc w:val="both"/>
      </w:pPr>
      <w:r>
        <w:t xml:space="preserve">- </w:t>
      </w:r>
      <w:r w:rsidRPr="00201414">
        <w:t>opinii w sprawie uzgodnienia warunków realizacji przedsięwzięcia</w:t>
      </w:r>
      <w:r w:rsidRPr="00201414">
        <w:br/>
        <w:t>przed wydaniem decyzji o środowiskowych uwarunkowaniach (opinie wydane</w:t>
      </w:r>
      <w:r w:rsidRPr="00201414">
        <w:br/>
        <w:t>na wniosek prezydenta, wójta lub burmistrza)</w:t>
      </w:r>
      <w:r>
        <w:t xml:space="preserve"> - 49</w:t>
      </w:r>
      <w:r w:rsidRPr="00201414">
        <w:t>,</w:t>
      </w:r>
    </w:p>
    <w:p w:rsidR="00AF0FDB" w:rsidRPr="00201414" w:rsidRDefault="00AF0FDB" w:rsidP="00433ACE">
      <w:pPr>
        <w:pStyle w:val="BodyTextIndent"/>
        <w:tabs>
          <w:tab w:val="left" w:pos="2160"/>
        </w:tabs>
        <w:ind w:left="851"/>
        <w:jc w:val="both"/>
      </w:pPr>
      <w:r>
        <w:t xml:space="preserve">-  </w:t>
      </w:r>
      <w:r w:rsidRPr="00201414">
        <w:t>stanowisk</w:t>
      </w:r>
      <w:r>
        <w:t xml:space="preserve"> dotyczących</w:t>
      </w:r>
      <w:r w:rsidRPr="00201414">
        <w:t xml:space="preserve"> opinii przed wydaniem postanowienia przez Regionalnego Dyrektora Ochrony Środowiska w Poznaniu w sprawie uzgodnienia warunków realizacji przedsięwzięcia w ramach oceny oddziaływania na środowisko</w:t>
      </w:r>
      <w:r>
        <w:t xml:space="preserve"> - 2</w:t>
      </w:r>
      <w:r w:rsidRPr="00201414">
        <w:t>,</w:t>
      </w:r>
    </w:p>
    <w:p w:rsidR="00AF0FDB" w:rsidRPr="00201414" w:rsidRDefault="00AF0FDB" w:rsidP="00F8185D">
      <w:pPr>
        <w:pStyle w:val="BodyTextIndent"/>
        <w:tabs>
          <w:tab w:val="left" w:pos="2160"/>
        </w:tabs>
        <w:ind w:left="851"/>
        <w:jc w:val="both"/>
      </w:pPr>
      <w:r>
        <w:t xml:space="preserve">- </w:t>
      </w:r>
      <w:r w:rsidRPr="00201414">
        <w:t>pism (w tym pisma dot</w:t>
      </w:r>
      <w:r>
        <w:t>czących</w:t>
      </w:r>
      <w:r w:rsidRPr="00201414">
        <w:t xml:space="preserve"> po</w:t>
      </w:r>
      <w:r>
        <w:t>dtrzymania wydanego stanowiska) - 3.</w:t>
      </w:r>
    </w:p>
    <w:p w:rsidR="00AF0FDB" w:rsidRPr="00201414" w:rsidRDefault="00AF0FDB" w:rsidP="00433ACE">
      <w:pPr>
        <w:pStyle w:val="BodyTextIndent"/>
        <w:ind w:left="-180"/>
        <w:jc w:val="both"/>
      </w:pPr>
      <w:r w:rsidRPr="00201414">
        <w:t>Ad 3. Zgodnie z art. 3 ust. 2a ustawy z 14 marca 1985r. o Państwowej Inspekcji Sanitarnej (Dz. U. z 201</w:t>
      </w:r>
      <w:r>
        <w:t>9</w:t>
      </w:r>
      <w:r w:rsidRPr="00201414">
        <w:t xml:space="preserve">r., poz. </w:t>
      </w:r>
      <w:r>
        <w:t>59</w:t>
      </w:r>
      <w:r w:rsidRPr="00201414">
        <w:t>) do O</w:t>
      </w:r>
      <w:r>
        <w:t>ddziału wpłynęło 6 wniosków dotyczących</w:t>
      </w:r>
      <w:r w:rsidRPr="00201414">
        <w:t xml:space="preserve"> uzgodnienia</w:t>
      </w:r>
      <w:r w:rsidRPr="00201414">
        <w:br/>
        <w:t>dokumentacji projektowej pod względem wymagań higienicznych i zdrowotnych, w tym:</w:t>
      </w:r>
    </w:p>
    <w:p w:rsidR="00AF0FDB" w:rsidRPr="00201414" w:rsidRDefault="00AF0FDB" w:rsidP="00DE0EFA">
      <w:pPr>
        <w:pStyle w:val="BodyTextIndent"/>
        <w:numPr>
          <w:ilvl w:val="0"/>
          <w:numId w:val="22"/>
        </w:numPr>
        <w:tabs>
          <w:tab w:val="left" w:pos="2160"/>
        </w:tabs>
        <w:spacing w:before="0" w:after="0"/>
        <w:jc w:val="both"/>
      </w:pPr>
      <w:r w:rsidRPr="00201414">
        <w:t>w 5 sprawach zajęto stanowisko w formie pozytywnej opinii (opinia sanitarna</w:t>
      </w:r>
      <w:r w:rsidRPr="00201414">
        <w:br/>
        <w:t xml:space="preserve">dla instalacji wytwarzania i dawkowania podchlorynu sodu w Czapurach, opinia sanitarna dla instalacji wytwarzania i dawkowania podchlorynu sodu w Mosinie - Pożegowo, opinia sanitarna dla rozbudowy oczyszczalni ścieków w Łęczycy w zakresie budowy drugiego reaktora biologicznego, opinia sanitarna dla budowy Stacji Uzdatniania Wody w Mrowinie, opinia sanitarna dla laboratorium badania żywności w Przeźmierowie przy ul. Rzemieślniczej 9), </w:t>
      </w:r>
    </w:p>
    <w:p w:rsidR="00AF0FDB" w:rsidRPr="00201414" w:rsidRDefault="00AF0FDB" w:rsidP="00433ACE">
      <w:pPr>
        <w:pStyle w:val="ListParagraph"/>
        <w:ind w:left="0"/>
      </w:pPr>
    </w:p>
    <w:p w:rsidR="00AF0FDB" w:rsidRPr="0018486D" w:rsidRDefault="00AF0FDB" w:rsidP="0018486D">
      <w:pPr>
        <w:pStyle w:val="BodyTextIndent"/>
        <w:numPr>
          <w:ilvl w:val="0"/>
          <w:numId w:val="22"/>
        </w:numPr>
        <w:tabs>
          <w:tab w:val="left" w:pos="2160"/>
        </w:tabs>
        <w:spacing w:before="0" w:after="0"/>
        <w:jc w:val="both"/>
      </w:pPr>
      <w:r w:rsidRPr="00201414">
        <w:t>w 1 sprawie zajęto stanowisko wydając decyzję negatywną w s</w:t>
      </w:r>
      <w:r>
        <w:t>prawie projektu budowlanego dotyczącego</w:t>
      </w:r>
      <w:r w:rsidRPr="00201414">
        <w:t xml:space="preserve"> przebudowy pomieszczeń w budynku usługowym (usługi medyczne) „Med - Polonia” w Poznaniu przy ul. Obornickiej 262.</w:t>
      </w:r>
    </w:p>
    <w:p w:rsidR="00AF0FDB" w:rsidRPr="00201414" w:rsidRDefault="00AF0FDB" w:rsidP="00433ACE">
      <w:pPr>
        <w:pStyle w:val="BodyTextIndent"/>
        <w:ind w:left="-142" w:hanging="38"/>
        <w:jc w:val="both"/>
      </w:pPr>
      <w:r w:rsidRPr="00201414">
        <w:t>Ad 4. W związku z uczestniczeniem w dopuszczeniu do użytku obiektów budowlanych uczestniczono w 336 kontrolach przeprowadzonych w związku z realizacją  budowy,</w:t>
      </w:r>
      <w:r w:rsidRPr="00201414">
        <w:br/>
        <w:t>rozbudowy, przebudowy, nadbudowy oraz zmiany sposobu użytkowania budynk</w:t>
      </w:r>
      <w:r>
        <w:t>ów;</w:t>
      </w:r>
      <w:r>
        <w:br/>
        <w:t>w wyniku wyżej wymienionej</w:t>
      </w:r>
      <w:r w:rsidRPr="00201414">
        <w:t xml:space="preserve"> kontroli wydano 195 opinii sanitarnych bez zastrzeżeń, 135 opinii</w:t>
      </w:r>
      <w:r w:rsidRPr="00201414">
        <w:br/>
        <w:t>sanitarnych z zastrzeżeniami oraz 6 decyzji o umorzeniu postępowania po przeprowadzeniu kontroli.</w:t>
      </w:r>
    </w:p>
    <w:p w:rsidR="00AF0FDB" w:rsidRPr="00201414" w:rsidRDefault="00AF0FDB" w:rsidP="00433ACE">
      <w:pPr>
        <w:pStyle w:val="BodyTextIndent"/>
        <w:tabs>
          <w:tab w:val="left" w:pos="567"/>
        </w:tabs>
        <w:ind w:left="0" w:hanging="142"/>
        <w:jc w:val="both"/>
      </w:pPr>
      <w:r w:rsidRPr="00201414">
        <w:t>Ponadto w Oddziale Zapobiegawczego Nadzoru Sanitarnego:</w:t>
      </w:r>
    </w:p>
    <w:p w:rsidR="00AF0FDB" w:rsidRPr="00201414" w:rsidRDefault="00AF0FDB" w:rsidP="00DE0EFA">
      <w:pPr>
        <w:pStyle w:val="BodyTextIndent"/>
        <w:numPr>
          <w:ilvl w:val="0"/>
          <w:numId w:val="23"/>
        </w:numPr>
        <w:tabs>
          <w:tab w:val="num" w:pos="284"/>
        </w:tabs>
        <w:spacing w:before="0" w:after="0"/>
        <w:ind w:left="284" w:hanging="44"/>
        <w:jc w:val="both"/>
      </w:pPr>
      <w:r w:rsidRPr="00201414">
        <w:t>przeprowadzono 22 kontrole, których podstawą było sprawdzenie spełnienia</w:t>
      </w:r>
      <w:r w:rsidRPr="00201414">
        <w:br/>
        <w:t>wymagań sanitarnych i stwierdzenie zgodności realizacji lokalu z projektem</w:t>
      </w:r>
      <w:r w:rsidRPr="00201414">
        <w:br/>
        <w:t>technologicznym zaopiniowanym przez rzeczoznawcę ds. sanitarno</w:t>
      </w:r>
      <w:r>
        <w:t xml:space="preserve"> - </w:t>
      </w:r>
      <w:r w:rsidRPr="00201414">
        <w:t xml:space="preserve">higienicznych wykonanym na podstawie przepisów szczegółowych. </w:t>
      </w:r>
    </w:p>
    <w:p w:rsidR="00AF0FDB" w:rsidRPr="00201414" w:rsidRDefault="00AF0FDB" w:rsidP="002F6557">
      <w:pPr>
        <w:pStyle w:val="BodyTextIndent"/>
        <w:ind w:left="284"/>
        <w:jc w:val="both"/>
      </w:pPr>
      <w:r w:rsidRPr="00201414">
        <w:t>Kontrole objęły 9 aptek ogólnodostępnych jako placówek ochrony</w:t>
      </w:r>
      <w:r>
        <w:t xml:space="preserve"> zdrowia</w:t>
      </w:r>
      <w:r>
        <w:br/>
        <w:t>publicznego, 2 placówki</w:t>
      </w:r>
      <w:r w:rsidRPr="00201414">
        <w:t xml:space="preserve"> służby zdrowia, 2 lokal</w:t>
      </w:r>
      <w:r>
        <w:t>e</w:t>
      </w:r>
      <w:r w:rsidRPr="00201414">
        <w:t xml:space="preserve"> gastronomiczny, 2 lokale h</w:t>
      </w:r>
      <w:r>
        <w:t>andlowo - usługowe oraz 7 lokali przeznaczonych</w:t>
      </w:r>
      <w:r w:rsidRPr="00201414">
        <w:t xml:space="preserve"> do wykonywania działalności gospodarczej w zakresie wytwarzania i obrotu materiałami wybuchowymi, bronią, amunicją oraz wyrobami i technologią o przeznaczeniu wojskowym lub policyjnym. W wyniku przeprowadzonych oględzin wydano 16 opinii sanitarnych stwierdzających zgodność realizacji</w:t>
      </w:r>
      <w:r w:rsidRPr="00201414">
        <w:br/>
        <w:t>z projektem i wymogami określonymi w przepisach szczegółowych, 1 opinię</w:t>
      </w:r>
      <w:r w:rsidRPr="00201414">
        <w:br/>
        <w:t>sanitarną stwierdzającą uchybienia w zakresie zgodności realizacji z proje</w:t>
      </w:r>
      <w:r>
        <w:t>ktem</w:t>
      </w:r>
      <w:r>
        <w:br/>
        <w:t>i wymogami określonymi w wyżej wymienionych</w:t>
      </w:r>
      <w:r w:rsidRPr="00201414">
        <w:t xml:space="preserve"> przepisach, 3 stanowiska na podstawie</w:t>
      </w:r>
      <w:r w:rsidRPr="00201414">
        <w:br/>
      </w:r>
      <w:r>
        <w:t>art.</w:t>
      </w:r>
      <w:r w:rsidRPr="00201414">
        <w:t>12 ust. 2 pkt 10 ustawy z dnia 22 czerwca 2001r. o wykonywaniu działalności gospodarczej w zakresie wytwarzania i obrotu materiałami wybuch</w:t>
      </w:r>
      <w:r>
        <w:t>owymi, bronią</w:t>
      </w:r>
      <w:r w:rsidRPr="00201414">
        <w:t xml:space="preserve">  i amunicją oraz wyrobami i technologią o przeznaczeni</w:t>
      </w:r>
      <w:r>
        <w:t>u wojskowym lub policyjnym</w:t>
      </w:r>
      <w:r w:rsidRPr="00201414">
        <w:t xml:space="preserve"> (Dz. U. z 2017r., poz. 290 z późn.zm.) oraz </w:t>
      </w:r>
      <w:r>
        <w:t>druga</w:t>
      </w:r>
      <w:r w:rsidRPr="00201414">
        <w:t xml:space="preserve"> decyzję o umorzeniu postępowania administracyjnego,</w:t>
      </w:r>
    </w:p>
    <w:p w:rsidR="00AF0FDB" w:rsidRPr="00201414" w:rsidRDefault="00AF0FDB" w:rsidP="00DE0EFA">
      <w:pPr>
        <w:numPr>
          <w:ilvl w:val="0"/>
          <w:numId w:val="23"/>
        </w:numPr>
        <w:tabs>
          <w:tab w:val="num" w:pos="284"/>
        </w:tabs>
        <w:spacing w:before="0" w:after="0"/>
        <w:ind w:left="284" w:hanging="46"/>
        <w:jc w:val="both"/>
      </w:pPr>
      <w:r w:rsidRPr="00201414">
        <w:t>wydano 43 postanowienia w sprawie milczącego załatwienia sprawy (nie zgłaszając sprzeciwu) dotyczące zakończenia budowy w trybie art. 56 ustawy z dnia 7 lipca 1994r. Prawa Budowlanego (Dz. U. z 2018r., poz. 1202 z późn. zm.),</w:t>
      </w:r>
    </w:p>
    <w:p w:rsidR="00AF0FDB" w:rsidRPr="00201414" w:rsidRDefault="00AF0FDB" w:rsidP="00DE0EFA">
      <w:pPr>
        <w:numPr>
          <w:ilvl w:val="0"/>
          <w:numId w:val="23"/>
        </w:numPr>
        <w:spacing w:before="0" w:after="0"/>
        <w:jc w:val="both"/>
      </w:pPr>
      <w:r w:rsidRPr="00201414">
        <w:t>zgodnie z kompetencją przekazano 15 spraw do Wielkopolskiego Państwowego Wojewódzkiego Inspektora Sanitarnego,</w:t>
      </w:r>
    </w:p>
    <w:p w:rsidR="00AF0FDB" w:rsidRPr="00201414" w:rsidRDefault="00AF0FDB" w:rsidP="00DE0EFA">
      <w:pPr>
        <w:pStyle w:val="BodyTextIndent"/>
        <w:numPr>
          <w:ilvl w:val="0"/>
          <w:numId w:val="23"/>
        </w:numPr>
        <w:tabs>
          <w:tab w:val="num" w:pos="284"/>
        </w:tabs>
        <w:spacing w:before="0" w:after="0"/>
        <w:ind w:left="284" w:hanging="44"/>
        <w:jc w:val="both"/>
      </w:pPr>
      <w:r w:rsidRPr="00201414">
        <w:t>zajęto łącznie 6 s</w:t>
      </w:r>
      <w:r>
        <w:t>tanowisk w sprawie wniosków dotyczących</w:t>
      </w:r>
      <w:r w:rsidRPr="00201414">
        <w:t xml:space="preserve"> zgody Państwowego Powiatowego Inspektora Sanitarnego na rozwiązania techniczne określone w §152 ust. 8</w:t>
      </w:r>
      <w:r w:rsidRPr="00201414">
        <w:br/>
        <w:t>rozporządzenia Ministra Infrastruktury z dnia 12 kwietnia 2002r. w sprawie</w:t>
      </w:r>
      <w:r w:rsidRPr="00201414">
        <w:br/>
        <w:t>warunków technicznych, jakim powinny odpowiadać budynki i ich usytuowanie (Dz. U. z 2015r., poz. 1422 z późn. zm.) i §151 ust. 4 ww. rozporządzenia,</w:t>
      </w:r>
    </w:p>
    <w:p w:rsidR="00AF0FDB" w:rsidRPr="00201414" w:rsidRDefault="00AF0FDB" w:rsidP="00DE0EFA">
      <w:pPr>
        <w:pStyle w:val="BodyTextIndent"/>
        <w:numPr>
          <w:ilvl w:val="0"/>
          <w:numId w:val="23"/>
        </w:numPr>
        <w:tabs>
          <w:tab w:val="num" w:pos="284"/>
        </w:tabs>
        <w:spacing w:before="0" w:after="0"/>
        <w:ind w:left="284" w:hanging="44"/>
        <w:jc w:val="both"/>
      </w:pPr>
      <w:r w:rsidRPr="00201414">
        <w:t>zajęto 1 stanowisko w sprawie wniosku dot</w:t>
      </w:r>
      <w:r>
        <w:t>yczącego</w:t>
      </w:r>
      <w:r w:rsidRPr="00201414">
        <w:t xml:space="preserve"> zgody Państwowego Powiatowego Inspektora Sanitarnego wydanej na podstawie art. 1 ust. 3 w związku z art. 5 ust. 1 ustawy z dnia 31 stycznia 1959r. o cmentarzach i chowaniu zmarłych (Dz. U. z 2017r., poz. 912 z późn. zm.) tj. wyrażenie zgody na założenie cmentarza wyznaniowego w miejscowości Biedrusko,  </w:t>
      </w:r>
    </w:p>
    <w:p w:rsidR="00AF0FDB" w:rsidRPr="0018486D" w:rsidRDefault="00AF0FDB" w:rsidP="0018486D">
      <w:pPr>
        <w:pStyle w:val="BodyTextIndent"/>
        <w:numPr>
          <w:ilvl w:val="0"/>
          <w:numId w:val="23"/>
        </w:numPr>
        <w:tabs>
          <w:tab w:val="num" w:pos="284"/>
        </w:tabs>
        <w:spacing w:before="0" w:after="0"/>
        <w:ind w:left="284" w:hanging="44"/>
        <w:jc w:val="both"/>
      </w:pPr>
      <w:r w:rsidRPr="00201414">
        <w:t>przeprowadzono 58 innych postępowań administracyjnych, które zakończono</w:t>
      </w:r>
      <w:r w:rsidRPr="00201414">
        <w:br/>
        <w:t xml:space="preserve">wydaniem pisma, opinii sanitarnej, postanowienia lub decyzji. </w:t>
      </w:r>
    </w:p>
    <w:p w:rsidR="00AF0FDB" w:rsidRPr="0018486D" w:rsidRDefault="00AF0FDB" w:rsidP="00433ACE">
      <w:pPr>
        <w:pStyle w:val="BodyTextIndent"/>
        <w:tabs>
          <w:tab w:val="left" w:pos="2160"/>
        </w:tabs>
        <w:ind w:left="-180"/>
        <w:rPr>
          <w:b/>
          <w:bCs/>
          <w:u w:val="single"/>
        </w:rPr>
      </w:pPr>
      <w:r w:rsidRPr="0018486D">
        <w:rPr>
          <w:b/>
          <w:bCs/>
          <w:u w:val="single"/>
        </w:rPr>
        <w:t>Wnioski:</w:t>
      </w:r>
    </w:p>
    <w:p w:rsidR="00AF0FDB" w:rsidRPr="008F4884" w:rsidRDefault="00AF0FDB" w:rsidP="00433ACE">
      <w:pPr>
        <w:numPr>
          <w:ilvl w:val="0"/>
          <w:numId w:val="8"/>
        </w:numPr>
        <w:autoSpaceDE w:val="0"/>
        <w:autoSpaceDN w:val="0"/>
        <w:adjustRightInd w:val="0"/>
        <w:spacing w:before="0" w:after="0"/>
        <w:jc w:val="both"/>
      </w:pPr>
      <w:r w:rsidRPr="00201414">
        <w:t>Ilość spraw rozpatrzonych przez Oddział Zapobiegawczego Nadzoru Sanitarnego</w:t>
      </w:r>
      <w:r w:rsidRPr="00201414">
        <w:br/>
        <w:t>wynika z ilości inwestycji realizowanych na terenie miasta Poznania i powiatu</w:t>
      </w:r>
      <w:r w:rsidRPr="00201414">
        <w:br/>
        <w:t xml:space="preserve">poznańskiego oraz wniosków złożonych przez wnioskodawców / inwestorów. </w:t>
      </w:r>
    </w:p>
    <w:p w:rsidR="00AF0FDB" w:rsidRPr="008F4884" w:rsidRDefault="00AF0FDB" w:rsidP="00433ACE">
      <w:pPr>
        <w:numPr>
          <w:ilvl w:val="0"/>
          <w:numId w:val="8"/>
        </w:numPr>
        <w:autoSpaceDE w:val="0"/>
        <w:autoSpaceDN w:val="0"/>
        <w:adjustRightInd w:val="0"/>
        <w:spacing w:before="0" w:after="0"/>
        <w:jc w:val="both"/>
      </w:pPr>
      <w:r w:rsidRPr="00201414">
        <w:t>W ramach zapobiegawczego nadzoru sanitarnego podejmowano zadania o charakterze profilaktycznym w zakresie: ochrony ludzi przed emisją zanieczyszczeń,</w:t>
      </w:r>
      <w:r w:rsidRPr="00201414">
        <w:br/>
        <w:t>oddziaływaniem akustycznym, gospodarki wodno - ściekowej zarówno na etapie</w:t>
      </w:r>
      <w:r w:rsidRPr="00201414">
        <w:br/>
        <w:t>tworzenia planów zagospodarowania przestrzennego, jak i opinii w zakresie</w:t>
      </w:r>
      <w:r w:rsidRPr="00201414">
        <w:br/>
        <w:t>oddziaływania</w:t>
      </w:r>
      <w:r>
        <w:t xml:space="preserve"> inwestycji jako przedsięwzięcia</w:t>
      </w:r>
      <w:r w:rsidRPr="00201414">
        <w:t xml:space="preserve"> znacząco oddziaływujące</w:t>
      </w:r>
      <w:r>
        <w:t>go</w:t>
      </w:r>
      <w:r w:rsidRPr="00201414">
        <w:br/>
        <w:t xml:space="preserve">na środowisko. </w:t>
      </w:r>
    </w:p>
    <w:p w:rsidR="00AF0FDB" w:rsidRPr="00201414" w:rsidRDefault="00AF0FDB" w:rsidP="00372492">
      <w:pPr>
        <w:numPr>
          <w:ilvl w:val="0"/>
          <w:numId w:val="8"/>
        </w:numPr>
        <w:autoSpaceDE w:val="0"/>
        <w:autoSpaceDN w:val="0"/>
        <w:adjustRightInd w:val="0"/>
        <w:spacing w:before="0" w:after="0"/>
        <w:jc w:val="both"/>
      </w:pPr>
      <w:r w:rsidRPr="00201414">
        <w:t>Podczas opiniowania dokumentacji w zakresie oddziaływania przedsięwzięcia</w:t>
      </w:r>
      <w:r w:rsidRPr="00201414">
        <w:br/>
        <w:t>na środowisko szczególną uwagę zwracano na uzyskanie pełnej informacji</w:t>
      </w:r>
      <w:r w:rsidRPr="00201414">
        <w:br/>
        <w:t>o oddziaływaniu analizowanego przedsięwzięcia na zdrowie ludzi, zachowania</w:t>
      </w:r>
      <w:r w:rsidRPr="00201414">
        <w:br/>
        <w:t>obowiązujących standardów przy jednoczesnym uwzględnieniu argumentów</w:t>
      </w:r>
      <w:r w:rsidRPr="00201414">
        <w:br/>
        <w:t>zarówno osób bezpośrednio zainteresowanych, jak i organizacji ekologicznych.</w:t>
      </w:r>
    </w:p>
    <w:p w:rsidR="00AF0FDB" w:rsidRPr="00201414" w:rsidRDefault="00AF0FDB">
      <w:pPr>
        <w:spacing w:before="0" w:after="160" w:line="259" w:lineRule="auto"/>
      </w:pPr>
    </w:p>
    <w:p w:rsidR="00AF0FDB" w:rsidRPr="00201414" w:rsidRDefault="00AF0FDB" w:rsidP="00FB2ADD">
      <w:pPr>
        <w:tabs>
          <w:tab w:val="left" w:pos="6345"/>
        </w:tabs>
      </w:pPr>
    </w:p>
    <w:p w:rsidR="00AF0FDB" w:rsidRPr="00201414" w:rsidRDefault="00AF0FDB" w:rsidP="00DE2F7D"/>
    <w:p w:rsidR="00AF0FDB" w:rsidRDefault="00AF0FDB" w:rsidP="00DE2F7D">
      <w:pPr>
        <w:pStyle w:val="Heading1"/>
        <w:rPr>
          <w:rFonts w:cs="Times New Roman"/>
        </w:rPr>
      </w:pPr>
      <w:r>
        <w:rPr>
          <w:rFonts w:cs="Times New Roman"/>
        </w:rPr>
        <w:tab/>
      </w: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DE2F7D">
      <w:pPr>
        <w:pStyle w:val="Heading1"/>
        <w:rPr>
          <w:rFonts w:cs="Times New Roman"/>
        </w:rPr>
      </w:pPr>
    </w:p>
    <w:p w:rsidR="00AF0FDB" w:rsidRDefault="00AF0FDB" w:rsidP="008F4884">
      <w:pPr>
        <w:pStyle w:val="Heading1"/>
        <w:jc w:val="left"/>
        <w:rPr>
          <w:rFonts w:cs="Times New Roman"/>
        </w:rPr>
      </w:pPr>
    </w:p>
    <w:p w:rsidR="00AF0FDB" w:rsidRPr="0018486D" w:rsidRDefault="00AF0FDB" w:rsidP="0018486D"/>
    <w:p w:rsidR="00AF0FDB" w:rsidRDefault="00AF0FDB" w:rsidP="00DE2F7D">
      <w:pPr>
        <w:pStyle w:val="Heading1"/>
        <w:rPr>
          <w:rFonts w:cs="Times New Roman"/>
        </w:rPr>
      </w:pPr>
    </w:p>
    <w:p w:rsidR="00AF0FDB" w:rsidRPr="00301544" w:rsidRDefault="00AF0FDB" w:rsidP="00301544">
      <w:pPr>
        <w:pStyle w:val="Heading1"/>
      </w:pPr>
      <w:bookmarkStart w:id="369" w:name="_Toc938894"/>
      <w:r w:rsidRPr="00301544">
        <w:t>ZAKOŃCZENIE</w:t>
      </w:r>
      <w:bookmarkEnd w:id="369"/>
      <w:r w:rsidRPr="00301544">
        <w:br w:type="page"/>
      </w:r>
    </w:p>
    <w:p w:rsidR="00AF0FDB" w:rsidRPr="009B7E39" w:rsidRDefault="00AF0FDB" w:rsidP="00DE2F7D">
      <w:pPr>
        <w:autoSpaceDE w:val="0"/>
        <w:autoSpaceDN w:val="0"/>
        <w:adjustRightInd w:val="0"/>
        <w:jc w:val="both"/>
      </w:pPr>
      <w:r w:rsidRPr="009B7E39">
        <w:t>Państwowy Powiatowy Inspektor Sanitarny w Poznaniu swoje zadania realizuje na obszarze 2162 km</w:t>
      </w:r>
      <w:r w:rsidRPr="009B7E39">
        <w:rPr>
          <w:vertAlign w:val="superscript"/>
        </w:rPr>
        <w:t>2</w:t>
      </w:r>
      <w:r w:rsidRPr="009B7E39">
        <w:t xml:space="preserve">, podzielonym na powiaty ziemski i grodzki o łącznej </w:t>
      </w:r>
      <w:r w:rsidRPr="00201414">
        <w:t xml:space="preserve">liczbie 923 276 </w:t>
      </w:r>
      <w:r w:rsidRPr="009B7E39">
        <w:t>tysięcy mieszkańców.</w:t>
      </w:r>
    </w:p>
    <w:p w:rsidR="00AF0FDB" w:rsidRPr="00201414" w:rsidRDefault="00AF0FDB" w:rsidP="00DE2F7D">
      <w:pPr>
        <w:autoSpaceDE w:val="0"/>
        <w:autoSpaceDN w:val="0"/>
        <w:adjustRightInd w:val="0"/>
        <w:jc w:val="both"/>
      </w:pPr>
      <w:r w:rsidRPr="00201414">
        <w:t xml:space="preserve">Pod nadzorem Powiatowej Stacji Sanitarno-Epidemiologicznej w Poznaniu znajduje się </w:t>
      </w:r>
      <w:r w:rsidRPr="00201414">
        <w:br/>
        <w:t>19 601 obiektów. W roku 2018 wykonano 15 701 kontroli. Wydano łącznie 7023 decyzji</w:t>
      </w:r>
      <w:r w:rsidRPr="00201414">
        <w:br/>
        <w:t>i nałożono 409 mandatów.</w:t>
      </w:r>
    </w:p>
    <w:p w:rsidR="00AF0FDB" w:rsidRPr="00201414" w:rsidRDefault="00AF0FDB" w:rsidP="00DE2F7D">
      <w:pPr>
        <w:spacing w:after="0"/>
        <w:jc w:val="both"/>
      </w:pPr>
      <w:r w:rsidRPr="00201414">
        <w:t xml:space="preserve">Najważniejsze zadania wymagające dalszych skutecznych działań ze strony Inspekcji Sanitarnej: </w:t>
      </w:r>
    </w:p>
    <w:p w:rsidR="00AF0FDB" w:rsidRDefault="00AF0FDB" w:rsidP="006506EA">
      <w:r w:rsidRPr="00AC12A4">
        <w:t>Monitorowanie sytuacji epidemiologicznej chorób zakaźnych:</w:t>
      </w:r>
    </w:p>
    <w:p w:rsidR="00AF0FDB" w:rsidRDefault="00AF0FDB" w:rsidP="00DE0EF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Sytuację epidemiologiczną większości chorób zakaźnych w powiecie poznańskim można uznać za korzystną</w:t>
      </w:r>
    </w:p>
    <w:p w:rsidR="00AF0FDB" w:rsidRDefault="00AF0FDB" w:rsidP="00DE0EFA">
      <w:pPr>
        <w:pStyle w:val="ListParagraph"/>
        <w:numPr>
          <w:ilvl w:val="0"/>
          <w:numId w:val="19"/>
        </w:numPr>
        <w:spacing w:line="360" w:lineRule="auto"/>
        <w:jc w:val="both"/>
        <w:rPr>
          <w:rFonts w:ascii="Times New Roman" w:hAnsi="Times New Roman" w:cs="Times New Roman"/>
          <w:sz w:val="24"/>
          <w:szCs w:val="24"/>
        </w:rPr>
      </w:pPr>
      <w:r w:rsidRPr="00E837A5">
        <w:rPr>
          <w:rFonts w:ascii="Times New Roman" w:hAnsi="Times New Roman" w:cs="Times New Roman"/>
          <w:sz w:val="24"/>
          <w:szCs w:val="24"/>
        </w:rPr>
        <w:t xml:space="preserve">W roku 2018 </w:t>
      </w:r>
      <w:r>
        <w:rPr>
          <w:rFonts w:ascii="Times New Roman" w:hAnsi="Times New Roman" w:cs="Times New Roman"/>
          <w:sz w:val="24"/>
          <w:szCs w:val="24"/>
        </w:rPr>
        <w:t xml:space="preserve">odnotowano </w:t>
      </w:r>
      <w:r w:rsidRPr="00122FD0">
        <w:rPr>
          <w:rFonts w:ascii="Times New Roman" w:hAnsi="Times New Roman" w:cs="Times New Roman"/>
          <w:sz w:val="24"/>
          <w:szCs w:val="24"/>
          <w:u w:val="single"/>
        </w:rPr>
        <w:t>wzrost</w:t>
      </w:r>
      <w:r>
        <w:rPr>
          <w:rFonts w:ascii="Times New Roman" w:hAnsi="Times New Roman" w:cs="Times New Roman"/>
          <w:sz w:val="24"/>
          <w:szCs w:val="24"/>
        </w:rPr>
        <w:t xml:space="preserve"> </w:t>
      </w:r>
      <w:r w:rsidRPr="00E837A5">
        <w:rPr>
          <w:rFonts w:ascii="Times New Roman" w:hAnsi="Times New Roman" w:cs="Times New Roman"/>
          <w:sz w:val="24"/>
          <w:szCs w:val="24"/>
        </w:rPr>
        <w:t xml:space="preserve">o 25,6% </w:t>
      </w:r>
      <w:r>
        <w:rPr>
          <w:rFonts w:ascii="Times New Roman" w:hAnsi="Times New Roman" w:cs="Times New Roman"/>
          <w:sz w:val="24"/>
          <w:szCs w:val="24"/>
        </w:rPr>
        <w:t xml:space="preserve">liczby </w:t>
      </w:r>
      <w:r w:rsidRPr="00E837A5">
        <w:rPr>
          <w:rFonts w:ascii="Times New Roman" w:hAnsi="Times New Roman" w:cs="Times New Roman"/>
          <w:sz w:val="24"/>
          <w:szCs w:val="24"/>
        </w:rPr>
        <w:t>przypadków zatruć pokarmowych wywołanych przez pałeczk</w:t>
      </w:r>
      <w:r>
        <w:rPr>
          <w:rFonts w:ascii="Times New Roman" w:hAnsi="Times New Roman" w:cs="Times New Roman"/>
          <w:sz w:val="24"/>
          <w:szCs w:val="24"/>
        </w:rPr>
        <w:t>i</w:t>
      </w:r>
      <w:r w:rsidRPr="00E837A5">
        <w:rPr>
          <w:rFonts w:ascii="Times New Roman" w:hAnsi="Times New Roman" w:cs="Times New Roman"/>
          <w:sz w:val="24"/>
          <w:szCs w:val="24"/>
        </w:rPr>
        <w:t xml:space="preserve"> </w:t>
      </w:r>
      <w:r w:rsidRPr="006F7A77">
        <w:rPr>
          <w:rFonts w:ascii="Times New Roman" w:hAnsi="Times New Roman" w:cs="Times New Roman"/>
          <w:i/>
          <w:iCs/>
          <w:sz w:val="24"/>
          <w:szCs w:val="24"/>
        </w:rPr>
        <w:t>Salmonella</w:t>
      </w:r>
      <w:r>
        <w:rPr>
          <w:rFonts w:ascii="Times New Roman" w:hAnsi="Times New Roman" w:cs="Times New Roman"/>
          <w:i/>
          <w:iCs/>
          <w:sz w:val="24"/>
          <w:szCs w:val="24"/>
        </w:rPr>
        <w:t xml:space="preserve"> </w:t>
      </w:r>
      <w:r w:rsidRPr="006F7A77">
        <w:rPr>
          <w:rFonts w:ascii="Times New Roman" w:hAnsi="Times New Roman" w:cs="Times New Roman"/>
          <w:sz w:val="24"/>
          <w:szCs w:val="24"/>
        </w:rPr>
        <w:t>spp</w:t>
      </w:r>
      <w:r>
        <w:rPr>
          <w:rFonts w:ascii="Times New Roman" w:hAnsi="Times New Roman" w:cs="Times New Roman"/>
          <w:i/>
          <w:iCs/>
          <w:sz w:val="24"/>
          <w:szCs w:val="24"/>
        </w:rPr>
        <w:t>.</w:t>
      </w:r>
      <w:r>
        <w:rPr>
          <w:rFonts w:ascii="Times New Roman" w:hAnsi="Times New Roman" w:cs="Times New Roman"/>
          <w:sz w:val="24"/>
          <w:szCs w:val="24"/>
        </w:rPr>
        <w:t xml:space="preserve">. Zarejestrowano </w:t>
      </w:r>
      <w:r w:rsidRPr="00E837A5">
        <w:rPr>
          <w:rFonts w:ascii="Times New Roman" w:hAnsi="Times New Roman" w:cs="Times New Roman"/>
          <w:sz w:val="24"/>
          <w:szCs w:val="24"/>
        </w:rPr>
        <w:t>157</w:t>
      </w:r>
      <w:r>
        <w:rPr>
          <w:rFonts w:ascii="Times New Roman" w:hAnsi="Times New Roman" w:cs="Times New Roman"/>
          <w:sz w:val="24"/>
          <w:szCs w:val="24"/>
        </w:rPr>
        <w:t xml:space="preserve"> zachorowań (</w:t>
      </w:r>
      <w:r w:rsidRPr="00E837A5">
        <w:rPr>
          <w:rFonts w:ascii="Times New Roman" w:hAnsi="Times New Roman" w:cs="Times New Roman"/>
          <w:sz w:val="24"/>
          <w:szCs w:val="24"/>
        </w:rPr>
        <w:t>wsp. zap. 17,0/100000)</w:t>
      </w:r>
      <w:r>
        <w:rPr>
          <w:rFonts w:ascii="Times New Roman" w:hAnsi="Times New Roman" w:cs="Times New Roman"/>
          <w:sz w:val="24"/>
          <w:szCs w:val="24"/>
        </w:rPr>
        <w:t>, natomiast w roku poprzednim</w:t>
      </w:r>
      <w:r w:rsidRPr="00E837A5">
        <w:rPr>
          <w:rFonts w:ascii="Times New Roman" w:hAnsi="Times New Roman" w:cs="Times New Roman"/>
          <w:sz w:val="24"/>
          <w:szCs w:val="24"/>
        </w:rPr>
        <w:t xml:space="preserve"> 125 zachorowań</w:t>
      </w:r>
      <w:r>
        <w:rPr>
          <w:rFonts w:ascii="Times New Roman" w:hAnsi="Times New Roman" w:cs="Times New Roman"/>
          <w:sz w:val="24"/>
          <w:szCs w:val="24"/>
        </w:rPr>
        <w:t xml:space="preserve"> (</w:t>
      </w:r>
      <w:r w:rsidRPr="00E837A5">
        <w:rPr>
          <w:rFonts w:ascii="Times New Roman" w:hAnsi="Times New Roman" w:cs="Times New Roman"/>
          <w:sz w:val="24"/>
          <w:szCs w:val="24"/>
        </w:rPr>
        <w:t>wsp. zap. 13,6/100000).</w:t>
      </w:r>
      <w:r w:rsidRPr="00F57309">
        <w:rPr>
          <w:rFonts w:ascii="Times New Roman" w:hAnsi="Times New Roman" w:cs="Times New Roman"/>
          <w:color w:val="76923C"/>
          <w:sz w:val="24"/>
          <w:szCs w:val="24"/>
        </w:rPr>
        <w:t xml:space="preserve"> </w:t>
      </w:r>
      <w:r w:rsidRPr="00E837A5">
        <w:rPr>
          <w:rFonts w:ascii="Times New Roman" w:hAnsi="Times New Roman" w:cs="Times New Roman"/>
          <w:sz w:val="24"/>
          <w:szCs w:val="24"/>
        </w:rPr>
        <w:t xml:space="preserve">Przeważały zachorowania wywołane </w:t>
      </w:r>
      <w:r w:rsidRPr="00E837A5">
        <w:rPr>
          <w:rFonts w:ascii="Times New Roman" w:hAnsi="Times New Roman" w:cs="Times New Roman"/>
          <w:i/>
          <w:iCs/>
          <w:sz w:val="24"/>
          <w:szCs w:val="24"/>
        </w:rPr>
        <w:t>Salmonella</w:t>
      </w:r>
      <w:r w:rsidRPr="00E837A5">
        <w:rPr>
          <w:rFonts w:ascii="Times New Roman" w:hAnsi="Times New Roman" w:cs="Times New Roman"/>
          <w:sz w:val="24"/>
          <w:szCs w:val="24"/>
        </w:rPr>
        <w:t xml:space="preserve"> Enteritidis (82 przypadki), stanowiące 52,2% wszystkich zachorowań.</w:t>
      </w:r>
    </w:p>
    <w:p w:rsidR="00AF0FDB" w:rsidRDefault="00AF0FDB" w:rsidP="006506E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Wśród wszystkich zachorowań wywołanych pał. </w:t>
      </w:r>
      <w:r w:rsidRPr="00122FD0">
        <w:rPr>
          <w:rFonts w:ascii="Times New Roman" w:hAnsi="Times New Roman" w:cs="Times New Roman"/>
          <w:i/>
          <w:iCs/>
          <w:sz w:val="24"/>
          <w:szCs w:val="24"/>
        </w:rPr>
        <w:t>Salmonella</w:t>
      </w:r>
      <w:r>
        <w:rPr>
          <w:rFonts w:ascii="Times New Roman" w:hAnsi="Times New Roman" w:cs="Times New Roman"/>
          <w:sz w:val="24"/>
          <w:szCs w:val="24"/>
        </w:rPr>
        <w:t xml:space="preserve"> spp. odnotowano 9 ognisk zatruć pokarmowych.</w:t>
      </w:r>
    </w:p>
    <w:p w:rsidR="00AF0FDB" w:rsidRPr="00122FD0" w:rsidRDefault="00AF0FDB" w:rsidP="00DE0EFA">
      <w:pPr>
        <w:pStyle w:val="ListParagraph"/>
        <w:numPr>
          <w:ilvl w:val="0"/>
          <w:numId w:val="19"/>
        </w:numPr>
        <w:spacing w:after="120" w:line="360" w:lineRule="auto"/>
        <w:jc w:val="both"/>
        <w:rPr>
          <w:rFonts w:ascii="Times New Roman" w:hAnsi="Times New Roman" w:cs="Times New Roman"/>
          <w:sz w:val="24"/>
          <w:szCs w:val="24"/>
        </w:rPr>
      </w:pPr>
      <w:r w:rsidRPr="00F57921">
        <w:rPr>
          <w:rFonts w:ascii="Times New Roman" w:hAnsi="Times New Roman" w:cs="Times New Roman"/>
          <w:sz w:val="24"/>
          <w:szCs w:val="24"/>
        </w:rPr>
        <w:t>W 2018 r. zarejestrowano 21 przypadków zachorowań na wzw typu A (wsp. zap. 2,3/100000)</w:t>
      </w:r>
      <w:r>
        <w:rPr>
          <w:rFonts w:ascii="Times New Roman" w:hAnsi="Times New Roman" w:cs="Times New Roman"/>
          <w:sz w:val="24"/>
          <w:szCs w:val="24"/>
        </w:rPr>
        <w:t>,</w:t>
      </w:r>
      <w:r w:rsidRPr="00F57921">
        <w:rPr>
          <w:rFonts w:ascii="Times New Roman" w:hAnsi="Times New Roman" w:cs="Times New Roman"/>
          <w:sz w:val="24"/>
          <w:szCs w:val="24"/>
        </w:rPr>
        <w:t xml:space="preserve"> co stanowi </w:t>
      </w:r>
      <w:r w:rsidRPr="00F57921">
        <w:rPr>
          <w:rFonts w:ascii="Times New Roman" w:hAnsi="Times New Roman" w:cs="Times New Roman"/>
          <w:sz w:val="24"/>
          <w:szCs w:val="24"/>
          <w:u w:val="single"/>
        </w:rPr>
        <w:t>spadek</w:t>
      </w:r>
      <w:r w:rsidRPr="00F57921">
        <w:rPr>
          <w:rFonts w:ascii="Times New Roman" w:hAnsi="Times New Roman" w:cs="Times New Roman"/>
          <w:sz w:val="24"/>
          <w:szCs w:val="24"/>
        </w:rPr>
        <w:t xml:space="preserve"> zachorowań o 288 przypadków w porównaniu do 2017 roku, gdzie zgłoszono 309 przypadków zachorowań na wzw typu A (wsp. zap. 33,7/100000). </w:t>
      </w:r>
      <w:r w:rsidRPr="00AE0297">
        <w:rPr>
          <w:rFonts w:ascii="Times New Roman" w:hAnsi="Times New Roman" w:cs="Times New Roman"/>
          <w:sz w:val="24"/>
          <w:szCs w:val="24"/>
        </w:rPr>
        <w:t>Kontynuowane są działania mające na celu ograniczenie liczby nowych zakażeń m.in. poprzez: identyfikowanie osób z bezpośredniego otoczenia chorych</w:t>
      </w:r>
      <w:r>
        <w:rPr>
          <w:rFonts w:ascii="Times New Roman" w:hAnsi="Times New Roman" w:cs="Times New Roman"/>
          <w:sz w:val="24"/>
          <w:szCs w:val="24"/>
        </w:rPr>
        <w:t>,</w:t>
      </w:r>
      <w:r w:rsidRPr="00AE0297">
        <w:rPr>
          <w:rFonts w:ascii="Times New Roman" w:hAnsi="Times New Roman" w:cs="Times New Roman"/>
          <w:sz w:val="24"/>
          <w:szCs w:val="24"/>
        </w:rPr>
        <w:t xml:space="preserve"> informowanie społeczeństwa o możliwościach podejmowania działań</w:t>
      </w:r>
      <w:r>
        <w:rPr>
          <w:rFonts w:ascii="Times New Roman" w:hAnsi="Times New Roman" w:cs="Times New Roman"/>
          <w:sz w:val="24"/>
          <w:szCs w:val="24"/>
        </w:rPr>
        <w:t xml:space="preserve"> p</w:t>
      </w:r>
      <w:r w:rsidRPr="00AE0297">
        <w:rPr>
          <w:rFonts w:ascii="Times New Roman" w:hAnsi="Times New Roman" w:cs="Times New Roman"/>
          <w:sz w:val="24"/>
          <w:szCs w:val="24"/>
        </w:rPr>
        <w:t>rofilaktycznych w postaci szczepień ochronnych przeciw wzw typu A (profilaktyka zarówno przed ekspozycją na HAV, jak i poekspozycyjna) oraz edukacja w zakresie przestrzegania standardów właściwej higieny i diety.</w:t>
      </w:r>
      <w:r>
        <w:rPr>
          <w:rFonts w:ascii="Times New Roman" w:hAnsi="Times New Roman" w:cs="Times New Roman"/>
          <w:sz w:val="24"/>
          <w:szCs w:val="24"/>
        </w:rPr>
        <w:t xml:space="preserve"> </w:t>
      </w:r>
    </w:p>
    <w:p w:rsidR="00AF0FDB" w:rsidRPr="00885229" w:rsidRDefault="00AF0FDB" w:rsidP="00DE0EFA">
      <w:pPr>
        <w:pStyle w:val="ListParagraph"/>
        <w:numPr>
          <w:ilvl w:val="0"/>
          <w:numId w:val="19"/>
        </w:numPr>
        <w:spacing w:line="360" w:lineRule="auto"/>
        <w:jc w:val="both"/>
        <w:rPr>
          <w:rFonts w:ascii="Times New Roman" w:hAnsi="Times New Roman" w:cs="Times New Roman"/>
          <w:sz w:val="24"/>
          <w:szCs w:val="24"/>
        </w:rPr>
      </w:pPr>
      <w:r w:rsidRPr="00F57921">
        <w:rPr>
          <w:rFonts w:ascii="Times New Roman" w:hAnsi="Times New Roman" w:cs="Times New Roman"/>
          <w:sz w:val="24"/>
          <w:szCs w:val="24"/>
        </w:rPr>
        <w:t xml:space="preserve">W 2018 roku zarejestrowano 15 przypadków zachorowań na odrę  (wsp. zap. 1,6/100000), co stanowi 40%  </w:t>
      </w:r>
      <w:r w:rsidRPr="00F57921">
        <w:rPr>
          <w:rFonts w:ascii="Times New Roman" w:hAnsi="Times New Roman" w:cs="Times New Roman"/>
          <w:sz w:val="24"/>
          <w:szCs w:val="24"/>
          <w:u w:val="single"/>
        </w:rPr>
        <w:t>spadek</w:t>
      </w:r>
      <w:r w:rsidRPr="00895D57">
        <w:rPr>
          <w:rFonts w:ascii="Times New Roman" w:hAnsi="Times New Roman" w:cs="Times New Roman"/>
          <w:sz w:val="24"/>
          <w:szCs w:val="24"/>
        </w:rPr>
        <w:t xml:space="preserve"> </w:t>
      </w:r>
      <w:r w:rsidRPr="00F57921">
        <w:rPr>
          <w:rFonts w:ascii="Times New Roman" w:hAnsi="Times New Roman" w:cs="Times New Roman"/>
          <w:sz w:val="24"/>
          <w:szCs w:val="24"/>
        </w:rPr>
        <w:t>liczby zachorowań</w:t>
      </w:r>
      <w:r w:rsidRPr="00895D57">
        <w:rPr>
          <w:rFonts w:ascii="Times New Roman" w:hAnsi="Times New Roman" w:cs="Times New Roman"/>
          <w:sz w:val="24"/>
          <w:szCs w:val="24"/>
        </w:rPr>
        <w:t xml:space="preserve"> </w:t>
      </w:r>
      <w:r w:rsidRPr="00F57921">
        <w:rPr>
          <w:rFonts w:ascii="Times New Roman" w:hAnsi="Times New Roman" w:cs="Times New Roman"/>
          <w:sz w:val="24"/>
          <w:szCs w:val="24"/>
        </w:rPr>
        <w:t>w porównaniu do 2017 r., w którym zarejestrowano 25 przypadk</w:t>
      </w:r>
      <w:r>
        <w:rPr>
          <w:rFonts w:ascii="Times New Roman" w:hAnsi="Times New Roman" w:cs="Times New Roman"/>
          <w:sz w:val="24"/>
          <w:szCs w:val="24"/>
        </w:rPr>
        <w:t>ów</w:t>
      </w:r>
      <w:r w:rsidRPr="00F57921">
        <w:rPr>
          <w:rFonts w:ascii="Times New Roman" w:hAnsi="Times New Roman" w:cs="Times New Roman"/>
          <w:sz w:val="24"/>
          <w:szCs w:val="24"/>
        </w:rPr>
        <w:t xml:space="preserve"> (wsp. zap. 2,7/100000).</w:t>
      </w:r>
      <w:r>
        <w:rPr>
          <w:rFonts w:ascii="Times New Roman" w:hAnsi="Times New Roman" w:cs="Times New Roman"/>
          <w:sz w:val="24"/>
          <w:szCs w:val="24"/>
        </w:rPr>
        <w:t xml:space="preserve"> </w:t>
      </w:r>
      <w:r w:rsidRPr="00467BA0">
        <w:rPr>
          <w:rFonts w:ascii="Times New Roman" w:hAnsi="Times New Roman" w:cs="Times New Roman"/>
          <w:sz w:val="24"/>
          <w:szCs w:val="24"/>
        </w:rPr>
        <w:t>Wszystkie podejrzenia zostały zgłoszone w ramach programu WHO „Eliminacja odry i różyczki”.</w:t>
      </w:r>
      <w:r>
        <w:rPr>
          <w:rFonts w:ascii="Times New Roman" w:hAnsi="Times New Roman" w:cs="Times New Roman"/>
          <w:sz w:val="24"/>
          <w:szCs w:val="24"/>
        </w:rPr>
        <w:t xml:space="preserve"> 8 przypadków zachorowań wystąpiło wśród osób narodowości polskiej, natomiast 7 przypadków to przypadki zawleczone wśród osób narodowości ukraińskiej przebywających na terenie powiatu poznańskiego w celach zarobkowych. Wśród wszystkich zachorowań odnotowano 1 ognisko 2-osobowe. Zachorowania wystąpiły u osób zatrudnionych w podmiocie leczniczym (1 osoba nieszczepiona, 1 zaszczepiona w dzieciństwie jedną dawką) mających kontakt z pacjentami narodowości ukraińskiej. </w:t>
      </w:r>
      <w:r w:rsidRPr="00885229">
        <w:rPr>
          <w:rFonts w:ascii="Times New Roman" w:hAnsi="Times New Roman" w:cs="Times New Roman"/>
          <w:sz w:val="24"/>
          <w:szCs w:val="24"/>
        </w:rPr>
        <w:t>Z uwagi na możliwość zawleczenia tej choroby do Polski, istotne jest monitorowanie sytuacji epidemiologicznej tej choroby poza granicami kraju, szczególnie w państwach, w których system szczepień nie jest prawidłowo wykonywany, jak również prowadzenie akcji szczepień ochronnych.</w:t>
      </w:r>
    </w:p>
    <w:p w:rsidR="00AF0FDB" w:rsidRDefault="00AF0FDB" w:rsidP="0018486D">
      <w:pPr>
        <w:pStyle w:val="ListParagraph"/>
        <w:numPr>
          <w:ilvl w:val="0"/>
          <w:numId w:val="19"/>
        </w:numPr>
        <w:spacing w:line="360" w:lineRule="auto"/>
        <w:jc w:val="both"/>
        <w:rPr>
          <w:rFonts w:ascii="Times New Roman" w:hAnsi="Times New Roman" w:cs="Times New Roman"/>
          <w:sz w:val="24"/>
          <w:szCs w:val="24"/>
        </w:rPr>
      </w:pPr>
      <w:r w:rsidRPr="00AC12A4">
        <w:rPr>
          <w:rFonts w:ascii="Times New Roman" w:hAnsi="Times New Roman" w:cs="Times New Roman"/>
          <w:sz w:val="24"/>
          <w:szCs w:val="24"/>
          <w:lang w:eastAsia="pl-PL"/>
        </w:rPr>
        <w:t xml:space="preserve">W roku 2018 roku zarejestrowano 27 przypadków </w:t>
      </w:r>
      <w:r>
        <w:rPr>
          <w:rFonts w:ascii="Times New Roman" w:hAnsi="Times New Roman" w:cs="Times New Roman"/>
          <w:sz w:val="24"/>
          <w:szCs w:val="24"/>
          <w:lang w:eastAsia="pl-PL"/>
        </w:rPr>
        <w:t xml:space="preserve">podejrzeń </w:t>
      </w:r>
      <w:r w:rsidRPr="00AC12A4">
        <w:rPr>
          <w:rFonts w:ascii="Times New Roman" w:hAnsi="Times New Roman" w:cs="Times New Roman"/>
          <w:sz w:val="24"/>
          <w:szCs w:val="24"/>
          <w:lang w:eastAsia="pl-PL"/>
        </w:rPr>
        <w:t>zachorowań na różyczkę (wsp. zap. 2,9/100000). Porównując z rokiem 2017, kiedy zarejestrowano 14</w:t>
      </w:r>
      <w:r>
        <w:rPr>
          <w:rFonts w:ascii="Times New Roman" w:hAnsi="Times New Roman" w:cs="Times New Roman"/>
          <w:sz w:val="24"/>
          <w:szCs w:val="24"/>
          <w:lang w:eastAsia="pl-PL"/>
        </w:rPr>
        <w:t> </w:t>
      </w:r>
      <w:r w:rsidRPr="00AC12A4">
        <w:rPr>
          <w:rFonts w:ascii="Times New Roman" w:hAnsi="Times New Roman" w:cs="Times New Roman"/>
          <w:sz w:val="24"/>
          <w:szCs w:val="24"/>
          <w:lang w:eastAsia="pl-PL"/>
        </w:rPr>
        <w:t>przypadków</w:t>
      </w:r>
      <w:r>
        <w:rPr>
          <w:rFonts w:ascii="Times New Roman" w:hAnsi="Times New Roman" w:cs="Times New Roman"/>
          <w:sz w:val="24"/>
          <w:szCs w:val="24"/>
          <w:lang w:eastAsia="pl-PL"/>
        </w:rPr>
        <w:t xml:space="preserve"> </w:t>
      </w:r>
      <w:r w:rsidRPr="00AC12A4">
        <w:rPr>
          <w:rFonts w:ascii="Times New Roman" w:hAnsi="Times New Roman" w:cs="Times New Roman"/>
          <w:sz w:val="24"/>
          <w:szCs w:val="24"/>
          <w:lang w:eastAsia="pl-PL"/>
        </w:rPr>
        <w:t xml:space="preserve">podejrzeń zachorowania na różyczkę (wsp. zap. 1,5/100000), odnotowano </w:t>
      </w:r>
      <w:r w:rsidRPr="00AC12A4">
        <w:rPr>
          <w:rFonts w:ascii="Times New Roman" w:hAnsi="Times New Roman" w:cs="Times New Roman"/>
          <w:sz w:val="24"/>
          <w:szCs w:val="24"/>
          <w:u w:val="single"/>
          <w:lang w:eastAsia="pl-PL"/>
        </w:rPr>
        <w:t>wzrost</w:t>
      </w:r>
      <w:r w:rsidRPr="00FB1005">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w:t>
      </w:r>
      <w:r w:rsidRPr="00AC12A4">
        <w:rPr>
          <w:rFonts w:ascii="Times New Roman" w:hAnsi="Times New Roman" w:cs="Times New Roman"/>
          <w:sz w:val="24"/>
          <w:szCs w:val="24"/>
          <w:lang w:eastAsia="pl-PL"/>
        </w:rPr>
        <w:t>o 92,9%</w:t>
      </w:r>
      <w:r>
        <w:rPr>
          <w:rFonts w:ascii="Times New Roman" w:hAnsi="Times New Roman" w:cs="Times New Roman"/>
          <w:sz w:val="24"/>
          <w:szCs w:val="24"/>
          <w:lang w:eastAsia="pl-PL"/>
        </w:rPr>
        <w:t>)</w:t>
      </w:r>
      <w:r w:rsidRPr="00AC12A4">
        <w:rPr>
          <w:rFonts w:ascii="Times New Roman" w:hAnsi="Times New Roman" w:cs="Times New Roman"/>
          <w:sz w:val="24"/>
          <w:szCs w:val="24"/>
          <w:lang w:eastAsia="pl-PL"/>
        </w:rPr>
        <w:t xml:space="preserve"> liczby </w:t>
      </w:r>
      <w:r>
        <w:rPr>
          <w:rFonts w:ascii="Times New Roman" w:hAnsi="Times New Roman" w:cs="Times New Roman"/>
          <w:sz w:val="24"/>
          <w:szCs w:val="24"/>
          <w:lang w:eastAsia="pl-PL"/>
        </w:rPr>
        <w:t xml:space="preserve">podejrzeń </w:t>
      </w:r>
      <w:r w:rsidRPr="00AC12A4">
        <w:rPr>
          <w:rFonts w:ascii="Times New Roman" w:hAnsi="Times New Roman" w:cs="Times New Roman"/>
          <w:sz w:val="24"/>
          <w:szCs w:val="24"/>
          <w:lang w:eastAsia="pl-PL"/>
        </w:rPr>
        <w:t>zachorowań</w:t>
      </w:r>
      <w:r>
        <w:rPr>
          <w:rFonts w:ascii="Times New Roman" w:hAnsi="Times New Roman" w:cs="Times New Roman"/>
          <w:sz w:val="24"/>
          <w:szCs w:val="24"/>
          <w:lang w:eastAsia="pl-PL"/>
        </w:rPr>
        <w:t>.</w:t>
      </w:r>
      <w:r w:rsidRPr="00AC12A4">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Wszystkie zarejestrowane podejrzenia zachorowań zostały wykazane jako możliwe na podstawie objawów klinicznych. Ponadto do nadzoru zostało zgłoszonych 8 przypadków podejrzeń różyczki, w których </w:t>
      </w:r>
      <w:r w:rsidRPr="00467BA0">
        <w:rPr>
          <w:rFonts w:ascii="Times New Roman" w:hAnsi="Times New Roman" w:cs="Times New Roman"/>
          <w:sz w:val="24"/>
          <w:szCs w:val="24"/>
        </w:rPr>
        <w:t>w ramach programu WHO „Eliminacja odry i różyczki”</w:t>
      </w:r>
      <w:r>
        <w:rPr>
          <w:rFonts w:ascii="Times New Roman" w:hAnsi="Times New Roman" w:cs="Times New Roman"/>
          <w:sz w:val="24"/>
          <w:szCs w:val="24"/>
        </w:rPr>
        <w:t xml:space="preserve"> wykonano badania diagnostyczne, wykluczające zachorowania.</w:t>
      </w:r>
      <w:r w:rsidRPr="00FB1005">
        <w:rPr>
          <w:rFonts w:ascii="Times New Roman" w:hAnsi="Times New Roman" w:cs="Times New Roman"/>
          <w:sz w:val="24"/>
          <w:szCs w:val="24"/>
          <w:lang w:eastAsia="pl-PL"/>
        </w:rPr>
        <w:t xml:space="preserve"> </w:t>
      </w:r>
    </w:p>
    <w:p w:rsidR="00AF0FDB" w:rsidRPr="00FB1005" w:rsidRDefault="00AF0FDB" w:rsidP="00DE0EFA">
      <w:pPr>
        <w:pStyle w:val="ListParagraph"/>
        <w:numPr>
          <w:ilvl w:val="0"/>
          <w:numId w:val="19"/>
        </w:numPr>
        <w:spacing w:line="360" w:lineRule="auto"/>
        <w:jc w:val="both"/>
        <w:rPr>
          <w:rFonts w:ascii="Times New Roman" w:hAnsi="Times New Roman" w:cs="Times New Roman"/>
          <w:sz w:val="24"/>
          <w:szCs w:val="24"/>
        </w:rPr>
      </w:pPr>
      <w:r w:rsidRPr="00121B47">
        <w:rPr>
          <w:rFonts w:ascii="Times New Roman" w:hAnsi="Times New Roman" w:cs="Times New Roman"/>
          <w:sz w:val="24"/>
          <w:szCs w:val="24"/>
        </w:rPr>
        <w:t xml:space="preserve">W 2018 roku zarejestrowano 1450 przypadków biegunek u dzieci do 2 lat </w:t>
      </w:r>
      <w:r w:rsidRPr="00121B47">
        <w:rPr>
          <w:rFonts w:ascii="Times New Roman" w:hAnsi="Times New Roman" w:cs="Times New Roman"/>
          <w:sz w:val="24"/>
          <w:szCs w:val="24"/>
        </w:rPr>
        <w:br/>
        <w:t xml:space="preserve">(wsp. zap. 6356,0/100000), co stanowi </w:t>
      </w:r>
      <w:r w:rsidRPr="00411B27">
        <w:rPr>
          <w:rFonts w:ascii="Times New Roman" w:hAnsi="Times New Roman" w:cs="Times New Roman"/>
          <w:sz w:val="24"/>
          <w:szCs w:val="24"/>
          <w:u w:val="single"/>
        </w:rPr>
        <w:t>wzrost</w:t>
      </w:r>
      <w:r w:rsidRPr="00121B47">
        <w:rPr>
          <w:rFonts w:ascii="Times New Roman" w:hAnsi="Times New Roman" w:cs="Times New Roman"/>
          <w:sz w:val="24"/>
          <w:szCs w:val="24"/>
        </w:rPr>
        <w:t xml:space="preserve"> zachorowań o 231 przypadków w</w:t>
      </w:r>
      <w:r>
        <w:rPr>
          <w:rFonts w:ascii="Times New Roman" w:hAnsi="Times New Roman" w:cs="Times New Roman"/>
          <w:sz w:val="24"/>
          <w:szCs w:val="24"/>
        </w:rPr>
        <w:t> </w:t>
      </w:r>
      <w:r w:rsidRPr="00121B47">
        <w:rPr>
          <w:rFonts w:ascii="Times New Roman" w:hAnsi="Times New Roman" w:cs="Times New Roman"/>
          <w:sz w:val="24"/>
          <w:szCs w:val="24"/>
        </w:rPr>
        <w:t>porównaniu</w:t>
      </w:r>
      <w:r>
        <w:rPr>
          <w:rFonts w:ascii="Times New Roman" w:hAnsi="Times New Roman" w:cs="Times New Roman"/>
          <w:sz w:val="24"/>
          <w:szCs w:val="24"/>
        </w:rPr>
        <w:t xml:space="preserve"> </w:t>
      </w:r>
      <w:r w:rsidRPr="00121B47">
        <w:rPr>
          <w:rFonts w:ascii="Times New Roman" w:hAnsi="Times New Roman" w:cs="Times New Roman"/>
          <w:sz w:val="24"/>
          <w:szCs w:val="24"/>
        </w:rPr>
        <w:t>z rokiem 2017, gdzie zgłoszono 1219 zachorowań (wsp. zap. 6250,0/100000).</w:t>
      </w:r>
      <w:r w:rsidRPr="00411B27">
        <w:rPr>
          <w:rFonts w:ascii="Times New Roman" w:hAnsi="Times New Roman" w:cs="Times New Roman"/>
          <w:sz w:val="24"/>
          <w:szCs w:val="24"/>
        </w:rPr>
        <w:t xml:space="preserve"> </w:t>
      </w:r>
    </w:p>
    <w:p w:rsidR="00AF0FDB" w:rsidRDefault="00AF0FDB" w:rsidP="00DE0EFA">
      <w:pPr>
        <w:pStyle w:val="ListParagraph"/>
        <w:numPr>
          <w:ilvl w:val="0"/>
          <w:numId w:val="19"/>
        </w:numPr>
        <w:spacing w:line="360" w:lineRule="auto"/>
        <w:jc w:val="both"/>
        <w:rPr>
          <w:rFonts w:ascii="Times New Roman" w:hAnsi="Times New Roman" w:cs="Times New Roman"/>
          <w:sz w:val="24"/>
          <w:szCs w:val="24"/>
        </w:rPr>
      </w:pPr>
      <w:r w:rsidRPr="00A12CC6">
        <w:rPr>
          <w:rFonts w:ascii="Times New Roman" w:hAnsi="Times New Roman" w:cs="Times New Roman"/>
          <w:sz w:val="24"/>
          <w:szCs w:val="24"/>
        </w:rPr>
        <w:t xml:space="preserve">Sytuację epidemiologiczną w zakresie zakażeń </w:t>
      </w:r>
      <w:r w:rsidRPr="00A12CC6">
        <w:rPr>
          <w:rFonts w:ascii="Times New Roman" w:hAnsi="Times New Roman" w:cs="Times New Roman"/>
          <w:i/>
          <w:iCs/>
          <w:sz w:val="24"/>
          <w:szCs w:val="24"/>
        </w:rPr>
        <w:t>Neisseria meningitidis</w:t>
      </w:r>
      <w:r w:rsidRPr="00A12CC6">
        <w:rPr>
          <w:rFonts w:ascii="Times New Roman" w:hAnsi="Times New Roman" w:cs="Times New Roman"/>
          <w:sz w:val="24"/>
          <w:szCs w:val="24"/>
        </w:rPr>
        <w:t xml:space="preserve"> w powiecie poznańskim można uznać za unormowaną. W 201</w:t>
      </w:r>
      <w:r>
        <w:rPr>
          <w:rFonts w:ascii="Times New Roman" w:hAnsi="Times New Roman" w:cs="Times New Roman"/>
          <w:sz w:val="24"/>
          <w:szCs w:val="24"/>
        </w:rPr>
        <w:t>8</w:t>
      </w:r>
      <w:r w:rsidRPr="00A12CC6">
        <w:rPr>
          <w:rFonts w:ascii="Times New Roman" w:hAnsi="Times New Roman" w:cs="Times New Roman"/>
          <w:sz w:val="24"/>
          <w:szCs w:val="24"/>
        </w:rPr>
        <w:t xml:space="preserve"> roku odnotowano nieznaczny </w:t>
      </w:r>
      <w:r>
        <w:rPr>
          <w:rFonts w:ascii="Times New Roman" w:hAnsi="Times New Roman" w:cs="Times New Roman"/>
          <w:sz w:val="24"/>
          <w:szCs w:val="24"/>
        </w:rPr>
        <w:t>wzrost</w:t>
      </w:r>
      <w:r w:rsidRPr="00A12CC6">
        <w:rPr>
          <w:rFonts w:ascii="Times New Roman" w:hAnsi="Times New Roman" w:cs="Times New Roman"/>
          <w:sz w:val="24"/>
          <w:szCs w:val="24"/>
        </w:rPr>
        <w:t xml:space="preserve"> zachorowalności na chorobę meningokokową</w:t>
      </w:r>
      <w:r>
        <w:rPr>
          <w:rFonts w:ascii="Times New Roman" w:hAnsi="Times New Roman" w:cs="Times New Roman"/>
          <w:sz w:val="24"/>
          <w:szCs w:val="24"/>
        </w:rPr>
        <w:t xml:space="preserve"> (o 1 przypadek)</w:t>
      </w:r>
      <w:r w:rsidRPr="00A12CC6">
        <w:rPr>
          <w:rFonts w:ascii="Times New Roman" w:hAnsi="Times New Roman" w:cs="Times New Roman"/>
          <w:sz w:val="24"/>
          <w:szCs w:val="24"/>
        </w:rPr>
        <w:t xml:space="preserve">. Aktywnie zapobiegano epidemicznemu szerzeniu się zachorowań wywołanych przez </w:t>
      </w:r>
      <w:r w:rsidRPr="00A12CC6">
        <w:rPr>
          <w:rFonts w:ascii="Times New Roman" w:hAnsi="Times New Roman" w:cs="Times New Roman"/>
          <w:i/>
          <w:iCs/>
          <w:sz w:val="24"/>
          <w:szCs w:val="24"/>
        </w:rPr>
        <w:t>Neisseria meningitidis</w:t>
      </w:r>
      <w:r w:rsidRPr="00A12CC6">
        <w:rPr>
          <w:rFonts w:ascii="Times New Roman" w:hAnsi="Times New Roman" w:cs="Times New Roman"/>
          <w:sz w:val="24"/>
          <w:szCs w:val="24"/>
        </w:rPr>
        <w:t xml:space="preserve"> prowadząc nadzór epidemiologiczny nad zachorowaniami oraz wspomagając działania profilaktyczne w otoczeniu chorych. </w:t>
      </w:r>
    </w:p>
    <w:p w:rsidR="00AF0FDB" w:rsidRPr="00AC12A4" w:rsidRDefault="00AF0FDB" w:rsidP="00DE0EFA">
      <w:pPr>
        <w:pStyle w:val="ListParagraph"/>
        <w:numPr>
          <w:ilvl w:val="0"/>
          <w:numId w:val="19"/>
        </w:numPr>
        <w:spacing w:line="360" w:lineRule="auto"/>
        <w:jc w:val="both"/>
        <w:rPr>
          <w:rFonts w:ascii="Times New Roman" w:hAnsi="Times New Roman" w:cs="Times New Roman"/>
          <w:sz w:val="24"/>
          <w:szCs w:val="24"/>
        </w:rPr>
      </w:pPr>
      <w:r w:rsidRPr="00AC12A4">
        <w:rPr>
          <w:rFonts w:ascii="Times New Roman" w:hAnsi="Times New Roman" w:cs="Times New Roman"/>
          <w:sz w:val="24"/>
          <w:szCs w:val="24"/>
          <w:lang w:eastAsia="pl-PL"/>
        </w:rPr>
        <w:t xml:space="preserve">W roku 2018 odnotowano 74 przypadki zachorowań na krztusiec (wsp. zap. 8,0/100000), co stanowi </w:t>
      </w:r>
      <w:r w:rsidRPr="00AC12A4">
        <w:rPr>
          <w:rFonts w:ascii="Times New Roman" w:hAnsi="Times New Roman" w:cs="Times New Roman"/>
          <w:sz w:val="24"/>
          <w:szCs w:val="24"/>
          <w:u w:val="single"/>
          <w:lang w:eastAsia="pl-PL"/>
        </w:rPr>
        <w:t>spadek</w:t>
      </w:r>
      <w:r w:rsidRPr="00AC12A4">
        <w:rPr>
          <w:rFonts w:ascii="Times New Roman" w:hAnsi="Times New Roman" w:cs="Times New Roman"/>
          <w:sz w:val="24"/>
          <w:szCs w:val="24"/>
          <w:lang w:eastAsia="pl-PL"/>
        </w:rPr>
        <w:t xml:space="preserve"> o 28,2% zachorowań w porównaniu do roku 2017, w którym zarejestrowano 103 przypadki (wsp. zap. 11,2/100000).</w:t>
      </w:r>
    </w:p>
    <w:p w:rsidR="00AF0FDB" w:rsidRPr="001E6556" w:rsidRDefault="00AF0FDB" w:rsidP="00DE0EFA">
      <w:pPr>
        <w:pStyle w:val="ListParagraph"/>
        <w:numPr>
          <w:ilvl w:val="0"/>
          <w:numId w:val="19"/>
        </w:numPr>
        <w:spacing w:line="360" w:lineRule="auto"/>
        <w:jc w:val="both"/>
        <w:rPr>
          <w:rFonts w:ascii="Times New Roman" w:hAnsi="Times New Roman" w:cs="Times New Roman"/>
          <w:sz w:val="24"/>
          <w:szCs w:val="24"/>
        </w:rPr>
      </w:pPr>
      <w:r w:rsidRPr="001E6556">
        <w:rPr>
          <w:rFonts w:ascii="Times New Roman" w:hAnsi="Times New Roman" w:cs="Times New Roman"/>
          <w:sz w:val="24"/>
          <w:szCs w:val="24"/>
        </w:rPr>
        <w:t xml:space="preserve">W 2018 r. zarejestrowano 199 zachorowań na boreliozę (wsp. zap. 21,55/100000), co stanowi 16% </w:t>
      </w:r>
      <w:r w:rsidRPr="001E6556">
        <w:rPr>
          <w:rFonts w:ascii="Times New Roman" w:hAnsi="Times New Roman" w:cs="Times New Roman"/>
          <w:sz w:val="24"/>
          <w:szCs w:val="24"/>
          <w:u w:val="single"/>
        </w:rPr>
        <w:t>spadek</w:t>
      </w:r>
      <w:r w:rsidRPr="001E6556">
        <w:rPr>
          <w:rFonts w:ascii="Times New Roman" w:hAnsi="Times New Roman" w:cs="Times New Roman"/>
          <w:sz w:val="24"/>
          <w:szCs w:val="24"/>
        </w:rPr>
        <w:t xml:space="preserve"> zachorowań w porównaniu do 2017 r., w którym zarejestrowano 237 przypadków (wsp. zap. 25,8/100000).</w:t>
      </w:r>
    </w:p>
    <w:p w:rsidR="00AF0FDB" w:rsidRDefault="00AF0FDB" w:rsidP="00DE0EFA">
      <w:pPr>
        <w:pStyle w:val="ListParagraph"/>
        <w:numPr>
          <w:ilvl w:val="0"/>
          <w:numId w:val="19"/>
        </w:numPr>
        <w:spacing w:line="360" w:lineRule="auto"/>
        <w:jc w:val="both"/>
        <w:rPr>
          <w:rFonts w:ascii="Times New Roman" w:hAnsi="Times New Roman" w:cs="Times New Roman"/>
          <w:sz w:val="24"/>
          <w:szCs w:val="24"/>
        </w:rPr>
      </w:pPr>
      <w:r w:rsidRPr="00A12CC6">
        <w:rPr>
          <w:rFonts w:ascii="Times New Roman" w:hAnsi="Times New Roman" w:cs="Times New Roman"/>
          <w:sz w:val="24"/>
          <w:szCs w:val="24"/>
        </w:rPr>
        <w:t>W 201</w:t>
      </w:r>
      <w:r>
        <w:rPr>
          <w:rFonts w:ascii="Times New Roman" w:hAnsi="Times New Roman" w:cs="Times New Roman"/>
          <w:sz w:val="24"/>
          <w:szCs w:val="24"/>
        </w:rPr>
        <w:t>8</w:t>
      </w:r>
      <w:r w:rsidRPr="00A12CC6">
        <w:rPr>
          <w:rFonts w:ascii="Times New Roman" w:hAnsi="Times New Roman" w:cs="Times New Roman"/>
          <w:sz w:val="24"/>
          <w:szCs w:val="24"/>
        </w:rPr>
        <w:t xml:space="preserve"> roku </w:t>
      </w:r>
      <w:r>
        <w:rPr>
          <w:rFonts w:ascii="Times New Roman" w:hAnsi="Times New Roman" w:cs="Times New Roman"/>
          <w:sz w:val="24"/>
          <w:szCs w:val="24"/>
        </w:rPr>
        <w:t xml:space="preserve">liczba </w:t>
      </w:r>
      <w:r w:rsidRPr="00467BA0">
        <w:rPr>
          <w:rFonts w:ascii="Times New Roman" w:hAnsi="Times New Roman" w:cs="Times New Roman"/>
          <w:sz w:val="24"/>
          <w:szCs w:val="24"/>
        </w:rPr>
        <w:t>zachorowań i podejrzeń zachorowań na grypę</w:t>
      </w:r>
      <w:r w:rsidRPr="00A12CC6">
        <w:rPr>
          <w:rFonts w:ascii="Times New Roman" w:hAnsi="Times New Roman" w:cs="Times New Roman"/>
          <w:sz w:val="24"/>
          <w:szCs w:val="24"/>
        </w:rPr>
        <w:t xml:space="preserve"> </w:t>
      </w:r>
      <w:r>
        <w:rPr>
          <w:rFonts w:ascii="Times New Roman" w:hAnsi="Times New Roman" w:cs="Times New Roman"/>
          <w:sz w:val="24"/>
          <w:szCs w:val="24"/>
        </w:rPr>
        <w:t xml:space="preserve">wzrosła w porównaniu do roku poprzedniego. </w:t>
      </w:r>
      <w:r w:rsidRPr="00467BA0">
        <w:rPr>
          <w:rFonts w:ascii="Times New Roman" w:hAnsi="Times New Roman" w:cs="Times New Roman"/>
          <w:sz w:val="24"/>
          <w:szCs w:val="24"/>
        </w:rPr>
        <w:t>W całym</w:t>
      </w:r>
      <w:r>
        <w:rPr>
          <w:rFonts w:ascii="Times New Roman" w:hAnsi="Times New Roman" w:cs="Times New Roman"/>
          <w:sz w:val="24"/>
          <w:szCs w:val="24"/>
        </w:rPr>
        <w:t xml:space="preserve"> powiecie poznańskim w roku 2018 odnotowano 97398 zachorowań (wsp. zap. 10549,2/100000) </w:t>
      </w:r>
      <w:r w:rsidRPr="00467BA0">
        <w:rPr>
          <w:rFonts w:ascii="Times New Roman" w:hAnsi="Times New Roman" w:cs="Times New Roman"/>
          <w:sz w:val="24"/>
          <w:szCs w:val="24"/>
        </w:rPr>
        <w:t>z czego wirusologicznie potwierdzono</w:t>
      </w:r>
      <w:r>
        <w:rPr>
          <w:rFonts w:ascii="Times New Roman" w:hAnsi="Times New Roman" w:cs="Times New Roman"/>
          <w:sz w:val="24"/>
          <w:szCs w:val="24"/>
        </w:rPr>
        <w:t xml:space="preserve"> 297 przypadków, natomiast w roku 2017 r. odnotowano </w:t>
      </w:r>
      <w:r w:rsidRPr="00467BA0">
        <w:rPr>
          <w:rFonts w:ascii="Times New Roman" w:hAnsi="Times New Roman" w:cs="Times New Roman"/>
          <w:sz w:val="24"/>
          <w:szCs w:val="24"/>
        </w:rPr>
        <w:t xml:space="preserve"> </w:t>
      </w:r>
      <w:r>
        <w:rPr>
          <w:rFonts w:ascii="Times New Roman" w:hAnsi="Times New Roman" w:cs="Times New Roman"/>
          <w:sz w:val="24"/>
          <w:szCs w:val="24"/>
        </w:rPr>
        <w:t xml:space="preserve">84034 przypadki tych zachorowań </w:t>
      </w:r>
      <w:r w:rsidRPr="000C3151">
        <w:rPr>
          <w:rFonts w:ascii="Times New Roman" w:hAnsi="Times New Roman" w:cs="Times New Roman"/>
          <w:sz w:val="24"/>
          <w:szCs w:val="24"/>
        </w:rPr>
        <w:t xml:space="preserve">(zapadalność: </w:t>
      </w:r>
      <w:r>
        <w:rPr>
          <w:rFonts w:ascii="Times New Roman" w:hAnsi="Times New Roman" w:cs="Times New Roman"/>
          <w:sz w:val="24"/>
          <w:szCs w:val="24"/>
        </w:rPr>
        <w:t>9162,9</w:t>
      </w:r>
      <w:r w:rsidRPr="000C3151">
        <w:rPr>
          <w:rFonts w:ascii="Times New Roman" w:hAnsi="Times New Roman" w:cs="Times New Roman"/>
          <w:sz w:val="24"/>
          <w:szCs w:val="24"/>
        </w:rPr>
        <w:t>/100000)</w:t>
      </w:r>
      <w:r w:rsidRPr="00467BA0">
        <w:rPr>
          <w:rFonts w:ascii="Times New Roman" w:hAnsi="Times New Roman" w:cs="Times New Roman"/>
          <w:sz w:val="24"/>
          <w:szCs w:val="24"/>
        </w:rPr>
        <w:t>, z czego wirusologicznie potwierdzono 1</w:t>
      </w:r>
      <w:r>
        <w:rPr>
          <w:rFonts w:ascii="Times New Roman" w:hAnsi="Times New Roman" w:cs="Times New Roman"/>
          <w:sz w:val="24"/>
          <w:szCs w:val="24"/>
        </w:rPr>
        <w:t xml:space="preserve">16 </w:t>
      </w:r>
      <w:r w:rsidRPr="00467BA0">
        <w:rPr>
          <w:rFonts w:ascii="Times New Roman" w:hAnsi="Times New Roman" w:cs="Times New Roman"/>
          <w:sz w:val="24"/>
          <w:szCs w:val="24"/>
        </w:rPr>
        <w:t>przypadków.</w:t>
      </w:r>
      <w:r>
        <w:rPr>
          <w:rFonts w:ascii="Times New Roman" w:hAnsi="Times New Roman" w:cs="Times New Roman"/>
          <w:sz w:val="24"/>
          <w:szCs w:val="24"/>
        </w:rPr>
        <w:t xml:space="preserve"> Znacząco wzrósł odsetek (156%) przypadków grypy</w:t>
      </w:r>
      <w:r w:rsidRPr="00AA4D26">
        <w:rPr>
          <w:rFonts w:ascii="Times New Roman" w:hAnsi="Times New Roman" w:cs="Times New Roman"/>
          <w:sz w:val="24"/>
          <w:szCs w:val="24"/>
        </w:rPr>
        <w:t xml:space="preserve"> potwierdzonej badaniem molekularnym</w:t>
      </w:r>
      <w:r>
        <w:rPr>
          <w:rFonts w:ascii="Times New Roman" w:hAnsi="Times New Roman" w:cs="Times New Roman"/>
          <w:sz w:val="24"/>
          <w:szCs w:val="24"/>
        </w:rPr>
        <w:t>.</w:t>
      </w:r>
    </w:p>
    <w:p w:rsidR="00AF0FDB" w:rsidRDefault="00AF0FDB" w:rsidP="00DE0EFA">
      <w:pPr>
        <w:pStyle w:val="ListParagraph"/>
        <w:numPr>
          <w:ilvl w:val="0"/>
          <w:numId w:val="19"/>
        </w:numPr>
        <w:spacing w:line="360" w:lineRule="auto"/>
        <w:jc w:val="both"/>
        <w:rPr>
          <w:rFonts w:ascii="Times New Roman" w:hAnsi="Times New Roman" w:cs="Times New Roman"/>
          <w:sz w:val="24"/>
          <w:szCs w:val="24"/>
        </w:rPr>
      </w:pPr>
      <w:r w:rsidRPr="008D4CE0">
        <w:rPr>
          <w:rFonts w:ascii="Times New Roman" w:hAnsi="Times New Roman" w:cs="Times New Roman"/>
          <w:sz w:val="24"/>
          <w:szCs w:val="24"/>
        </w:rPr>
        <w:t>W 201</w:t>
      </w:r>
      <w:r>
        <w:rPr>
          <w:rFonts w:ascii="Times New Roman" w:hAnsi="Times New Roman" w:cs="Times New Roman"/>
          <w:sz w:val="24"/>
          <w:szCs w:val="24"/>
        </w:rPr>
        <w:t>8</w:t>
      </w:r>
      <w:r w:rsidRPr="008D4CE0">
        <w:rPr>
          <w:rFonts w:ascii="Times New Roman" w:hAnsi="Times New Roman" w:cs="Times New Roman"/>
          <w:sz w:val="24"/>
          <w:szCs w:val="24"/>
        </w:rPr>
        <w:t xml:space="preserve"> roku kontynuowano nadzór nad czynnym uodpornieniem populacji</w:t>
      </w:r>
      <w:r>
        <w:rPr>
          <w:rFonts w:ascii="Times New Roman" w:hAnsi="Times New Roman" w:cs="Times New Roman"/>
          <w:sz w:val="24"/>
          <w:szCs w:val="24"/>
        </w:rPr>
        <w:t>, m</w:t>
      </w:r>
      <w:r w:rsidRPr="008D4CE0">
        <w:rPr>
          <w:rFonts w:ascii="Times New Roman" w:hAnsi="Times New Roman" w:cs="Times New Roman"/>
          <w:sz w:val="24"/>
          <w:szCs w:val="24"/>
        </w:rPr>
        <w:t>onitorowano warunki przechowywania oraz dystrybucji szczepionek.</w:t>
      </w:r>
      <w:r>
        <w:rPr>
          <w:rFonts w:ascii="Times New Roman" w:hAnsi="Times New Roman" w:cs="Times New Roman"/>
          <w:sz w:val="24"/>
          <w:szCs w:val="24"/>
        </w:rPr>
        <w:t xml:space="preserve"> </w:t>
      </w:r>
      <w:r w:rsidRPr="008D4CE0">
        <w:rPr>
          <w:rFonts w:ascii="Times New Roman" w:hAnsi="Times New Roman" w:cs="Times New Roman"/>
          <w:sz w:val="24"/>
          <w:szCs w:val="24"/>
        </w:rPr>
        <w:t xml:space="preserve">Państwowa Inspekcja Sanitarna uczestniczy w realizacji Programu Szczepień Ochronnych (PSO) poprzez </w:t>
      </w:r>
      <w:r>
        <w:rPr>
          <w:rFonts w:ascii="Times New Roman" w:hAnsi="Times New Roman" w:cs="Times New Roman"/>
          <w:sz w:val="24"/>
          <w:szCs w:val="24"/>
        </w:rPr>
        <w:t>nadzór nad dystrybucją</w:t>
      </w:r>
      <w:r w:rsidRPr="008D4CE0">
        <w:rPr>
          <w:rFonts w:ascii="Times New Roman" w:hAnsi="Times New Roman" w:cs="Times New Roman"/>
          <w:sz w:val="24"/>
          <w:szCs w:val="24"/>
        </w:rPr>
        <w:t xml:space="preserve"> preparatów szczepionkowych</w:t>
      </w:r>
      <w:r>
        <w:rPr>
          <w:rFonts w:ascii="Times New Roman" w:hAnsi="Times New Roman" w:cs="Times New Roman"/>
          <w:sz w:val="24"/>
          <w:szCs w:val="24"/>
        </w:rPr>
        <w:t>,</w:t>
      </w:r>
      <w:r w:rsidRPr="008D4CE0">
        <w:rPr>
          <w:rFonts w:ascii="Times New Roman" w:hAnsi="Times New Roman" w:cs="Times New Roman"/>
          <w:sz w:val="24"/>
          <w:szCs w:val="24"/>
        </w:rPr>
        <w:t xml:space="preserve"> wykonawstwem </w:t>
      </w:r>
      <w:r w:rsidRPr="00DE3E08">
        <w:rPr>
          <w:rFonts w:ascii="Times New Roman" w:hAnsi="Times New Roman" w:cs="Times New Roman"/>
          <w:sz w:val="24"/>
          <w:szCs w:val="24"/>
        </w:rPr>
        <w:t>powszechnych szczepień ochronnych i ocen</w:t>
      </w:r>
      <w:r>
        <w:rPr>
          <w:rFonts w:ascii="Times New Roman" w:hAnsi="Times New Roman" w:cs="Times New Roman"/>
          <w:sz w:val="24"/>
          <w:szCs w:val="24"/>
        </w:rPr>
        <w:t>ę</w:t>
      </w:r>
      <w:r w:rsidRPr="00DE3E08">
        <w:rPr>
          <w:rFonts w:ascii="Times New Roman" w:hAnsi="Times New Roman" w:cs="Times New Roman"/>
          <w:sz w:val="24"/>
          <w:szCs w:val="24"/>
        </w:rPr>
        <w:t xml:space="preserve"> wpływu </w:t>
      </w:r>
      <w:r>
        <w:rPr>
          <w:rFonts w:ascii="Times New Roman" w:hAnsi="Times New Roman" w:cs="Times New Roman"/>
          <w:sz w:val="24"/>
          <w:szCs w:val="24"/>
        </w:rPr>
        <w:t>tej profilaktyki zdrowotnej</w:t>
      </w:r>
      <w:r w:rsidRPr="00DE3E08">
        <w:rPr>
          <w:rFonts w:ascii="Times New Roman" w:hAnsi="Times New Roman" w:cs="Times New Roman"/>
          <w:sz w:val="24"/>
          <w:szCs w:val="24"/>
        </w:rPr>
        <w:t xml:space="preserve"> na sytuację epidemiologiczną </w:t>
      </w:r>
      <w:r>
        <w:rPr>
          <w:rFonts w:ascii="Times New Roman" w:hAnsi="Times New Roman" w:cs="Times New Roman"/>
          <w:sz w:val="24"/>
          <w:szCs w:val="24"/>
        </w:rPr>
        <w:t xml:space="preserve">wobec </w:t>
      </w:r>
      <w:r w:rsidRPr="00DE3E08">
        <w:rPr>
          <w:rFonts w:ascii="Times New Roman" w:hAnsi="Times New Roman" w:cs="Times New Roman"/>
          <w:sz w:val="24"/>
          <w:szCs w:val="24"/>
        </w:rPr>
        <w:t>chorób zakaźnych</w:t>
      </w:r>
      <w:r>
        <w:rPr>
          <w:rFonts w:ascii="Times New Roman" w:hAnsi="Times New Roman" w:cs="Times New Roman"/>
          <w:sz w:val="24"/>
          <w:szCs w:val="24"/>
        </w:rPr>
        <w:t>, przeciwko którym stosuje się szczepienia</w:t>
      </w:r>
      <w:r w:rsidRPr="00DE3E08">
        <w:rPr>
          <w:rFonts w:ascii="Times New Roman" w:hAnsi="Times New Roman" w:cs="Times New Roman"/>
          <w:sz w:val="24"/>
          <w:szCs w:val="24"/>
        </w:rPr>
        <w:t xml:space="preserve">, zwłaszcza </w:t>
      </w:r>
      <w:r>
        <w:rPr>
          <w:rFonts w:ascii="Times New Roman" w:hAnsi="Times New Roman" w:cs="Times New Roman"/>
          <w:sz w:val="24"/>
          <w:szCs w:val="24"/>
        </w:rPr>
        <w:t xml:space="preserve">w przypadku chorób </w:t>
      </w:r>
      <w:r w:rsidRPr="00DE3E08">
        <w:rPr>
          <w:rFonts w:ascii="Times New Roman" w:hAnsi="Times New Roman" w:cs="Times New Roman"/>
          <w:sz w:val="24"/>
          <w:szCs w:val="24"/>
        </w:rPr>
        <w:t>wieku dziecięcego, jak również w</w:t>
      </w:r>
      <w:r>
        <w:rPr>
          <w:rFonts w:ascii="Times New Roman" w:hAnsi="Times New Roman" w:cs="Times New Roman"/>
          <w:sz w:val="24"/>
          <w:szCs w:val="24"/>
        </w:rPr>
        <w:t> </w:t>
      </w:r>
      <w:r w:rsidRPr="00DE3E08">
        <w:rPr>
          <w:rFonts w:ascii="Times New Roman" w:hAnsi="Times New Roman" w:cs="Times New Roman"/>
          <w:sz w:val="24"/>
          <w:szCs w:val="24"/>
        </w:rPr>
        <w:t>zakresie osób uchylających się od obowiązkowych szczepień</w:t>
      </w:r>
      <w:r>
        <w:rPr>
          <w:rFonts w:ascii="Times New Roman" w:hAnsi="Times New Roman" w:cs="Times New Roman"/>
          <w:sz w:val="24"/>
          <w:szCs w:val="24"/>
        </w:rPr>
        <w:t xml:space="preserve"> ochronnych</w:t>
      </w:r>
      <w:r w:rsidRPr="00DE3E08">
        <w:rPr>
          <w:rFonts w:ascii="Times New Roman" w:hAnsi="Times New Roman" w:cs="Times New Roman"/>
          <w:sz w:val="24"/>
          <w:szCs w:val="24"/>
        </w:rPr>
        <w:t>.</w:t>
      </w:r>
      <w:r>
        <w:rPr>
          <w:rFonts w:ascii="Times New Roman" w:hAnsi="Times New Roman" w:cs="Times New Roman"/>
          <w:sz w:val="24"/>
          <w:szCs w:val="24"/>
        </w:rPr>
        <w:t xml:space="preserve"> </w:t>
      </w:r>
    </w:p>
    <w:p w:rsidR="00AF0FDB" w:rsidRDefault="00AF0FDB" w:rsidP="006506EA">
      <w:pPr>
        <w:pStyle w:val="ListParagraph"/>
        <w:spacing w:line="360" w:lineRule="auto"/>
        <w:jc w:val="both"/>
        <w:rPr>
          <w:rFonts w:ascii="Times New Roman" w:hAnsi="Times New Roman" w:cs="Times New Roman"/>
          <w:sz w:val="24"/>
          <w:szCs w:val="24"/>
        </w:rPr>
      </w:pPr>
      <w:r w:rsidRPr="00875AD9">
        <w:rPr>
          <w:rFonts w:ascii="Times New Roman" w:hAnsi="Times New Roman" w:cs="Times New Roman"/>
          <w:sz w:val="24"/>
          <w:szCs w:val="24"/>
        </w:rPr>
        <w:t xml:space="preserve">W 2018 roku kontynuowano nadzór nad rozprzestrzenianiem się wielolekoopornych szczepów bakterii Gram-ujemnych należących do rodziny </w:t>
      </w:r>
      <w:r w:rsidRPr="00875AD9">
        <w:rPr>
          <w:rFonts w:ascii="Times New Roman" w:hAnsi="Times New Roman" w:cs="Times New Roman"/>
          <w:i/>
          <w:iCs/>
          <w:sz w:val="24"/>
          <w:szCs w:val="24"/>
        </w:rPr>
        <w:t>Enterobacteriaceae</w:t>
      </w:r>
      <w:r w:rsidRPr="00875AD9">
        <w:rPr>
          <w:rFonts w:ascii="Times New Roman" w:hAnsi="Times New Roman" w:cs="Times New Roman"/>
          <w:sz w:val="24"/>
          <w:szCs w:val="24"/>
        </w:rPr>
        <w:t xml:space="preserve"> wytwarzających karbapenemazy</w:t>
      </w:r>
      <w:r w:rsidRPr="00875AD9">
        <w:rPr>
          <w:rFonts w:ascii="Times New Roman" w:hAnsi="Times New Roman" w:cs="Times New Roman"/>
          <w:i/>
          <w:iCs/>
          <w:sz w:val="24"/>
          <w:szCs w:val="24"/>
        </w:rPr>
        <w:t xml:space="preserve">, </w:t>
      </w:r>
      <w:r w:rsidRPr="00875AD9">
        <w:rPr>
          <w:rFonts w:ascii="Times New Roman" w:hAnsi="Times New Roman" w:cs="Times New Roman"/>
          <w:sz w:val="24"/>
          <w:szCs w:val="24"/>
        </w:rPr>
        <w:t xml:space="preserve">a zwłaszcza </w:t>
      </w:r>
      <w:r w:rsidRPr="00875AD9">
        <w:rPr>
          <w:rFonts w:ascii="Times New Roman" w:hAnsi="Times New Roman" w:cs="Times New Roman"/>
          <w:i/>
          <w:iCs/>
          <w:sz w:val="24"/>
          <w:szCs w:val="24"/>
        </w:rPr>
        <w:t>Klebsiella pneumoniae</w:t>
      </w:r>
      <w:r w:rsidRPr="00875AD9">
        <w:rPr>
          <w:rFonts w:ascii="Times New Roman" w:hAnsi="Times New Roman" w:cs="Times New Roman"/>
          <w:sz w:val="24"/>
          <w:szCs w:val="24"/>
        </w:rPr>
        <w:t xml:space="preserve"> MBL typu NDM. </w:t>
      </w:r>
      <w:r w:rsidRPr="009C1ED0">
        <w:rPr>
          <w:rFonts w:ascii="Times New Roman" w:hAnsi="Times New Roman" w:cs="Times New Roman"/>
          <w:sz w:val="24"/>
          <w:szCs w:val="24"/>
        </w:rPr>
        <w:t xml:space="preserve">W roku 2018 </w:t>
      </w:r>
      <w:r w:rsidRPr="009C1ED0">
        <w:rPr>
          <w:rFonts w:ascii="Times New Roman" w:hAnsi="Times New Roman" w:cs="Times New Roman"/>
          <w:sz w:val="24"/>
          <w:szCs w:val="24"/>
          <w:lang w:eastAsia="pl-PL"/>
        </w:rPr>
        <w:t>zarejestrowano łącznie 18 przypadków zakażeń tym drobnoustrojem</w:t>
      </w:r>
      <w:r>
        <w:rPr>
          <w:rFonts w:ascii="Times New Roman" w:hAnsi="Times New Roman" w:cs="Times New Roman"/>
          <w:sz w:val="24"/>
          <w:szCs w:val="24"/>
          <w:lang w:eastAsia="pl-PL"/>
        </w:rPr>
        <w:t xml:space="preserve"> </w:t>
      </w:r>
      <w:r w:rsidRPr="009C1ED0">
        <w:rPr>
          <w:rFonts w:ascii="Times New Roman" w:hAnsi="Times New Roman" w:cs="Times New Roman"/>
          <w:sz w:val="24"/>
          <w:szCs w:val="24"/>
          <w:lang w:eastAsia="pl-PL"/>
        </w:rPr>
        <w:t>(o 3 mniej w porównaniu do roku poprzedniego</w:t>
      </w:r>
      <w:r>
        <w:rPr>
          <w:rFonts w:ascii="Times New Roman" w:hAnsi="Times New Roman" w:cs="Times New Roman"/>
          <w:sz w:val="24"/>
          <w:szCs w:val="24"/>
          <w:lang w:eastAsia="pl-PL"/>
        </w:rPr>
        <w:t xml:space="preserve"> – 21 przypadków</w:t>
      </w:r>
      <w:r w:rsidRPr="009C1ED0">
        <w:rPr>
          <w:rFonts w:ascii="Times New Roman" w:hAnsi="Times New Roman" w:cs="Times New Roman"/>
          <w:sz w:val="24"/>
          <w:szCs w:val="24"/>
          <w:lang w:eastAsia="pl-PL"/>
        </w:rPr>
        <w:t>)</w:t>
      </w:r>
      <w:bookmarkStart w:id="370" w:name="_Hlk436460"/>
      <w:r>
        <w:rPr>
          <w:rFonts w:ascii="Times New Roman" w:hAnsi="Times New Roman" w:cs="Times New Roman"/>
          <w:sz w:val="24"/>
          <w:szCs w:val="24"/>
        </w:rPr>
        <w:t>.</w:t>
      </w:r>
      <w:r w:rsidRPr="009C1ED0">
        <w:rPr>
          <w:rFonts w:ascii="Times New Roman" w:hAnsi="Times New Roman" w:cs="Times New Roman"/>
          <w:lang w:eastAsia="pl-PL"/>
        </w:rPr>
        <w:t xml:space="preserve"> </w:t>
      </w:r>
      <w:bookmarkEnd w:id="370"/>
    </w:p>
    <w:p w:rsidR="00AF0FDB" w:rsidRPr="00875AD9" w:rsidRDefault="00AF0FDB" w:rsidP="00DE0EFA">
      <w:pPr>
        <w:pStyle w:val="ListParagraph"/>
        <w:numPr>
          <w:ilvl w:val="0"/>
          <w:numId w:val="19"/>
        </w:numPr>
        <w:spacing w:line="360" w:lineRule="auto"/>
        <w:jc w:val="both"/>
        <w:rPr>
          <w:rFonts w:ascii="Times New Roman" w:hAnsi="Times New Roman" w:cs="Times New Roman"/>
          <w:sz w:val="24"/>
          <w:szCs w:val="24"/>
        </w:rPr>
      </w:pPr>
      <w:r w:rsidRPr="00875AD9">
        <w:rPr>
          <w:rFonts w:ascii="Times New Roman" w:hAnsi="Times New Roman" w:cs="Times New Roman"/>
          <w:sz w:val="24"/>
          <w:szCs w:val="24"/>
        </w:rPr>
        <w:t xml:space="preserve">Niezbędne jest monitorowanie aktualnej sytuacji występowania tych szczepów, podejmowanie interwencji weryfikujących stosowanie aktualnych zaleceń </w:t>
      </w:r>
      <w:r w:rsidRPr="00875AD9">
        <w:rPr>
          <w:rFonts w:ascii="Times New Roman" w:hAnsi="Times New Roman" w:cs="Times New Roman"/>
          <w:sz w:val="24"/>
          <w:szCs w:val="24"/>
        </w:rPr>
        <w:br/>
        <w:t xml:space="preserve">i wytycznych, konsultacje i doradztwo dla podmiotów leczniczych </w:t>
      </w:r>
      <w:r w:rsidRPr="00AA4D26">
        <w:rPr>
          <w:rFonts w:ascii="Times New Roman" w:hAnsi="Times New Roman" w:cs="Times New Roman"/>
          <w:sz w:val="24"/>
          <w:szCs w:val="24"/>
        </w:rPr>
        <w:t xml:space="preserve">i personelu medycznego w sytuacji podejrzenia lub stwierdzenia drobnoustroju celem ograniczenia jego </w:t>
      </w:r>
      <w:r>
        <w:rPr>
          <w:rFonts w:ascii="Times New Roman" w:hAnsi="Times New Roman" w:cs="Times New Roman"/>
          <w:sz w:val="24"/>
          <w:szCs w:val="24"/>
        </w:rPr>
        <w:t>szerze</w:t>
      </w:r>
      <w:r w:rsidRPr="00AA4D26">
        <w:rPr>
          <w:rFonts w:ascii="Times New Roman" w:hAnsi="Times New Roman" w:cs="Times New Roman"/>
          <w:sz w:val="24"/>
          <w:szCs w:val="24"/>
        </w:rPr>
        <w:t>nia.</w:t>
      </w:r>
    </w:p>
    <w:p w:rsidR="00AF0FDB" w:rsidRPr="001D41A7" w:rsidRDefault="00AF0FDB" w:rsidP="00DE2F7D">
      <w:pPr>
        <w:ind w:left="284" w:hanging="284"/>
        <w:rPr>
          <w:b/>
          <w:bCs/>
        </w:rPr>
      </w:pPr>
      <w:r w:rsidRPr="001D41A7">
        <w:rPr>
          <w:b/>
          <w:bCs/>
        </w:rPr>
        <w:t>Elementy pozytywne wpływające na stan sanitarny i sytuację epidemiologiczną:</w:t>
      </w:r>
    </w:p>
    <w:p w:rsidR="00AF0FDB" w:rsidRDefault="00AF0FDB" w:rsidP="00140605">
      <w:pPr>
        <w:spacing w:after="0"/>
        <w:ind w:left="705" w:hanging="345"/>
        <w:jc w:val="both"/>
      </w:pPr>
      <w:r w:rsidRPr="00FA01C7">
        <w:t>1.</w:t>
      </w:r>
      <w:r>
        <w:tab/>
      </w:r>
      <w:r w:rsidRPr="00FA01C7">
        <w:t>Brak epidemii większości chorób zakaźnych, stabilna sytuacja epidemiologiczna powiatu poznańskiego.</w:t>
      </w:r>
    </w:p>
    <w:p w:rsidR="00AF0FDB" w:rsidRDefault="00AF0FDB" w:rsidP="00DE0EFA">
      <w:pPr>
        <w:pStyle w:val="ListParagraph"/>
        <w:numPr>
          <w:ilvl w:val="0"/>
          <w:numId w:val="20"/>
        </w:numPr>
        <w:spacing w:after="0" w:line="360" w:lineRule="auto"/>
        <w:jc w:val="both"/>
        <w:rPr>
          <w:rFonts w:ascii="Times New Roman" w:hAnsi="Times New Roman" w:cs="Times New Roman"/>
          <w:sz w:val="24"/>
          <w:szCs w:val="24"/>
        </w:rPr>
      </w:pPr>
      <w:r w:rsidRPr="00FA01C7">
        <w:rPr>
          <w:rFonts w:ascii="Times New Roman" w:hAnsi="Times New Roman" w:cs="Times New Roman"/>
          <w:sz w:val="24"/>
          <w:szCs w:val="24"/>
        </w:rPr>
        <w:t>Skuteczne zapobieganie rozprzestrzenianiu się gruźlicy prątkującej w środowisku poprzez wzmożenie nadzoru nad osobami mającymi kontakt z chorymi.</w:t>
      </w:r>
    </w:p>
    <w:p w:rsidR="00AF0FDB" w:rsidRDefault="00AF0FDB" w:rsidP="00DE0EFA">
      <w:pPr>
        <w:pStyle w:val="ListParagraph"/>
        <w:numPr>
          <w:ilvl w:val="0"/>
          <w:numId w:val="20"/>
        </w:numPr>
        <w:spacing w:after="0" w:line="360" w:lineRule="auto"/>
        <w:jc w:val="both"/>
        <w:rPr>
          <w:rFonts w:ascii="Times New Roman" w:hAnsi="Times New Roman" w:cs="Times New Roman"/>
          <w:sz w:val="24"/>
          <w:szCs w:val="24"/>
        </w:rPr>
      </w:pPr>
      <w:r w:rsidRPr="00FA01C7">
        <w:rPr>
          <w:rFonts w:ascii="Times New Roman" w:hAnsi="Times New Roman" w:cs="Times New Roman"/>
          <w:sz w:val="24"/>
          <w:szCs w:val="24"/>
        </w:rPr>
        <w:t xml:space="preserve">Stabilna sytuacja epidemiologiczna dotycząca zachorowań na inwazyjną chorobę meningokokową. Nie zaobserwowano powiązania epidemiologicznego wśród osób, </w:t>
      </w:r>
      <w:r>
        <w:rPr>
          <w:rFonts w:ascii="Times New Roman" w:hAnsi="Times New Roman" w:cs="Times New Roman"/>
          <w:sz w:val="24"/>
          <w:szCs w:val="24"/>
        </w:rPr>
        <w:br/>
      </w:r>
      <w:r w:rsidRPr="00FA01C7">
        <w:rPr>
          <w:rFonts w:ascii="Times New Roman" w:hAnsi="Times New Roman" w:cs="Times New Roman"/>
          <w:sz w:val="24"/>
          <w:szCs w:val="24"/>
        </w:rPr>
        <w:t>u których zdiagnozowano IChM.</w:t>
      </w:r>
    </w:p>
    <w:p w:rsidR="00AF0FDB" w:rsidRPr="00140605" w:rsidRDefault="00AF0FDB" w:rsidP="00DE0EFA">
      <w:pPr>
        <w:pStyle w:val="ListParagraph"/>
        <w:numPr>
          <w:ilvl w:val="0"/>
          <w:numId w:val="20"/>
        </w:numPr>
        <w:spacing w:line="360" w:lineRule="auto"/>
        <w:jc w:val="both"/>
        <w:rPr>
          <w:rFonts w:ascii="Times New Roman" w:hAnsi="Times New Roman" w:cs="Times New Roman"/>
          <w:b/>
          <w:bCs/>
        </w:rPr>
      </w:pPr>
      <w:r w:rsidRPr="00140605">
        <w:rPr>
          <w:rFonts w:ascii="Times New Roman" w:hAnsi="Times New Roman" w:cs="Times New Roman"/>
        </w:rPr>
        <w:t xml:space="preserve">Ograniczenie epidemicznego rozprzestrzeniania się zakażeń </w:t>
      </w:r>
      <w:r w:rsidRPr="00140605">
        <w:rPr>
          <w:rFonts w:ascii="Times New Roman" w:hAnsi="Times New Roman" w:cs="Times New Roman"/>
          <w:i/>
          <w:iCs/>
        </w:rPr>
        <w:t>Klebsiella pneumoniae</w:t>
      </w:r>
      <w:r w:rsidRPr="00140605">
        <w:rPr>
          <w:rFonts w:ascii="Times New Roman" w:hAnsi="Times New Roman" w:cs="Times New Roman"/>
        </w:rPr>
        <w:t xml:space="preserve"> wytwarzających karbapenemazy wśród pacjentów hospitalizowanych, na co wpływ miało prowadzenie aktywnego monitorowania zakażeń szpitalnych wywołanych biologicznymi czynnikami, w szczególności typu NDM.</w:t>
      </w:r>
    </w:p>
    <w:p w:rsidR="00AF0FDB" w:rsidRPr="001D41A7" w:rsidRDefault="00AF0FDB" w:rsidP="00DE2F7D">
      <w:pPr>
        <w:jc w:val="both"/>
        <w:rPr>
          <w:b/>
          <w:bCs/>
        </w:rPr>
      </w:pPr>
      <w:r w:rsidRPr="001D41A7">
        <w:rPr>
          <w:b/>
          <w:bCs/>
        </w:rPr>
        <w:t>Monitorowanie sytuacji epidemiologicznej zakażeń szpitalnych:</w:t>
      </w:r>
    </w:p>
    <w:p w:rsidR="00AF0FDB" w:rsidRPr="00BD47B8" w:rsidRDefault="00AF0FDB" w:rsidP="00DE0EFA">
      <w:pPr>
        <w:pStyle w:val="ListParagraph"/>
        <w:numPr>
          <w:ilvl w:val="0"/>
          <w:numId w:val="21"/>
        </w:numPr>
        <w:spacing w:line="360" w:lineRule="auto"/>
        <w:jc w:val="both"/>
        <w:rPr>
          <w:rFonts w:ascii="Times New Roman" w:hAnsi="Times New Roman" w:cs="Times New Roman"/>
          <w:color w:val="538135"/>
          <w:sz w:val="24"/>
          <w:szCs w:val="24"/>
        </w:rPr>
      </w:pPr>
      <w:r w:rsidRPr="00BD47B8">
        <w:rPr>
          <w:rFonts w:ascii="Times New Roman" w:hAnsi="Times New Roman" w:cs="Times New Roman"/>
          <w:kern w:val="2"/>
          <w:sz w:val="24"/>
          <w:szCs w:val="24"/>
          <w:lang w:eastAsia="zh-CN"/>
        </w:rPr>
        <w:t>W stosunku do roku 2016 stopień wykorzystania diagnostyki mikrobiologicznej</w:t>
      </w:r>
      <w:r w:rsidRPr="00BD47B8">
        <w:rPr>
          <w:rFonts w:ascii="Times New Roman" w:hAnsi="Times New Roman" w:cs="Times New Roman"/>
          <w:kern w:val="2"/>
          <w:sz w:val="24"/>
          <w:szCs w:val="24"/>
          <w:lang w:eastAsia="zh-CN"/>
        </w:rPr>
        <w:br/>
        <w:t xml:space="preserve">w podmiotach leczniczych powiatu poznańskiego nie uległ istotnej zmianie. </w:t>
      </w:r>
      <w:r w:rsidRPr="00BD47B8">
        <w:rPr>
          <w:rFonts w:ascii="Times New Roman" w:hAnsi="Times New Roman" w:cs="Times New Roman"/>
          <w:sz w:val="24"/>
          <w:szCs w:val="24"/>
        </w:rPr>
        <w:t xml:space="preserve">Niemniej </w:t>
      </w:r>
      <w:r w:rsidRPr="00BD47B8">
        <w:rPr>
          <w:rFonts w:ascii="Times New Roman" w:hAnsi="Times New Roman" w:cs="Times New Roman"/>
          <w:kern w:val="2"/>
          <w:sz w:val="24"/>
          <w:szCs w:val="24"/>
          <w:lang w:eastAsia="zh-CN"/>
        </w:rPr>
        <w:t xml:space="preserve">oba badane wskaźniki, które wyniosły w roku sprawozdawczym odpowiednio 24,4 badań/łóżko/rok oraz 0,4 badania/pacjenta nadal znacząco odbiegają od norm europejskich. </w:t>
      </w:r>
    </w:p>
    <w:p w:rsidR="00AF0FDB" w:rsidRPr="002C3CE5" w:rsidRDefault="00AF0FDB" w:rsidP="0018486D">
      <w:pPr>
        <w:pStyle w:val="ListParagraph"/>
        <w:numPr>
          <w:ilvl w:val="0"/>
          <w:numId w:val="21"/>
        </w:numPr>
        <w:spacing w:line="360" w:lineRule="auto"/>
        <w:jc w:val="both"/>
        <w:rPr>
          <w:rFonts w:ascii="Times New Roman" w:hAnsi="Times New Roman" w:cs="Times New Roman"/>
          <w:sz w:val="24"/>
          <w:szCs w:val="24"/>
        </w:rPr>
      </w:pPr>
      <w:r w:rsidRPr="00BD47B8">
        <w:rPr>
          <w:rFonts w:ascii="Times New Roman" w:hAnsi="Times New Roman" w:cs="Times New Roman"/>
          <w:color w:val="538135"/>
          <w:kern w:val="2"/>
          <w:sz w:val="24"/>
          <w:szCs w:val="24"/>
          <w:lang w:eastAsia="zh-CN"/>
        </w:rPr>
        <w:t xml:space="preserve"> </w:t>
      </w:r>
      <w:r w:rsidRPr="002C3CE5">
        <w:rPr>
          <w:rFonts w:ascii="Times New Roman" w:hAnsi="Times New Roman" w:cs="Times New Roman"/>
          <w:sz w:val="24"/>
          <w:szCs w:val="24"/>
        </w:rPr>
        <w:t>Analiza okresowych raportów o sytuacji epidemiologicznej zakażeń szpitalnych oraz czynników alarmowych, otrzymanych z nadzorowanych podmiotów leczniczych powiatu poznańskiego w 2017 r. wykazała, iż istotne średnie wskaźniki częstości występowania zakażeń szpitalnych (w</w:t>
      </w:r>
      <w:r>
        <w:rPr>
          <w:rFonts w:ascii="Times New Roman" w:hAnsi="Times New Roman" w:cs="Times New Roman"/>
          <w:sz w:val="24"/>
          <w:szCs w:val="24"/>
        </w:rPr>
        <w:t xml:space="preserve"> przeliczeniu na 1000 pacjentów </w:t>
      </w:r>
      <w:r w:rsidRPr="002C3CE5">
        <w:rPr>
          <w:rFonts w:ascii="Times New Roman" w:hAnsi="Times New Roman" w:cs="Times New Roman"/>
          <w:sz w:val="24"/>
          <w:szCs w:val="24"/>
        </w:rPr>
        <w:t xml:space="preserve">hospitalizowanych) zarejestrowano wśród zakażeń wywołanych:  </w:t>
      </w:r>
    </w:p>
    <w:p w:rsidR="00AF0FDB" w:rsidRPr="002C3CE5" w:rsidRDefault="00AF0FDB" w:rsidP="00C079AB">
      <w:pPr>
        <w:pStyle w:val="ListParagraph"/>
        <w:spacing w:line="360" w:lineRule="auto"/>
        <w:jc w:val="both"/>
        <w:rPr>
          <w:rFonts w:ascii="Times New Roman" w:hAnsi="Times New Roman" w:cs="Times New Roman"/>
          <w:sz w:val="24"/>
          <w:szCs w:val="24"/>
        </w:rPr>
      </w:pPr>
      <w:r w:rsidRPr="002C3CE5">
        <w:rPr>
          <w:rFonts w:ascii="Times New Roman" w:hAnsi="Times New Roman" w:cs="Times New Roman"/>
          <w:sz w:val="24"/>
          <w:szCs w:val="24"/>
        </w:rPr>
        <w:t xml:space="preserve">- </w:t>
      </w:r>
      <w:r w:rsidRPr="002C3CE5">
        <w:rPr>
          <w:rFonts w:ascii="Times New Roman" w:hAnsi="Times New Roman" w:cs="Times New Roman"/>
          <w:i/>
          <w:iCs/>
          <w:sz w:val="24"/>
          <w:szCs w:val="24"/>
        </w:rPr>
        <w:t>Klebsiella</w:t>
      </w:r>
      <w:r w:rsidRPr="002C3CE5">
        <w:rPr>
          <w:rFonts w:ascii="Times New Roman" w:hAnsi="Times New Roman" w:cs="Times New Roman"/>
          <w:sz w:val="24"/>
          <w:szCs w:val="24"/>
        </w:rPr>
        <w:t xml:space="preserve"> spp. ESβL </w:t>
      </w:r>
      <w:bookmarkStart w:id="371" w:name="_Hlk506534416"/>
      <w:r w:rsidRPr="002C3CE5">
        <w:rPr>
          <w:rFonts w:ascii="Times New Roman" w:hAnsi="Times New Roman" w:cs="Times New Roman"/>
          <w:sz w:val="24"/>
          <w:szCs w:val="24"/>
        </w:rPr>
        <w:t>(zapadalność:</w:t>
      </w:r>
      <w:bookmarkEnd w:id="371"/>
      <w:r w:rsidRPr="002C3CE5">
        <w:rPr>
          <w:rFonts w:ascii="Times New Roman" w:hAnsi="Times New Roman" w:cs="Times New Roman"/>
          <w:sz w:val="24"/>
          <w:szCs w:val="24"/>
        </w:rPr>
        <w:t xml:space="preserve"> 1,8/1000 pacjentów). W 2016 roku współczynnik wyn</w:t>
      </w:r>
      <w:r>
        <w:rPr>
          <w:rFonts w:ascii="Times New Roman" w:hAnsi="Times New Roman" w:cs="Times New Roman"/>
          <w:sz w:val="24"/>
          <w:szCs w:val="24"/>
        </w:rPr>
        <w:t>iósł</w:t>
      </w:r>
      <w:r w:rsidRPr="002C3CE5">
        <w:rPr>
          <w:rFonts w:ascii="Times New Roman" w:hAnsi="Times New Roman" w:cs="Times New Roman"/>
          <w:sz w:val="24"/>
          <w:szCs w:val="24"/>
        </w:rPr>
        <w:t xml:space="preserve"> 2,0/1000 pacjentów,</w:t>
      </w:r>
    </w:p>
    <w:p w:rsidR="00AF0FDB" w:rsidRPr="002C3CE5" w:rsidRDefault="00AF0FDB" w:rsidP="00C079AB">
      <w:pPr>
        <w:pStyle w:val="ListParagraph"/>
        <w:spacing w:line="360" w:lineRule="auto"/>
        <w:jc w:val="both"/>
        <w:rPr>
          <w:rFonts w:ascii="Times New Roman" w:hAnsi="Times New Roman" w:cs="Times New Roman"/>
          <w:sz w:val="24"/>
          <w:szCs w:val="24"/>
        </w:rPr>
      </w:pPr>
      <w:r w:rsidRPr="002C3CE5">
        <w:rPr>
          <w:rFonts w:ascii="Times New Roman" w:hAnsi="Times New Roman" w:cs="Times New Roman"/>
          <w:sz w:val="24"/>
          <w:szCs w:val="24"/>
        </w:rPr>
        <w:t xml:space="preserve">- rotawirusami (wsp. zap. 1,8/1000), w porównaniu do roku 2016 </w:t>
      </w:r>
      <w:r>
        <w:rPr>
          <w:rFonts w:ascii="Times New Roman" w:hAnsi="Times New Roman" w:cs="Times New Roman"/>
          <w:sz w:val="24"/>
          <w:szCs w:val="24"/>
        </w:rPr>
        <w:t xml:space="preserve">odnotowano </w:t>
      </w:r>
      <w:r w:rsidRPr="002C3CE5">
        <w:rPr>
          <w:rFonts w:ascii="Times New Roman" w:hAnsi="Times New Roman" w:cs="Times New Roman"/>
          <w:sz w:val="24"/>
          <w:szCs w:val="24"/>
        </w:rPr>
        <w:t>nieznaczny wzrost (zapadalność: 1,2/1000 pacjentów),</w:t>
      </w:r>
    </w:p>
    <w:p w:rsidR="00AF0FDB" w:rsidRPr="002C3CE5" w:rsidRDefault="00AF0FDB" w:rsidP="00C079AB">
      <w:pPr>
        <w:pStyle w:val="ListParagraph"/>
        <w:spacing w:line="360" w:lineRule="auto"/>
        <w:jc w:val="both"/>
        <w:rPr>
          <w:rFonts w:ascii="Times New Roman" w:hAnsi="Times New Roman" w:cs="Times New Roman"/>
          <w:sz w:val="24"/>
          <w:szCs w:val="24"/>
        </w:rPr>
      </w:pPr>
      <w:r w:rsidRPr="002C3CE5">
        <w:rPr>
          <w:rFonts w:ascii="Times New Roman" w:hAnsi="Times New Roman" w:cs="Times New Roman"/>
          <w:sz w:val="24"/>
          <w:szCs w:val="24"/>
        </w:rPr>
        <w:t xml:space="preserve">- </w:t>
      </w:r>
      <w:r w:rsidRPr="002C3CE5">
        <w:rPr>
          <w:rFonts w:ascii="Times New Roman" w:hAnsi="Times New Roman" w:cs="Times New Roman"/>
          <w:i/>
          <w:iCs/>
          <w:sz w:val="24"/>
          <w:szCs w:val="24"/>
        </w:rPr>
        <w:t>Clostridium difficile</w:t>
      </w:r>
      <w:r w:rsidRPr="002C3CE5">
        <w:rPr>
          <w:rFonts w:ascii="Times New Roman" w:hAnsi="Times New Roman" w:cs="Times New Roman"/>
          <w:sz w:val="24"/>
          <w:szCs w:val="24"/>
        </w:rPr>
        <w:t xml:space="preserve"> (wsp. zap. 1,6/1000), w 2016 roku</w:t>
      </w:r>
      <w:r>
        <w:rPr>
          <w:rFonts w:ascii="Times New Roman" w:hAnsi="Times New Roman" w:cs="Times New Roman"/>
          <w:sz w:val="24"/>
          <w:szCs w:val="24"/>
        </w:rPr>
        <w:t xml:space="preserve"> </w:t>
      </w:r>
      <w:r w:rsidRPr="002C3CE5">
        <w:rPr>
          <w:rFonts w:ascii="Times New Roman" w:hAnsi="Times New Roman" w:cs="Times New Roman"/>
          <w:sz w:val="24"/>
          <w:szCs w:val="24"/>
        </w:rPr>
        <w:t>współczynnik zapadalności był niższy i wyniósł 1,4/1000 pacjentów.</w:t>
      </w:r>
    </w:p>
    <w:p w:rsidR="00AF0FDB" w:rsidRPr="002C3CE5" w:rsidRDefault="00AF0FDB" w:rsidP="00DE0EFA">
      <w:pPr>
        <w:pStyle w:val="ListParagraph"/>
        <w:numPr>
          <w:ilvl w:val="0"/>
          <w:numId w:val="21"/>
        </w:numPr>
        <w:spacing w:line="360" w:lineRule="auto"/>
        <w:jc w:val="both"/>
        <w:rPr>
          <w:rFonts w:ascii="Times New Roman" w:hAnsi="Times New Roman" w:cs="Times New Roman"/>
          <w:sz w:val="24"/>
          <w:szCs w:val="24"/>
        </w:rPr>
      </w:pPr>
      <w:r w:rsidRPr="002C3CE5">
        <w:rPr>
          <w:rFonts w:ascii="Times New Roman" w:hAnsi="Times New Roman" w:cs="Times New Roman"/>
          <w:kern w:val="2"/>
          <w:sz w:val="24"/>
          <w:szCs w:val="24"/>
          <w:lang w:eastAsia="zh-CN"/>
        </w:rPr>
        <w:t>W 2018 roku zgłoszono do nadzoru mniejszą</w:t>
      </w:r>
      <w:r w:rsidRPr="00BD47B8">
        <w:rPr>
          <w:rFonts w:ascii="Times New Roman" w:hAnsi="Times New Roman" w:cs="Times New Roman"/>
          <w:kern w:val="2"/>
          <w:sz w:val="24"/>
          <w:szCs w:val="24"/>
          <w:lang w:eastAsia="zh-CN"/>
        </w:rPr>
        <w:t xml:space="preserve"> liczbę ognisk epidemicznych występujących w podmiotach leczniczych, tj. o 8 mniej.</w:t>
      </w:r>
      <w:r w:rsidRPr="00BD47B8">
        <w:rPr>
          <w:rFonts w:ascii="Times New Roman" w:hAnsi="Times New Roman" w:cs="Times New Roman"/>
          <w:color w:val="538135"/>
          <w:sz w:val="24"/>
          <w:szCs w:val="24"/>
        </w:rPr>
        <w:t xml:space="preserve"> </w:t>
      </w:r>
      <w:r w:rsidRPr="002C3CE5">
        <w:rPr>
          <w:rFonts w:ascii="Times New Roman" w:hAnsi="Times New Roman" w:cs="Times New Roman"/>
          <w:sz w:val="24"/>
          <w:szCs w:val="24"/>
        </w:rPr>
        <w:t>W strukturze zbiorowych zakażeń w ogniskach odnotowano:</w:t>
      </w:r>
    </w:p>
    <w:p w:rsidR="00AF0FDB" w:rsidRDefault="00AF0FDB" w:rsidP="00C079AB">
      <w:pPr>
        <w:pStyle w:val="ListParagraph"/>
        <w:spacing w:line="360" w:lineRule="auto"/>
        <w:ind w:left="851" w:hanging="142"/>
        <w:rPr>
          <w:rFonts w:ascii="Times New Roman" w:hAnsi="Times New Roman" w:cs="Times New Roman"/>
          <w:sz w:val="24"/>
          <w:szCs w:val="24"/>
        </w:rPr>
      </w:pPr>
      <w:r w:rsidRPr="00BD47B8">
        <w:rPr>
          <w:rFonts w:ascii="Times New Roman" w:hAnsi="Times New Roman" w:cs="Times New Roman"/>
          <w:color w:val="538135"/>
          <w:sz w:val="24"/>
          <w:szCs w:val="24"/>
        </w:rPr>
        <w:t xml:space="preserve">- </w:t>
      </w:r>
      <w:r>
        <w:rPr>
          <w:rFonts w:ascii="Times New Roman" w:hAnsi="Times New Roman" w:cs="Times New Roman"/>
          <w:sz w:val="24"/>
          <w:szCs w:val="24"/>
        </w:rPr>
        <w:t xml:space="preserve">1 ognisko epidemiczne o etiologii </w:t>
      </w:r>
      <w:r>
        <w:rPr>
          <w:rFonts w:ascii="Times New Roman" w:hAnsi="Times New Roman" w:cs="Times New Roman"/>
          <w:i/>
          <w:iCs/>
          <w:sz w:val="24"/>
          <w:szCs w:val="24"/>
        </w:rPr>
        <w:t>Klebsiella pneumoniae</w:t>
      </w:r>
      <w:r>
        <w:rPr>
          <w:rFonts w:ascii="Times New Roman" w:hAnsi="Times New Roman" w:cs="Times New Roman"/>
          <w:sz w:val="24"/>
          <w:szCs w:val="24"/>
        </w:rPr>
        <w:t xml:space="preserve"> z potwierdzonym mechanizmem oporności MBL typu NDM, podczas gdy w 2017 roku zgłoszono łącznie 6 ognisk wywołanych </w:t>
      </w:r>
      <w:r>
        <w:rPr>
          <w:rFonts w:ascii="Times New Roman" w:hAnsi="Times New Roman" w:cs="Times New Roman"/>
          <w:i/>
          <w:iCs/>
          <w:sz w:val="24"/>
          <w:szCs w:val="24"/>
        </w:rPr>
        <w:t>Klebsiella pneumoniae</w:t>
      </w:r>
      <w:r>
        <w:rPr>
          <w:rFonts w:ascii="Times New Roman" w:hAnsi="Times New Roman" w:cs="Times New Roman"/>
          <w:sz w:val="24"/>
          <w:szCs w:val="24"/>
        </w:rPr>
        <w:t xml:space="preserve"> (KPC, MBL typu NDM, MBL),</w:t>
      </w:r>
    </w:p>
    <w:p w:rsidR="00AF0FDB" w:rsidRPr="00BD47B8" w:rsidRDefault="00AF0FDB" w:rsidP="00C079AB">
      <w:pPr>
        <w:pStyle w:val="ListParagraph"/>
        <w:spacing w:line="360" w:lineRule="auto"/>
        <w:ind w:left="851" w:hanging="131"/>
        <w:jc w:val="both"/>
        <w:rPr>
          <w:rFonts w:ascii="Times New Roman" w:hAnsi="Times New Roman" w:cs="Times New Roman"/>
          <w:sz w:val="24"/>
          <w:szCs w:val="24"/>
        </w:rPr>
      </w:pPr>
      <w:r w:rsidRPr="00BD47B8">
        <w:rPr>
          <w:rFonts w:ascii="Times New Roman" w:hAnsi="Times New Roman" w:cs="Times New Roman"/>
          <w:sz w:val="24"/>
          <w:szCs w:val="24"/>
        </w:rPr>
        <w:t xml:space="preserve">- wzrost liczby ognisk wywołanych wirusem grypy – w 2017 roku zgłoszono 4 takie ogniska, natomiast w 2018 </w:t>
      </w:r>
      <w:r>
        <w:rPr>
          <w:rFonts w:ascii="Times New Roman" w:hAnsi="Times New Roman" w:cs="Times New Roman"/>
          <w:sz w:val="24"/>
          <w:szCs w:val="24"/>
        </w:rPr>
        <w:t xml:space="preserve">r. </w:t>
      </w:r>
      <w:r w:rsidRPr="00BD47B8">
        <w:rPr>
          <w:rFonts w:ascii="Times New Roman" w:hAnsi="Times New Roman" w:cs="Times New Roman"/>
          <w:sz w:val="24"/>
          <w:szCs w:val="24"/>
        </w:rPr>
        <w:t xml:space="preserve">o 4 więcej, tj. 8. </w:t>
      </w:r>
    </w:p>
    <w:p w:rsidR="00AF0FDB" w:rsidRPr="00BF2834" w:rsidRDefault="00AF0FDB" w:rsidP="00DE2F7D">
      <w:pPr>
        <w:spacing w:before="0" w:after="0"/>
        <w:jc w:val="both"/>
      </w:pPr>
    </w:p>
    <w:p w:rsidR="00AF0FDB" w:rsidRDefault="00AF0FDB" w:rsidP="00DE2F7D">
      <w:pPr>
        <w:spacing w:before="0" w:after="0"/>
        <w:jc w:val="both"/>
        <w:rPr>
          <w:b/>
          <w:bCs/>
        </w:rPr>
      </w:pPr>
    </w:p>
    <w:p w:rsidR="00AF0FDB" w:rsidRDefault="00AF0FDB" w:rsidP="00DE2F7D">
      <w:pPr>
        <w:spacing w:before="0" w:after="0"/>
        <w:jc w:val="both"/>
        <w:rPr>
          <w:b/>
          <w:bCs/>
        </w:rPr>
      </w:pPr>
    </w:p>
    <w:p w:rsidR="00AF0FDB" w:rsidRDefault="00AF0FDB" w:rsidP="00DE2F7D">
      <w:pPr>
        <w:spacing w:before="0" w:after="0"/>
        <w:jc w:val="both"/>
        <w:rPr>
          <w:b/>
          <w:bCs/>
        </w:rPr>
      </w:pPr>
    </w:p>
    <w:p w:rsidR="00AF0FDB" w:rsidRPr="00DC3FD4" w:rsidRDefault="00AF0FDB" w:rsidP="00DE2F7D">
      <w:pPr>
        <w:spacing w:before="0" w:after="0"/>
        <w:jc w:val="both"/>
        <w:rPr>
          <w:b/>
          <w:bCs/>
        </w:rPr>
      </w:pPr>
      <w:r w:rsidRPr="00DC3FD4">
        <w:rPr>
          <w:b/>
          <w:bCs/>
        </w:rPr>
        <w:t xml:space="preserve">Sprawowanie nadzoru sanitarnego nad: </w:t>
      </w:r>
    </w:p>
    <w:p w:rsidR="00AF0FDB" w:rsidRPr="00454C3A" w:rsidRDefault="00AF0FDB" w:rsidP="00DE2F7D">
      <w:pPr>
        <w:spacing w:before="0" w:after="0"/>
        <w:jc w:val="both"/>
      </w:pPr>
      <w:r w:rsidRPr="00BF2834">
        <w:t xml:space="preserve">1) </w:t>
      </w:r>
      <w:r w:rsidRPr="00454C3A">
        <w:t xml:space="preserve">placówkami żywnościowymi w obiektach turystycznych w dni wolne od pracy </w:t>
      </w:r>
    </w:p>
    <w:p w:rsidR="00AF0FDB" w:rsidRPr="00454C3A" w:rsidRDefault="00AF0FDB" w:rsidP="00DC3FD4">
      <w:pPr>
        <w:spacing w:before="0" w:after="0"/>
        <w:ind w:left="284"/>
        <w:jc w:val="both"/>
      </w:pPr>
      <w:r w:rsidRPr="00454C3A">
        <w:t xml:space="preserve">w miesiącach letnich, </w:t>
      </w:r>
    </w:p>
    <w:p w:rsidR="00AF0FDB" w:rsidRPr="00454C3A" w:rsidRDefault="00AF0FDB" w:rsidP="00DE2F7D">
      <w:pPr>
        <w:spacing w:before="0" w:after="0"/>
        <w:ind w:left="284" w:hanging="284"/>
        <w:jc w:val="both"/>
      </w:pPr>
      <w:r w:rsidRPr="00454C3A">
        <w:t xml:space="preserve">2) doskonaleniem funkcjonowania systemu RASFF w oparciu o procedurę funkcjonowania systemu wczesnego ostrzegania o niebezpiecznych produktach żywnościowych </w:t>
      </w:r>
    </w:p>
    <w:p w:rsidR="00AF0FDB" w:rsidRPr="00454C3A" w:rsidRDefault="00AF0FDB" w:rsidP="00C06276">
      <w:pPr>
        <w:spacing w:before="0" w:after="0"/>
        <w:ind w:left="284"/>
        <w:jc w:val="both"/>
      </w:pPr>
      <w:r w:rsidRPr="00454C3A">
        <w:t xml:space="preserve">i środkach żywienia zwierząt. </w:t>
      </w:r>
    </w:p>
    <w:p w:rsidR="00AF0FDB" w:rsidRPr="00454C3A" w:rsidRDefault="00AF0FDB" w:rsidP="00DE2F7D">
      <w:pPr>
        <w:spacing w:before="0" w:after="0"/>
        <w:ind w:left="284" w:hanging="284"/>
        <w:jc w:val="both"/>
      </w:pPr>
      <w:r w:rsidRPr="00454C3A">
        <w:t xml:space="preserve">3) obiektami żywności i żywienia, które ze względu na dużą produkcję lub obrót żywności przedkłada się na dużą liczbę konsumentów oraz obiektów, które w oparciu o ustalenia kontroli z lat poprzednich wykazują zły stan sanitarny,  </w:t>
      </w:r>
    </w:p>
    <w:p w:rsidR="00AF0FDB" w:rsidRDefault="00AF0FDB" w:rsidP="00DE2F7D">
      <w:pPr>
        <w:spacing w:before="0" w:after="0"/>
        <w:ind w:left="284" w:hanging="284"/>
        <w:jc w:val="both"/>
      </w:pPr>
      <w:r w:rsidRPr="00454C3A">
        <w:t xml:space="preserve">4) bezpieczeństwem zdrowotnym wody przeznaczonej do spożycia przez ludzi, a także wody w kąpieliskach, miejscach </w:t>
      </w:r>
      <w:r w:rsidRPr="00201414">
        <w:t xml:space="preserve">okazjonalnie wykorzystywanych </w:t>
      </w:r>
      <w:r w:rsidRPr="00454C3A">
        <w:t xml:space="preserve">do kąpieli, pływalniach oraz nad obiektami użyteczności publicznej. </w:t>
      </w:r>
    </w:p>
    <w:p w:rsidR="00AF0FDB" w:rsidRPr="00201414" w:rsidRDefault="00AF0FDB" w:rsidP="007454C7">
      <w:pPr>
        <w:spacing w:before="0" w:after="0"/>
        <w:ind w:left="284" w:hanging="284"/>
        <w:jc w:val="both"/>
      </w:pPr>
      <w:r w:rsidRPr="00201414">
        <w:t>5) importem środków spożywczych oraz materiałów do kontaktu z żywnością,</w:t>
      </w:r>
    </w:p>
    <w:p w:rsidR="00AF0FDB" w:rsidRPr="00201414" w:rsidRDefault="00AF0FDB" w:rsidP="007454C7">
      <w:pPr>
        <w:spacing w:before="0" w:after="0"/>
        <w:ind w:left="284" w:hanging="284"/>
        <w:jc w:val="both"/>
      </w:pPr>
      <w:r w:rsidRPr="00201414">
        <w:t xml:space="preserve">6) zakładami żywienia produkującymi posiłki dla dzieci w żłobkach, przedszkolach i szkołach oraz pacjentów szpitali a także  pensjonariuszy domów opieki.  </w:t>
      </w:r>
    </w:p>
    <w:p w:rsidR="00AF0FDB" w:rsidRPr="00201414" w:rsidRDefault="00AF0FDB" w:rsidP="00B01085">
      <w:pPr>
        <w:spacing w:before="0" w:after="0"/>
        <w:jc w:val="both"/>
      </w:pPr>
    </w:p>
    <w:p w:rsidR="00AF0FDB" w:rsidRPr="00B01085" w:rsidRDefault="00AF0FDB" w:rsidP="00DE2F7D">
      <w:pPr>
        <w:spacing w:before="0" w:after="0"/>
        <w:rPr>
          <w:b/>
          <w:bCs/>
        </w:rPr>
      </w:pPr>
      <w:r w:rsidRPr="00DC3FD4">
        <w:rPr>
          <w:b/>
          <w:bCs/>
        </w:rPr>
        <w:t>Elementy pozytywnie wpływające na stan sanitarn</w:t>
      </w:r>
      <w:r>
        <w:rPr>
          <w:b/>
          <w:bCs/>
        </w:rPr>
        <w:t xml:space="preserve">y i sytuację epidemiologiczną: </w:t>
      </w:r>
    </w:p>
    <w:p w:rsidR="00AF0FDB" w:rsidRPr="00454C3A" w:rsidRDefault="00AF0FDB" w:rsidP="00DE2F7D">
      <w:pPr>
        <w:spacing w:before="0" w:after="0"/>
        <w:ind w:left="284" w:hanging="284"/>
      </w:pPr>
      <w:r>
        <w:t>1</w:t>
      </w:r>
      <w:r w:rsidRPr="00BF2834">
        <w:t xml:space="preserve">) </w:t>
      </w:r>
      <w:r w:rsidRPr="00454C3A">
        <w:t>dobra współpraca ze służbami miejskimi (straż miejska, policja, straż pożarna)</w:t>
      </w:r>
    </w:p>
    <w:p w:rsidR="00AF0FDB" w:rsidRDefault="00AF0FDB" w:rsidP="00A830BC">
      <w:pPr>
        <w:spacing w:before="0" w:after="0"/>
        <w:ind w:left="284"/>
      </w:pPr>
      <w:r w:rsidRPr="00454C3A">
        <w:t>szczególnie w sytuacjach interwencyjnych dotyczących zdarzeń losowych,</w:t>
      </w:r>
    </w:p>
    <w:p w:rsidR="00AF0FDB" w:rsidRDefault="00AF0FDB" w:rsidP="0029772E">
      <w:pPr>
        <w:pStyle w:val="Standard"/>
        <w:spacing w:after="0" w:line="360" w:lineRule="auto"/>
        <w:ind w:left="284" w:hanging="284"/>
        <w:rPr>
          <w:rFonts w:ascii="Times New Roman" w:hAnsi="Times New Roman" w:cs="Times New Roman"/>
          <w:color w:val="000000"/>
          <w:sz w:val="24"/>
          <w:szCs w:val="24"/>
        </w:rPr>
      </w:pPr>
      <w:r w:rsidRPr="0060016F">
        <w:rPr>
          <w:rFonts w:ascii="Times New Roman" w:hAnsi="Times New Roman" w:cs="Times New Roman"/>
          <w:sz w:val="24"/>
          <w:szCs w:val="24"/>
        </w:rPr>
        <w:t>2</w:t>
      </w:r>
      <w:r w:rsidRPr="0060016F">
        <w:rPr>
          <w:rFonts w:ascii="Times New Roman" w:hAnsi="Times New Roman" w:cs="Times New Roman"/>
          <w:sz w:val="24"/>
          <w:szCs w:val="24"/>
          <w:shd w:val="clear" w:color="auto" w:fill="FFFFFF"/>
        </w:rPr>
        <w:t xml:space="preserve">) </w:t>
      </w:r>
      <w:r w:rsidRPr="0060016F">
        <w:rPr>
          <w:rFonts w:ascii="Times New Roman" w:hAnsi="Times New Roman" w:cs="Times New Roman"/>
          <w:color w:val="000000"/>
          <w:sz w:val="24"/>
          <w:szCs w:val="24"/>
        </w:rPr>
        <w:t>systematycznie poprawia się stan sanitarny obiektów oświatowo-wychowawczych,  ponieważ w 2018r. wyegzekwowano 13 decyzji z lat ubiegłych,  wydano mniej zaleceń niż  w roku 2017</w:t>
      </w:r>
      <w:r>
        <w:rPr>
          <w:rFonts w:ascii="Times New Roman" w:hAnsi="Times New Roman" w:cs="Times New Roman"/>
          <w:color w:val="000000"/>
          <w:sz w:val="24"/>
          <w:szCs w:val="24"/>
        </w:rPr>
        <w:t>,</w:t>
      </w:r>
    </w:p>
    <w:p w:rsidR="00AF0FDB" w:rsidRPr="0060016F" w:rsidRDefault="00AF0FDB" w:rsidP="0029772E">
      <w:pPr>
        <w:pStyle w:val="Standard"/>
        <w:spacing w:after="0" w:line="360" w:lineRule="auto"/>
        <w:ind w:left="284" w:hanging="284"/>
        <w:rPr>
          <w:rFonts w:ascii="Times New Roman" w:hAnsi="Times New Roman" w:cs="Times New Roman"/>
          <w:sz w:val="24"/>
          <w:szCs w:val="24"/>
        </w:rPr>
      </w:pPr>
      <w:r w:rsidRPr="0060016F">
        <w:rPr>
          <w:rFonts w:ascii="Times New Roman" w:hAnsi="Times New Roman" w:cs="Times New Roman"/>
          <w:sz w:val="24"/>
          <w:szCs w:val="24"/>
        </w:rPr>
        <w:t>3) prowadzenie działalności oświatowo-zdrowotnej poprzez realizacje programów</w:t>
      </w:r>
    </w:p>
    <w:p w:rsidR="00AF0FDB" w:rsidRPr="00454C3A" w:rsidRDefault="00AF0FDB" w:rsidP="00DE2F7D">
      <w:pPr>
        <w:spacing w:before="0" w:after="0"/>
        <w:ind w:firstLine="284"/>
        <w:jc w:val="both"/>
      </w:pPr>
      <w:r w:rsidRPr="00454C3A">
        <w:t>edukacyjnych o zasięgu ogólnopolskim i wojewódzkim.</w:t>
      </w:r>
    </w:p>
    <w:p w:rsidR="00AF0FDB" w:rsidRPr="00454C3A" w:rsidRDefault="00AF0FDB" w:rsidP="00DE2F7D">
      <w:pPr>
        <w:spacing w:before="0" w:after="0"/>
      </w:pPr>
      <w:r>
        <w:t>4</w:t>
      </w:r>
      <w:r w:rsidRPr="00454C3A">
        <w:t xml:space="preserve">) kontynuacja współpracy z Urzędem Miasta Poznania oraz ze Starostwem Powiatowym </w:t>
      </w:r>
    </w:p>
    <w:p w:rsidR="00AF0FDB" w:rsidRPr="00454C3A" w:rsidRDefault="00AF0FDB" w:rsidP="00DC3FD4">
      <w:pPr>
        <w:spacing w:before="0" w:after="0"/>
        <w:ind w:left="284"/>
      </w:pPr>
      <w:r w:rsidRPr="00454C3A">
        <w:t>w Poznaniu w realizacji przedsięwzięć prozdrowotnych pozostaje bez zmian.</w:t>
      </w:r>
    </w:p>
    <w:p w:rsidR="00AF0FDB" w:rsidRPr="00BF2834" w:rsidRDefault="00AF0FDB" w:rsidP="00DE2F7D">
      <w:pPr>
        <w:spacing w:after="0"/>
      </w:pPr>
    </w:p>
    <w:p w:rsidR="00AF0FDB" w:rsidRPr="00BF2834" w:rsidRDefault="00AF0FDB" w:rsidP="00DE2F7D">
      <w:pPr>
        <w:spacing w:before="0" w:after="0"/>
      </w:pPr>
      <w:r w:rsidRPr="00BF2834">
        <w:t xml:space="preserve">Ocena stanu sanitarnego i sytuacja epidemiologiczna dotyczy chorób zakaźnych oraz </w:t>
      </w:r>
    </w:p>
    <w:p w:rsidR="00AF0FDB" w:rsidRPr="00BF2834" w:rsidRDefault="00AF0FDB" w:rsidP="00DE2F7D">
      <w:pPr>
        <w:spacing w:before="0" w:after="0"/>
      </w:pPr>
      <w:r w:rsidRPr="00BF2834">
        <w:t xml:space="preserve">wyników nadzoru sanitarnego prowadzonego przez poszczególne komórki organizacyjne </w:t>
      </w:r>
    </w:p>
    <w:p w:rsidR="00AF0FDB" w:rsidRPr="00DE2F7D" w:rsidRDefault="00AF0FDB" w:rsidP="00865902">
      <w:pPr>
        <w:spacing w:before="0" w:after="0"/>
      </w:pPr>
      <w:r w:rsidRPr="00BF2834">
        <w:t xml:space="preserve">Powiatowej Stacji Sanitarnej w Poznaniu. </w:t>
      </w:r>
    </w:p>
    <w:sectPr w:rsidR="00AF0FDB" w:rsidRPr="00DE2F7D" w:rsidSect="00B46301">
      <w:footerReference w:type="default" r:id="rId28"/>
      <w:pgSz w:w="11906" w:h="16838"/>
      <w:pgMar w:top="1417" w:right="1274"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FDB" w:rsidRDefault="00AF0FDB" w:rsidP="007B4114">
      <w:pPr>
        <w:spacing w:before="0" w:after="0" w:line="240" w:lineRule="auto"/>
      </w:pPr>
      <w:r>
        <w:separator/>
      </w:r>
    </w:p>
  </w:endnote>
  <w:endnote w:type="continuationSeparator" w:id="0">
    <w:p w:rsidR="00AF0FDB" w:rsidRDefault="00AF0FDB" w:rsidP="007B411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B" w:rsidRDefault="00AF0FDB">
    <w:pPr>
      <w:pStyle w:val="Footer"/>
      <w:jc w:val="right"/>
    </w:pPr>
    <w:fldSimple w:instr="PAGE   \* MERGEFORMAT">
      <w:r>
        <w:rPr>
          <w:noProof/>
        </w:rPr>
        <w:t>113</w:t>
      </w:r>
    </w:fldSimple>
  </w:p>
  <w:p w:rsidR="00AF0FDB" w:rsidRDefault="00AF0F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FDB" w:rsidRDefault="00AF0FDB" w:rsidP="007B4114">
      <w:pPr>
        <w:spacing w:before="0" w:after="0" w:line="240" w:lineRule="auto"/>
      </w:pPr>
      <w:r>
        <w:separator/>
      </w:r>
    </w:p>
  </w:footnote>
  <w:footnote w:type="continuationSeparator" w:id="0">
    <w:p w:rsidR="00AF0FDB" w:rsidRDefault="00AF0FDB" w:rsidP="007B4114">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0000003"/>
    <w:multiLevelType w:val="singleLevel"/>
    <w:tmpl w:val="00000003"/>
    <w:name w:val="WW8Num3"/>
    <w:lvl w:ilvl="0">
      <w:start w:val="1"/>
      <w:numFmt w:val="bullet"/>
      <w:lvlText w:val=""/>
      <w:lvlJc w:val="left"/>
      <w:pPr>
        <w:tabs>
          <w:tab w:val="num" w:pos="1428"/>
        </w:tabs>
        <w:ind w:left="1428"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880"/>
        </w:tabs>
        <w:ind w:left="880" w:hanging="340"/>
      </w:pPr>
      <w:rPr>
        <w:rFonts w:ascii="Symbol" w:hAnsi="Symbol" w:cs="Symbol" w:hint="default"/>
      </w:rPr>
    </w:lvl>
  </w:abstractNum>
  <w:abstractNum w:abstractNumId="3">
    <w:nsid w:val="00000005"/>
    <w:multiLevelType w:val="singleLevel"/>
    <w:tmpl w:val="00000005"/>
    <w:name w:val="WW8Num82"/>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5">
    <w:nsid w:val="00000007"/>
    <w:multiLevelType w:val="singleLevel"/>
    <w:tmpl w:val="00000007"/>
    <w:name w:val="WW8Num7"/>
    <w:lvl w:ilvl="0">
      <w:start w:val="1"/>
      <w:numFmt w:val="bullet"/>
      <w:lvlText w:val=""/>
      <w:lvlJc w:val="left"/>
      <w:pPr>
        <w:tabs>
          <w:tab w:val="num" w:pos="340"/>
        </w:tabs>
        <w:ind w:left="340" w:hanging="340"/>
      </w:pPr>
      <w:rPr>
        <w:rFonts w:ascii="Symbol" w:hAnsi="Symbol" w:cs="Symbol" w:hint="default"/>
      </w:rPr>
    </w:lvl>
  </w:abstractNum>
  <w:abstractNum w:abstractNumId="6">
    <w:nsid w:val="00000008"/>
    <w:multiLevelType w:val="singleLevel"/>
    <w:tmpl w:val="00000008"/>
    <w:name w:val="WW8Num8"/>
    <w:lvl w:ilvl="0">
      <w:start w:val="1"/>
      <w:numFmt w:val="bullet"/>
      <w:lvlText w:val=""/>
      <w:lvlJc w:val="left"/>
      <w:pPr>
        <w:tabs>
          <w:tab w:val="num" w:pos="880"/>
        </w:tabs>
        <w:ind w:left="880" w:hanging="340"/>
      </w:pPr>
      <w:rPr>
        <w:rFonts w:ascii="Symbol" w:hAnsi="Symbol" w:cs="Symbol" w:hint="default"/>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8">
    <w:nsid w:val="0000000A"/>
    <w:multiLevelType w:val="singleLevel"/>
    <w:tmpl w:val="0000000A"/>
    <w:name w:val="WW8Num10"/>
    <w:lvl w:ilvl="0">
      <w:start w:val="1"/>
      <w:numFmt w:val="bullet"/>
      <w:lvlText w:val=""/>
      <w:lvlJc w:val="left"/>
      <w:pPr>
        <w:tabs>
          <w:tab w:val="num" w:pos="340"/>
        </w:tabs>
        <w:ind w:left="340" w:hanging="340"/>
      </w:pPr>
      <w:rPr>
        <w:rFonts w:ascii="Symbol" w:hAnsi="Symbol" w:cs="Symbol" w:hint="default"/>
        <w:color w:val="FF0000"/>
      </w:rPr>
    </w:lvl>
  </w:abstractNum>
  <w:abstractNum w:abstractNumId="9">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rPr>
    </w:lvl>
  </w:abstractNum>
  <w:abstractNum w:abstractNumId="10">
    <w:nsid w:val="0000000C"/>
    <w:multiLevelType w:val="singleLevel"/>
    <w:tmpl w:val="0000000C"/>
    <w:name w:val="WW8Num12"/>
    <w:lvl w:ilvl="0">
      <w:start w:val="1"/>
      <w:numFmt w:val="bullet"/>
      <w:lvlText w:val=""/>
      <w:lvlJc w:val="left"/>
      <w:pPr>
        <w:tabs>
          <w:tab w:val="num" w:pos="0"/>
        </w:tabs>
        <w:ind w:left="360" w:hanging="360"/>
      </w:pPr>
      <w:rPr>
        <w:rFonts w:ascii="Symbol" w:hAnsi="Symbol" w:cs="Symbol" w:hint="default"/>
      </w:rPr>
    </w:lvl>
  </w:abstractNum>
  <w:abstractNum w:abstractNumId="11">
    <w:nsid w:val="05F95870"/>
    <w:multiLevelType w:val="hybridMultilevel"/>
    <w:tmpl w:val="9858CEFC"/>
    <w:lvl w:ilvl="0" w:tplc="474A61FE">
      <w:start w:val="2"/>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544FF4"/>
    <w:multiLevelType w:val="hybridMultilevel"/>
    <w:tmpl w:val="BC9086E6"/>
    <w:lvl w:ilvl="0" w:tplc="B9AC874C">
      <w:start w:val="1"/>
      <w:numFmt w:val="bullet"/>
      <w:lvlText w:val=""/>
      <w:lvlJc w:val="left"/>
      <w:pPr>
        <w:tabs>
          <w:tab w:val="num" w:pos="540"/>
        </w:tabs>
        <w:ind w:left="540" w:hanging="360"/>
      </w:pPr>
      <w:rPr>
        <w:rFonts w:ascii="Symbol" w:hAnsi="Symbol" w:cs="Symbol" w:hint="default"/>
        <w:color w:val="auto"/>
      </w:rPr>
    </w:lvl>
    <w:lvl w:ilvl="1" w:tplc="04150003">
      <w:start w:val="1"/>
      <w:numFmt w:val="bullet"/>
      <w:lvlText w:val="o"/>
      <w:lvlJc w:val="left"/>
      <w:pPr>
        <w:tabs>
          <w:tab w:val="num" w:pos="1260"/>
        </w:tabs>
        <w:ind w:left="1260" w:hanging="360"/>
      </w:pPr>
      <w:rPr>
        <w:rFonts w:ascii="Courier New" w:hAnsi="Courier New" w:cs="Courier New" w:hint="default"/>
      </w:rPr>
    </w:lvl>
    <w:lvl w:ilvl="2" w:tplc="04150005">
      <w:start w:val="1"/>
      <w:numFmt w:val="bullet"/>
      <w:lvlText w:val=""/>
      <w:lvlJc w:val="left"/>
      <w:pPr>
        <w:tabs>
          <w:tab w:val="num" w:pos="1980"/>
        </w:tabs>
        <w:ind w:left="1980" w:hanging="360"/>
      </w:pPr>
      <w:rPr>
        <w:rFonts w:ascii="Wingdings" w:hAnsi="Wingdings" w:cs="Wingdings" w:hint="default"/>
      </w:rPr>
    </w:lvl>
    <w:lvl w:ilvl="3" w:tplc="04150001">
      <w:start w:val="1"/>
      <w:numFmt w:val="bullet"/>
      <w:lvlText w:val=""/>
      <w:lvlJc w:val="left"/>
      <w:pPr>
        <w:tabs>
          <w:tab w:val="num" w:pos="2700"/>
        </w:tabs>
        <w:ind w:left="2700" w:hanging="360"/>
      </w:pPr>
      <w:rPr>
        <w:rFonts w:ascii="Symbol" w:hAnsi="Symbol" w:cs="Symbol" w:hint="default"/>
      </w:rPr>
    </w:lvl>
    <w:lvl w:ilvl="4" w:tplc="04150003">
      <w:start w:val="1"/>
      <w:numFmt w:val="bullet"/>
      <w:lvlText w:val="o"/>
      <w:lvlJc w:val="left"/>
      <w:pPr>
        <w:tabs>
          <w:tab w:val="num" w:pos="3420"/>
        </w:tabs>
        <w:ind w:left="3420" w:hanging="360"/>
      </w:pPr>
      <w:rPr>
        <w:rFonts w:ascii="Courier New" w:hAnsi="Courier New" w:cs="Courier New" w:hint="default"/>
      </w:rPr>
    </w:lvl>
    <w:lvl w:ilvl="5" w:tplc="04150005">
      <w:start w:val="1"/>
      <w:numFmt w:val="bullet"/>
      <w:lvlText w:val=""/>
      <w:lvlJc w:val="left"/>
      <w:pPr>
        <w:tabs>
          <w:tab w:val="num" w:pos="4140"/>
        </w:tabs>
        <w:ind w:left="4140" w:hanging="360"/>
      </w:pPr>
      <w:rPr>
        <w:rFonts w:ascii="Wingdings" w:hAnsi="Wingdings" w:cs="Wingdings" w:hint="default"/>
      </w:rPr>
    </w:lvl>
    <w:lvl w:ilvl="6" w:tplc="04150001">
      <w:start w:val="1"/>
      <w:numFmt w:val="bullet"/>
      <w:lvlText w:val=""/>
      <w:lvlJc w:val="left"/>
      <w:pPr>
        <w:tabs>
          <w:tab w:val="num" w:pos="4860"/>
        </w:tabs>
        <w:ind w:left="4860" w:hanging="360"/>
      </w:pPr>
      <w:rPr>
        <w:rFonts w:ascii="Symbol" w:hAnsi="Symbol" w:cs="Symbol" w:hint="default"/>
      </w:rPr>
    </w:lvl>
    <w:lvl w:ilvl="7" w:tplc="04150003">
      <w:start w:val="1"/>
      <w:numFmt w:val="bullet"/>
      <w:lvlText w:val="o"/>
      <w:lvlJc w:val="left"/>
      <w:pPr>
        <w:tabs>
          <w:tab w:val="num" w:pos="5580"/>
        </w:tabs>
        <w:ind w:left="5580" w:hanging="360"/>
      </w:pPr>
      <w:rPr>
        <w:rFonts w:ascii="Courier New" w:hAnsi="Courier New" w:cs="Courier New" w:hint="default"/>
      </w:rPr>
    </w:lvl>
    <w:lvl w:ilvl="8" w:tplc="04150005">
      <w:start w:val="1"/>
      <w:numFmt w:val="bullet"/>
      <w:lvlText w:val=""/>
      <w:lvlJc w:val="left"/>
      <w:pPr>
        <w:tabs>
          <w:tab w:val="num" w:pos="6300"/>
        </w:tabs>
        <w:ind w:left="6300" w:hanging="360"/>
      </w:pPr>
      <w:rPr>
        <w:rFonts w:ascii="Wingdings" w:hAnsi="Wingdings" w:cs="Wingdings" w:hint="default"/>
      </w:rPr>
    </w:lvl>
  </w:abstractNum>
  <w:abstractNum w:abstractNumId="13">
    <w:nsid w:val="0A6A38B0"/>
    <w:multiLevelType w:val="hybridMultilevel"/>
    <w:tmpl w:val="0756DB8E"/>
    <w:lvl w:ilvl="0" w:tplc="0415000D">
      <w:start w:val="1"/>
      <w:numFmt w:val="bullet"/>
      <w:lvlText w:val=""/>
      <w:lvlJc w:val="left"/>
      <w:pPr>
        <w:ind w:left="436" w:hanging="360"/>
      </w:pPr>
      <w:rPr>
        <w:rFonts w:ascii="Wingdings" w:hAnsi="Wingdings" w:cs="Wingdings"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cs="Wingdings" w:hint="default"/>
      </w:rPr>
    </w:lvl>
    <w:lvl w:ilvl="3" w:tplc="04150001" w:tentative="1">
      <w:start w:val="1"/>
      <w:numFmt w:val="bullet"/>
      <w:lvlText w:val=""/>
      <w:lvlJc w:val="left"/>
      <w:pPr>
        <w:ind w:left="2596" w:hanging="360"/>
      </w:pPr>
      <w:rPr>
        <w:rFonts w:ascii="Symbol" w:hAnsi="Symbol" w:cs="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cs="Wingdings" w:hint="default"/>
      </w:rPr>
    </w:lvl>
    <w:lvl w:ilvl="6" w:tplc="04150001" w:tentative="1">
      <w:start w:val="1"/>
      <w:numFmt w:val="bullet"/>
      <w:lvlText w:val=""/>
      <w:lvlJc w:val="left"/>
      <w:pPr>
        <w:ind w:left="4756" w:hanging="360"/>
      </w:pPr>
      <w:rPr>
        <w:rFonts w:ascii="Symbol" w:hAnsi="Symbol" w:cs="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cs="Wingdings" w:hint="default"/>
      </w:rPr>
    </w:lvl>
  </w:abstractNum>
  <w:abstractNum w:abstractNumId="14">
    <w:nsid w:val="23B0484F"/>
    <w:multiLevelType w:val="hybridMultilevel"/>
    <w:tmpl w:val="6B3697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6A676FC"/>
    <w:multiLevelType w:val="hybridMultilevel"/>
    <w:tmpl w:val="A94C4B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9153B6B"/>
    <w:multiLevelType w:val="hybridMultilevel"/>
    <w:tmpl w:val="79B0B636"/>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
    <w:nsid w:val="30C066FC"/>
    <w:multiLevelType w:val="hybridMultilevel"/>
    <w:tmpl w:val="17D491AE"/>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8">
    <w:nsid w:val="31F6569C"/>
    <w:multiLevelType w:val="hybridMultilevel"/>
    <w:tmpl w:val="61FA19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BC3015"/>
    <w:multiLevelType w:val="hybridMultilevel"/>
    <w:tmpl w:val="6F7EA9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0">
    <w:nsid w:val="3C694418"/>
    <w:multiLevelType w:val="hybridMultilevel"/>
    <w:tmpl w:val="123870C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nsid w:val="40077D5D"/>
    <w:multiLevelType w:val="hybridMultilevel"/>
    <w:tmpl w:val="15104AE2"/>
    <w:lvl w:ilvl="0" w:tplc="1A8A838E">
      <w:start w:val="1"/>
      <w:numFmt w:val="decimal"/>
      <w:lvlText w:val="%1."/>
      <w:lvlJc w:val="left"/>
      <w:pPr>
        <w:tabs>
          <w:tab w:val="num" w:pos="180"/>
        </w:tabs>
        <w:ind w:left="180" w:hanging="360"/>
      </w:pPr>
      <w:rPr>
        <w:b w:val="0"/>
        <w:bCs w:val="0"/>
      </w:rPr>
    </w:lvl>
    <w:lvl w:ilvl="1" w:tplc="04150019">
      <w:start w:val="1"/>
      <w:numFmt w:val="lowerLetter"/>
      <w:lvlText w:val="%2."/>
      <w:lvlJc w:val="left"/>
      <w:pPr>
        <w:tabs>
          <w:tab w:val="num" w:pos="900"/>
        </w:tabs>
        <w:ind w:left="900" w:hanging="360"/>
      </w:pPr>
    </w:lvl>
    <w:lvl w:ilvl="2" w:tplc="0415001B">
      <w:start w:val="1"/>
      <w:numFmt w:val="lowerRoman"/>
      <w:lvlText w:val="%3."/>
      <w:lvlJc w:val="right"/>
      <w:pPr>
        <w:tabs>
          <w:tab w:val="num" w:pos="1620"/>
        </w:tabs>
        <w:ind w:left="1620" w:hanging="180"/>
      </w:pPr>
    </w:lvl>
    <w:lvl w:ilvl="3" w:tplc="0415000F">
      <w:start w:val="1"/>
      <w:numFmt w:val="decimal"/>
      <w:lvlText w:val="%4."/>
      <w:lvlJc w:val="left"/>
      <w:pPr>
        <w:tabs>
          <w:tab w:val="num" w:pos="2340"/>
        </w:tabs>
        <w:ind w:left="2340" w:hanging="360"/>
      </w:pPr>
    </w:lvl>
    <w:lvl w:ilvl="4" w:tplc="04150019">
      <w:start w:val="1"/>
      <w:numFmt w:val="lowerLetter"/>
      <w:lvlText w:val="%5."/>
      <w:lvlJc w:val="left"/>
      <w:pPr>
        <w:tabs>
          <w:tab w:val="num" w:pos="3060"/>
        </w:tabs>
        <w:ind w:left="3060" w:hanging="360"/>
      </w:pPr>
    </w:lvl>
    <w:lvl w:ilvl="5" w:tplc="0415001B">
      <w:start w:val="1"/>
      <w:numFmt w:val="lowerRoman"/>
      <w:lvlText w:val="%6."/>
      <w:lvlJc w:val="right"/>
      <w:pPr>
        <w:tabs>
          <w:tab w:val="num" w:pos="3780"/>
        </w:tabs>
        <w:ind w:left="3780" w:hanging="180"/>
      </w:pPr>
    </w:lvl>
    <w:lvl w:ilvl="6" w:tplc="0415000F">
      <w:start w:val="1"/>
      <w:numFmt w:val="decimal"/>
      <w:lvlText w:val="%7."/>
      <w:lvlJc w:val="left"/>
      <w:pPr>
        <w:tabs>
          <w:tab w:val="num" w:pos="4500"/>
        </w:tabs>
        <w:ind w:left="4500" w:hanging="360"/>
      </w:pPr>
    </w:lvl>
    <w:lvl w:ilvl="7" w:tplc="04150019">
      <w:start w:val="1"/>
      <w:numFmt w:val="lowerLetter"/>
      <w:lvlText w:val="%8."/>
      <w:lvlJc w:val="left"/>
      <w:pPr>
        <w:tabs>
          <w:tab w:val="num" w:pos="5220"/>
        </w:tabs>
        <w:ind w:left="5220" w:hanging="360"/>
      </w:pPr>
    </w:lvl>
    <w:lvl w:ilvl="8" w:tplc="0415001B">
      <w:start w:val="1"/>
      <w:numFmt w:val="lowerRoman"/>
      <w:lvlText w:val="%9."/>
      <w:lvlJc w:val="right"/>
      <w:pPr>
        <w:tabs>
          <w:tab w:val="num" w:pos="5940"/>
        </w:tabs>
        <w:ind w:left="5940" w:hanging="180"/>
      </w:pPr>
    </w:lvl>
  </w:abstractNum>
  <w:abstractNum w:abstractNumId="22">
    <w:nsid w:val="413F5014"/>
    <w:multiLevelType w:val="hybridMultilevel"/>
    <w:tmpl w:val="0E8EDEE2"/>
    <w:lvl w:ilvl="0" w:tplc="0415000B">
      <w:start w:val="1"/>
      <w:numFmt w:val="bullet"/>
      <w:lvlText w:val=""/>
      <w:lvlJc w:val="left"/>
      <w:pPr>
        <w:ind w:left="720" w:hanging="360"/>
      </w:pPr>
      <w:rPr>
        <w:rFonts w:ascii="Wingdings" w:eastAsia="Times New Roman"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48372E5D"/>
    <w:multiLevelType w:val="hybridMultilevel"/>
    <w:tmpl w:val="DC8441C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4A321B65"/>
    <w:multiLevelType w:val="hybridMultilevel"/>
    <w:tmpl w:val="F93AEAF4"/>
    <w:lvl w:ilvl="0" w:tplc="FBD4AC90">
      <w:start w:val="1"/>
      <w:numFmt w:val="decimal"/>
      <w:lvlText w:val="%1."/>
      <w:lvlJc w:val="left"/>
      <w:pPr>
        <w:ind w:left="360" w:hanging="360"/>
      </w:pPr>
      <w:rPr>
        <w:color w:val="231F20"/>
      </w:rPr>
    </w:lvl>
    <w:lvl w:ilvl="1" w:tplc="0415000F">
      <w:start w:val="1"/>
      <w:numFmt w:val="decimal"/>
      <w:lvlText w:val="%2."/>
      <w:lvlJc w:val="left"/>
      <w:pPr>
        <w:tabs>
          <w:tab w:val="num" w:pos="900"/>
        </w:tabs>
        <w:ind w:left="900" w:hanging="360"/>
      </w:pPr>
      <w:rPr>
        <w:color w:val="231F20"/>
      </w:rPr>
    </w:lvl>
    <w:lvl w:ilvl="2" w:tplc="0415001B">
      <w:start w:val="1"/>
      <w:numFmt w:val="lowerRoman"/>
      <w:lvlText w:val="%3."/>
      <w:lvlJc w:val="right"/>
      <w:pPr>
        <w:ind w:left="1620" w:hanging="180"/>
      </w:pPr>
    </w:lvl>
    <w:lvl w:ilvl="3" w:tplc="0415000F">
      <w:start w:val="1"/>
      <w:numFmt w:val="decimal"/>
      <w:lvlText w:val="%4."/>
      <w:lvlJc w:val="left"/>
      <w:pPr>
        <w:ind w:left="2340" w:hanging="360"/>
      </w:pPr>
    </w:lvl>
    <w:lvl w:ilvl="4" w:tplc="04150019">
      <w:start w:val="1"/>
      <w:numFmt w:val="lowerLetter"/>
      <w:lvlText w:val="%5."/>
      <w:lvlJc w:val="left"/>
      <w:pPr>
        <w:ind w:left="3060" w:hanging="360"/>
      </w:pPr>
    </w:lvl>
    <w:lvl w:ilvl="5" w:tplc="0415001B">
      <w:start w:val="1"/>
      <w:numFmt w:val="lowerRoman"/>
      <w:lvlText w:val="%6."/>
      <w:lvlJc w:val="right"/>
      <w:pPr>
        <w:ind w:left="3780" w:hanging="180"/>
      </w:pPr>
    </w:lvl>
    <w:lvl w:ilvl="6" w:tplc="0415000F">
      <w:start w:val="1"/>
      <w:numFmt w:val="decimal"/>
      <w:lvlText w:val="%7."/>
      <w:lvlJc w:val="left"/>
      <w:pPr>
        <w:ind w:left="4500" w:hanging="360"/>
      </w:pPr>
    </w:lvl>
    <w:lvl w:ilvl="7" w:tplc="04150019">
      <w:start w:val="1"/>
      <w:numFmt w:val="lowerLetter"/>
      <w:lvlText w:val="%8."/>
      <w:lvlJc w:val="left"/>
      <w:pPr>
        <w:ind w:left="5220" w:hanging="360"/>
      </w:pPr>
    </w:lvl>
    <w:lvl w:ilvl="8" w:tplc="0415001B">
      <w:start w:val="1"/>
      <w:numFmt w:val="lowerRoman"/>
      <w:lvlText w:val="%9."/>
      <w:lvlJc w:val="right"/>
      <w:pPr>
        <w:ind w:left="5940" w:hanging="180"/>
      </w:pPr>
    </w:lvl>
  </w:abstractNum>
  <w:abstractNum w:abstractNumId="25">
    <w:nsid w:val="55A43C87"/>
    <w:multiLevelType w:val="hybridMultilevel"/>
    <w:tmpl w:val="A202C92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56EF4F1A"/>
    <w:multiLevelType w:val="hybridMultilevel"/>
    <w:tmpl w:val="8C645A3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7">
    <w:nsid w:val="5F0B69E5"/>
    <w:multiLevelType w:val="hybridMultilevel"/>
    <w:tmpl w:val="63B6C7BE"/>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
    <w:nsid w:val="60642998"/>
    <w:multiLevelType w:val="hybridMultilevel"/>
    <w:tmpl w:val="D33430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F2727B"/>
    <w:multiLevelType w:val="hybridMultilevel"/>
    <w:tmpl w:val="449A1840"/>
    <w:lvl w:ilvl="0" w:tplc="0415000D">
      <w:start w:val="1"/>
      <w:numFmt w:val="bullet"/>
      <w:lvlText w:val=""/>
      <w:lvlJc w:val="left"/>
      <w:pPr>
        <w:ind w:left="436" w:hanging="360"/>
      </w:pPr>
      <w:rPr>
        <w:rFonts w:ascii="Wingdings" w:hAnsi="Wingdings" w:cs="Wingdings"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cs="Wingdings" w:hint="default"/>
      </w:rPr>
    </w:lvl>
    <w:lvl w:ilvl="3" w:tplc="04150001" w:tentative="1">
      <w:start w:val="1"/>
      <w:numFmt w:val="bullet"/>
      <w:lvlText w:val=""/>
      <w:lvlJc w:val="left"/>
      <w:pPr>
        <w:ind w:left="2596" w:hanging="360"/>
      </w:pPr>
      <w:rPr>
        <w:rFonts w:ascii="Symbol" w:hAnsi="Symbol" w:cs="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cs="Wingdings" w:hint="default"/>
      </w:rPr>
    </w:lvl>
    <w:lvl w:ilvl="6" w:tplc="04150001" w:tentative="1">
      <w:start w:val="1"/>
      <w:numFmt w:val="bullet"/>
      <w:lvlText w:val=""/>
      <w:lvlJc w:val="left"/>
      <w:pPr>
        <w:ind w:left="4756" w:hanging="360"/>
      </w:pPr>
      <w:rPr>
        <w:rFonts w:ascii="Symbol" w:hAnsi="Symbol" w:cs="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cs="Wingdings" w:hint="default"/>
      </w:rPr>
    </w:lvl>
  </w:abstractNum>
  <w:abstractNum w:abstractNumId="30">
    <w:nsid w:val="60F31113"/>
    <w:multiLevelType w:val="hybridMultilevel"/>
    <w:tmpl w:val="F550C51C"/>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659D031F"/>
    <w:multiLevelType w:val="hybridMultilevel"/>
    <w:tmpl w:val="E98E775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cs="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6342919"/>
    <w:multiLevelType w:val="multilevel"/>
    <w:tmpl w:val="08C82628"/>
    <w:styleLink w:val="WW8Num4"/>
    <w:lvl w:ilvl="0">
      <w:numFmt w:val="bullet"/>
      <w:lvlText w:val=""/>
      <w:lvlJc w:val="center"/>
      <w:rPr>
        <w:rFonts w:ascii="Wingdings" w:hAnsi="Wingdings" w:cs="Wingdings"/>
        <w:color w:val="000000"/>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69984BD0"/>
    <w:multiLevelType w:val="hybridMultilevel"/>
    <w:tmpl w:val="5A98D88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4">
    <w:nsid w:val="6C6E785D"/>
    <w:multiLevelType w:val="hybridMultilevel"/>
    <w:tmpl w:val="D30E536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
    <w:nsid w:val="75E40D9D"/>
    <w:multiLevelType w:val="hybridMultilevel"/>
    <w:tmpl w:val="3BBCE7A8"/>
    <w:lvl w:ilvl="0" w:tplc="5C908BF2">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7942809"/>
    <w:multiLevelType w:val="hybridMultilevel"/>
    <w:tmpl w:val="238898E4"/>
    <w:lvl w:ilvl="0" w:tplc="0415000F">
      <w:start w:val="1"/>
      <w:numFmt w:val="decimal"/>
      <w:lvlText w:val="%1."/>
      <w:lvlJc w:val="left"/>
      <w:pPr>
        <w:tabs>
          <w:tab w:val="num" w:pos="720"/>
        </w:tabs>
        <w:ind w:left="72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7">
    <w:nsid w:val="7B8C007F"/>
    <w:multiLevelType w:val="hybridMultilevel"/>
    <w:tmpl w:val="26BC8026"/>
    <w:lvl w:ilvl="0" w:tplc="C88AF838">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38">
    <w:nsid w:val="7CE951C4"/>
    <w:multiLevelType w:val="hybridMultilevel"/>
    <w:tmpl w:val="40928D34"/>
    <w:lvl w:ilvl="0" w:tplc="75FA5458">
      <w:start w:val="1"/>
      <w:numFmt w:val="bullet"/>
      <w:lvlText w:val=""/>
      <w:lvlJc w:val="left"/>
      <w:pPr>
        <w:tabs>
          <w:tab w:val="num" w:pos="600"/>
        </w:tabs>
        <w:ind w:left="600" w:hanging="360"/>
      </w:pPr>
      <w:rPr>
        <w:rFonts w:ascii="Symbol" w:hAnsi="Symbol" w:cs="Symbol" w:hint="default"/>
        <w:color w:val="auto"/>
      </w:rPr>
    </w:lvl>
    <w:lvl w:ilvl="1" w:tplc="04150003">
      <w:start w:val="1"/>
      <w:numFmt w:val="bullet"/>
      <w:lvlText w:val="o"/>
      <w:lvlJc w:val="left"/>
      <w:pPr>
        <w:tabs>
          <w:tab w:val="num" w:pos="1320"/>
        </w:tabs>
        <w:ind w:left="1320" w:hanging="360"/>
      </w:pPr>
      <w:rPr>
        <w:rFonts w:ascii="Courier New" w:hAnsi="Courier New" w:cs="Courier New" w:hint="default"/>
      </w:rPr>
    </w:lvl>
    <w:lvl w:ilvl="2" w:tplc="04150005">
      <w:start w:val="1"/>
      <w:numFmt w:val="bullet"/>
      <w:lvlText w:val=""/>
      <w:lvlJc w:val="left"/>
      <w:pPr>
        <w:tabs>
          <w:tab w:val="num" w:pos="2040"/>
        </w:tabs>
        <w:ind w:left="2040" w:hanging="360"/>
      </w:pPr>
      <w:rPr>
        <w:rFonts w:ascii="Wingdings" w:hAnsi="Wingdings" w:cs="Wingdings" w:hint="default"/>
      </w:rPr>
    </w:lvl>
    <w:lvl w:ilvl="3" w:tplc="04150001">
      <w:start w:val="1"/>
      <w:numFmt w:val="bullet"/>
      <w:lvlText w:val=""/>
      <w:lvlJc w:val="left"/>
      <w:pPr>
        <w:tabs>
          <w:tab w:val="num" w:pos="2760"/>
        </w:tabs>
        <w:ind w:left="2760" w:hanging="360"/>
      </w:pPr>
      <w:rPr>
        <w:rFonts w:ascii="Symbol" w:hAnsi="Symbol" w:cs="Symbol" w:hint="default"/>
      </w:rPr>
    </w:lvl>
    <w:lvl w:ilvl="4" w:tplc="04150003">
      <w:start w:val="1"/>
      <w:numFmt w:val="bullet"/>
      <w:lvlText w:val="o"/>
      <w:lvlJc w:val="left"/>
      <w:pPr>
        <w:tabs>
          <w:tab w:val="num" w:pos="3480"/>
        </w:tabs>
        <w:ind w:left="3480" w:hanging="360"/>
      </w:pPr>
      <w:rPr>
        <w:rFonts w:ascii="Courier New" w:hAnsi="Courier New" w:cs="Courier New" w:hint="default"/>
      </w:rPr>
    </w:lvl>
    <w:lvl w:ilvl="5" w:tplc="04150005">
      <w:start w:val="1"/>
      <w:numFmt w:val="bullet"/>
      <w:lvlText w:val=""/>
      <w:lvlJc w:val="left"/>
      <w:pPr>
        <w:tabs>
          <w:tab w:val="num" w:pos="4200"/>
        </w:tabs>
        <w:ind w:left="4200" w:hanging="360"/>
      </w:pPr>
      <w:rPr>
        <w:rFonts w:ascii="Wingdings" w:hAnsi="Wingdings" w:cs="Wingdings" w:hint="default"/>
      </w:rPr>
    </w:lvl>
    <w:lvl w:ilvl="6" w:tplc="04150001">
      <w:start w:val="1"/>
      <w:numFmt w:val="bullet"/>
      <w:lvlText w:val=""/>
      <w:lvlJc w:val="left"/>
      <w:pPr>
        <w:tabs>
          <w:tab w:val="num" w:pos="4920"/>
        </w:tabs>
        <w:ind w:left="4920" w:hanging="360"/>
      </w:pPr>
      <w:rPr>
        <w:rFonts w:ascii="Symbol" w:hAnsi="Symbol" w:cs="Symbol" w:hint="default"/>
      </w:rPr>
    </w:lvl>
    <w:lvl w:ilvl="7" w:tplc="04150003">
      <w:start w:val="1"/>
      <w:numFmt w:val="bullet"/>
      <w:lvlText w:val="o"/>
      <w:lvlJc w:val="left"/>
      <w:pPr>
        <w:tabs>
          <w:tab w:val="num" w:pos="5640"/>
        </w:tabs>
        <w:ind w:left="5640" w:hanging="360"/>
      </w:pPr>
      <w:rPr>
        <w:rFonts w:ascii="Courier New" w:hAnsi="Courier New" w:cs="Courier New" w:hint="default"/>
      </w:rPr>
    </w:lvl>
    <w:lvl w:ilvl="8" w:tplc="04150005">
      <w:start w:val="1"/>
      <w:numFmt w:val="bullet"/>
      <w:lvlText w:val=""/>
      <w:lvlJc w:val="left"/>
      <w:pPr>
        <w:tabs>
          <w:tab w:val="num" w:pos="6360"/>
        </w:tabs>
        <w:ind w:left="6360" w:hanging="360"/>
      </w:pPr>
      <w:rPr>
        <w:rFonts w:ascii="Wingdings" w:hAnsi="Wingdings" w:cs="Wingdings" w:hint="default"/>
      </w:rPr>
    </w:lvl>
  </w:abstractNum>
  <w:num w:numId="1">
    <w:abstractNumId w:val="26"/>
  </w:num>
  <w:num w:numId="2">
    <w:abstractNumId w:val="33"/>
  </w:num>
  <w:num w:numId="3">
    <w:abstractNumId w:val="31"/>
  </w:num>
  <w:num w:numId="4">
    <w:abstractNumId w:val="13"/>
  </w:num>
  <w:num w:numId="5">
    <w:abstractNumId w:val="34"/>
  </w:num>
  <w:num w:numId="6">
    <w:abstractNumId w:val="19"/>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27"/>
  </w:num>
  <w:num w:numId="12">
    <w:abstractNumId w:val="16"/>
  </w:num>
  <w:num w:numId="13">
    <w:abstractNumId w:val="17"/>
  </w:num>
  <w:num w:numId="14">
    <w:abstractNumId w:val="3"/>
  </w:num>
  <w:num w:numId="15">
    <w:abstractNumId w:val="22"/>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5"/>
  </w:num>
  <w:num w:numId="20">
    <w:abstractNumId w:val="11"/>
  </w:num>
  <w:num w:numId="21">
    <w:abstractNumId w:val="18"/>
  </w:num>
  <w:num w:numId="22">
    <w:abstractNumId w:val="12"/>
  </w:num>
  <w:num w:numId="23">
    <w:abstractNumId w:val="38"/>
  </w:num>
  <w:num w:numId="24">
    <w:abstractNumId w:val="37"/>
  </w:num>
  <w:num w:numId="25">
    <w:abstractNumId w:val="29"/>
  </w:num>
  <w:num w:numId="26">
    <w:abstractNumId w:val="36"/>
  </w:num>
  <w:num w:numId="27">
    <w:abstractNumId w:val="2"/>
  </w:num>
  <w:num w:numId="28">
    <w:abstractNumId w:val="5"/>
  </w:num>
  <w:num w:numId="29">
    <w:abstractNumId w:val="6"/>
  </w:num>
  <w:num w:numId="30">
    <w:abstractNumId w:val="8"/>
  </w:num>
  <w:num w:numId="31">
    <w:abstractNumId w:val="4"/>
  </w:num>
  <w:num w:numId="32">
    <w:abstractNumId w:val="7"/>
  </w:num>
  <w:num w:numId="33">
    <w:abstractNumId w:val="9"/>
  </w:num>
  <w:num w:numId="34">
    <w:abstractNumId w:val="10"/>
  </w:num>
  <w:num w:numId="3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5"/>
  </w:num>
  <w:num w:numId="38">
    <w:abstractNumId w:val="28"/>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59DC"/>
    <w:rsid w:val="00001154"/>
    <w:rsid w:val="000043DF"/>
    <w:rsid w:val="00004D4F"/>
    <w:rsid w:val="00005F23"/>
    <w:rsid w:val="00010A5B"/>
    <w:rsid w:val="00011BDB"/>
    <w:rsid w:val="00012C87"/>
    <w:rsid w:val="0001326C"/>
    <w:rsid w:val="00020FE2"/>
    <w:rsid w:val="00025365"/>
    <w:rsid w:val="00034738"/>
    <w:rsid w:val="00037860"/>
    <w:rsid w:val="00040347"/>
    <w:rsid w:val="00045BFA"/>
    <w:rsid w:val="00047C9F"/>
    <w:rsid w:val="00050A5D"/>
    <w:rsid w:val="00051F82"/>
    <w:rsid w:val="00054116"/>
    <w:rsid w:val="00054474"/>
    <w:rsid w:val="00057A99"/>
    <w:rsid w:val="00067360"/>
    <w:rsid w:val="0006748D"/>
    <w:rsid w:val="00081EB2"/>
    <w:rsid w:val="00082602"/>
    <w:rsid w:val="00093650"/>
    <w:rsid w:val="000953E8"/>
    <w:rsid w:val="00097DBA"/>
    <w:rsid w:val="000B0FA6"/>
    <w:rsid w:val="000B1F3E"/>
    <w:rsid w:val="000B2D4B"/>
    <w:rsid w:val="000B4D34"/>
    <w:rsid w:val="000C04AC"/>
    <w:rsid w:val="000C15EF"/>
    <w:rsid w:val="000C3151"/>
    <w:rsid w:val="000D1BB5"/>
    <w:rsid w:val="000D42B1"/>
    <w:rsid w:val="000D5AB7"/>
    <w:rsid w:val="000E6A59"/>
    <w:rsid w:val="000E79A2"/>
    <w:rsid w:val="000F125F"/>
    <w:rsid w:val="000F1936"/>
    <w:rsid w:val="000F3717"/>
    <w:rsid w:val="00102D03"/>
    <w:rsid w:val="00115250"/>
    <w:rsid w:val="00121B47"/>
    <w:rsid w:val="00122FD0"/>
    <w:rsid w:val="00126405"/>
    <w:rsid w:val="00127E1A"/>
    <w:rsid w:val="00130D2B"/>
    <w:rsid w:val="00132054"/>
    <w:rsid w:val="00137797"/>
    <w:rsid w:val="00140605"/>
    <w:rsid w:val="00140E20"/>
    <w:rsid w:val="00141902"/>
    <w:rsid w:val="00144511"/>
    <w:rsid w:val="001467B7"/>
    <w:rsid w:val="00152455"/>
    <w:rsid w:val="001529C7"/>
    <w:rsid w:val="0015460D"/>
    <w:rsid w:val="00155D6B"/>
    <w:rsid w:val="001577DB"/>
    <w:rsid w:val="00161C31"/>
    <w:rsid w:val="00161C96"/>
    <w:rsid w:val="001656C2"/>
    <w:rsid w:val="00165C88"/>
    <w:rsid w:val="00171792"/>
    <w:rsid w:val="00182086"/>
    <w:rsid w:val="0018486D"/>
    <w:rsid w:val="0018661D"/>
    <w:rsid w:val="00197432"/>
    <w:rsid w:val="001A05D8"/>
    <w:rsid w:val="001A0E0A"/>
    <w:rsid w:val="001A24F5"/>
    <w:rsid w:val="001A56DB"/>
    <w:rsid w:val="001A7360"/>
    <w:rsid w:val="001B0461"/>
    <w:rsid w:val="001B507D"/>
    <w:rsid w:val="001B5A23"/>
    <w:rsid w:val="001B707A"/>
    <w:rsid w:val="001B7472"/>
    <w:rsid w:val="001C274C"/>
    <w:rsid w:val="001C2774"/>
    <w:rsid w:val="001C4197"/>
    <w:rsid w:val="001C527F"/>
    <w:rsid w:val="001C7951"/>
    <w:rsid w:val="001D41A7"/>
    <w:rsid w:val="001E1FED"/>
    <w:rsid w:val="001E2763"/>
    <w:rsid w:val="001E45DC"/>
    <w:rsid w:val="001E6556"/>
    <w:rsid w:val="001F0059"/>
    <w:rsid w:val="001F3479"/>
    <w:rsid w:val="001F6B48"/>
    <w:rsid w:val="001F6F83"/>
    <w:rsid w:val="00201345"/>
    <w:rsid w:val="00201414"/>
    <w:rsid w:val="002065D2"/>
    <w:rsid w:val="00206906"/>
    <w:rsid w:val="00207244"/>
    <w:rsid w:val="0020798A"/>
    <w:rsid w:val="00210A2F"/>
    <w:rsid w:val="002137CD"/>
    <w:rsid w:val="002141E0"/>
    <w:rsid w:val="00214D42"/>
    <w:rsid w:val="00222A90"/>
    <w:rsid w:val="00226B38"/>
    <w:rsid w:val="00226BA3"/>
    <w:rsid w:val="00226E84"/>
    <w:rsid w:val="00231A09"/>
    <w:rsid w:val="00235914"/>
    <w:rsid w:val="00243FBC"/>
    <w:rsid w:val="002447EA"/>
    <w:rsid w:val="0024644D"/>
    <w:rsid w:val="00247B84"/>
    <w:rsid w:val="002530A0"/>
    <w:rsid w:val="00253C81"/>
    <w:rsid w:val="00255454"/>
    <w:rsid w:val="002600DE"/>
    <w:rsid w:val="00261F8A"/>
    <w:rsid w:val="00264339"/>
    <w:rsid w:val="00264C1C"/>
    <w:rsid w:val="00270DC6"/>
    <w:rsid w:val="002743D3"/>
    <w:rsid w:val="002816C8"/>
    <w:rsid w:val="00282C26"/>
    <w:rsid w:val="002839C6"/>
    <w:rsid w:val="0029772E"/>
    <w:rsid w:val="002B0280"/>
    <w:rsid w:val="002C0978"/>
    <w:rsid w:val="002C1132"/>
    <w:rsid w:val="002C3C6D"/>
    <w:rsid w:val="002C3CE5"/>
    <w:rsid w:val="002C4F7C"/>
    <w:rsid w:val="002C5602"/>
    <w:rsid w:val="002C58F7"/>
    <w:rsid w:val="002C7000"/>
    <w:rsid w:val="002E4B2D"/>
    <w:rsid w:val="002E4C65"/>
    <w:rsid w:val="002F154D"/>
    <w:rsid w:val="002F5269"/>
    <w:rsid w:val="002F6557"/>
    <w:rsid w:val="002F6EF7"/>
    <w:rsid w:val="00300838"/>
    <w:rsid w:val="00301544"/>
    <w:rsid w:val="00303B95"/>
    <w:rsid w:val="00304E38"/>
    <w:rsid w:val="00306F21"/>
    <w:rsid w:val="003103ED"/>
    <w:rsid w:val="003135F6"/>
    <w:rsid w:val="003237CA"/>
    <w:rsid w:val="0032577D"/>
    <w:rsid w:val="0033635E"/>
    <w:rsid w:val="003430AC"/>
    <w:rsid w:val="00343E51"/>
    <w:rsid w:val="003471A4"/>
    <w:rsid w:val="00347491"/>
    <w:rsid w:val="00350CBC"/>
    <w:rsid w:val="0035117D"/>
    <w:rsid w:val="003528B0"/>
    <w:rsid w:val="00353912"/>
    <w:rsid w:val="00361B61"/>
    <w:rsid w:val="0036597B"/>
    <w:rsid w:val="00372492"/>
    <w:rsid w:val="00373D67"/>
    <w:rsid w:val="00377511"/>
    <w:rsid w:val="0038140A"/>
    <w:rsid w:val="00381DE0"/>
    <w:rsid w:val="003836DC"/>
    <w:rsid w:val="003860B2"/>
    <w:rsid w:val="003927A2"/>
    <w:rsid w:val="0039411B"/>
    <w:rsid w:val="0039429A"/>
    <w:rsid w:val="0039519C"/>
    <w:rsid w:val="003A16FB"/>
    <w:rsid w:val="003A4963"/>
    <w:rsid w:val="003A63E1"/>
    <w:rsid w:val="003B27DD"/>
    <w:rsid w:val="003B4BFA"/>
    <w:rsid w:val="003C1E1B"/>
    <w:rsid w:val="003C22D7"/>
    <w:rsid w:val="003C3B6A"/>
    <w:rsid w:val="003C4006"/>
    <w:rsid w:val="003C50A1"/>
    <w:rsid w:val="003C50DA"/>
    <w:rsid w:val="003C6298"/>
    <w:rsid w:val="003D4126"/>
    <w:rsid w:val="003D7E03"/>
    <w:rsid w:val="003E0F88"/>
    <w:rsid w:val="003E171F"/>
    <w:rsid w:val="003E7A4E"/>
    <w:rsid w:val="003F1FB3"/>
    <w:rsid w:val="003F2C43"/>
    <w:rsid w:val="004016CE"/>
    <w:rsid w:val="00407729"/>
    <w:rsid w:val="00407858"/>
    <w:rsid w:val="00411B27"/>
    <w:rsid w:val="00412959"/>
    <w:rsid w:val="00413034"/>
    <w:rsid w:val="00414FEE"/>
    <w:rsid w:val="00417E3F"/>
    <w:rsid w:val="00421CA2"/>
    <w:rsid w:val="00421F10"/>
    <w:rsid w:val="0042691B"/>
    <w:rsid w:val="00426A1B"/>
    <w:rsid w:val="00433ACE"/>
    <w:rsid w:val="00434E52"/>
    <w:rsid w:val="0044267B"/>
    <w:rsid w:val="00444642"/>
    <w:rsid w:val="00454C3A"/>
    <w:rsid w:val="004574F2"/>
    <w:rsid w:val="0046042F"/>
    <w:rsid w:val="00466A75"/>
    <w:rsid w:val="004671DE"/>
    <w:rsid w:val="00467BA0"/>
    <w:rsid w:val="0047092C"/>
    <w:rsid w:val="00490B55"/>
    <w:rsid w:val="0049131C"/>
    <w:rsid w:val="00493534"/>
    <w:rsid w:val="004A5693"/>
    <w:rsid w:val="004A596E"/>
    <w:rsid w:val="004B231F"/>
    <w:rsid w:val="004C1A9A"/>
    <w:rsid w:val="004C2A15"/>
    <w:rsid w:val="004C37AB"/>
    <w:rsid w:val="004C74B4"/>
    <w:rsid w:val="004D1117"/>
    <w:rsid w:val="004D2D8D"/>
    <w:rsid w:val="004D7593"/>
    <w:rsid w:val="004E0EE1"/>
    <w:rsid w:val="004E2721"/>
    <w:rsid w:val="004F07B3"/>
    <w:rsid w:val="004F7C92"/>
    <w:rsid w:val="00500209"/>
    <w:rsid w:val="00510719"/>
    <w:rsid w:val="005154D8"/>
    <w:rsid w:val="00515DAE"/>
    <w:rsid w:val="00517B79"/>
    <w:rsid w:val="00524710"/>
    <w:rsid w:val="005265CE"/>
    <w:rsid w:val="00530079"/>
    <w:rsid w:val="00532D01"/>
    <w:rsid w:val="00543251"/>
    <w:rsid w:val="00543C79"/>
    <w:rsid w:val="00544596"/>
    <w:rsid w:val="005474D6"/>
    <w:rsid w:val="00556589"/>
    <w:rsid w:val="005612E1"/>
    <w:rsid w:val="00562336"/>
    <w:rsid w:val="005746AB"/>
    <w:rsid w:val="005808C6"/>
    <w:rsid w:val="00580E02"/>
    <w:rsid w:val="005864A8"/>
    <w:rsid w:val="00591363"/>
    <w:rsid w:val="005913C3"/>
    <w:rsid w:val="005932DF"/>
    <w:rsid w:val="00595FE1"/>
    <w:rsid w:val="005964D1"/>
    <w:rsid w:val="00596E48"/>
    <w:rsid w:val="005A2B69"/>
    <w:rsid w:val="005A34B8"/>
    <w:rsid w:val="005B57E4"/>
    <w:rsid w:val="005B5902"/>
    <w:rsid w:val="005B6D87"/>
    <w:rsid w:val="005C14E7"/>
    <w:rsid w:val="005D0090"/>
    <w:rsid w:val="005D4C6B"/>
    <w:rsid w:val="005D64C6"/>
    <w:rsid w:val="005E140C"/>
    <w:rsid w:val="005E34B5"/>
    <w:rsid w:val="005E7F1C"/>
    <w:rsid w:val="005F30FD"/>
    <w:rsid w:val="005F5326"/>
    <w:rsid w:val="005F733E"/>
    <w:rsid w:val="0060016F"/>
    <w:rsid w:val="00602027"/>
    <w:rsid w:val="00603D4F"/>
    <w:rsid w:val="0061104B"/>
    <w:rsid w:val="0061420D"/>
    <w:rsid w:val="0061421A"/>
    <w:rsid w:val="00616F73"/>
    <w:rsid w:val="0062139C"/>
    <w:rsid w:val="00630640"/>
    <w:rsid w:val="00633A09"/>
    <w:rsid w:val="00634F42"/>
    <w:rsid w:val="00642C07"/>
    <w:rsid w:val="00646B54"/>
    <w:rsid w:val="00646E13"/>
    <w:rsid w:val="006504C2"/>
    <w:rsid w:val="006506EA"/>
    <w:rsid w:val="00652DA3"/>
    <w:rsid w:val="006542E5"/>
    <w:rsid w:val="006630F1"/>
    <w:rsid w:val="0066469F"/>
    <w:rsid w:val="00674BE4"/>
    <w:rsid w:val="006770E9"/>
    <w:rsid w:val="00677793"/>
    <w:rsid w:val="0069016E"/>
    <w:rsid w:val="00692E05"/>
    <w:rsid w:val="00694139"/>
    <w:rsid w:val="006A20CD"/>
    <w:rsid w:val="006A3785"/>
    <w:rsid w:val="006B1D8D"/>
    <w:rsid w:val="006B4209"/>
    <w:rsid w:val="006C1BB3"/>
    <w:rsid w:val="006C38E6"/>
    <w:rsid w:val="006C76C5"/>
    <w:rsid w:val="006D6DCC"/>
    <w:rsid w:val="006E785D"/>
    <w:rsid w:val="006F7A77"/>
    <w:rsid w:val="00704B7C"/>
    <w:rsid w:val="00705049"/>
    <w:rsid w:val="0071136B"/>
    <w:rsid w:val="0071140D"/>
    <w:rsid w:val="00713DD8"/>
    <w:rsid w:val="007150DE"/>
    <w:rsid w:val="00716484"/>
    <w:rsid w:val="007168F1"/>
    <w:rsid w:val="0072363C"/>
    <w:rsid w:val="00723B08"/>
    <w:rsid w:val="00726C4D"/>
    <w:rsid w:val="00726DAD"/>
    <w:rsid w:val="0073058B"/>
    <w:rsid w:val="00736501"/>
    <w:rsid w:val="007454C7"/>
    <w:rsid w:val="00750FDE"/>
    <w:rsid w:val="00756D72"/>
    <w:rsid w:val="0076123E"/>
    <w:rsid w:val="00762F47"/>
    <w:rsid w:val="0076402B"/>
    <w:rsid w:val="007700F4"/>
    <w:rsid w:val="00772591"/>
    <w:rsid w:val="007739BF"/>
    <w:rsid w:val="00773A84"/>
    <w:rsid w:val="00775237"/>
    <w:rsid w:val="00776EE6"/>
    <w:rsid w:val="00780890"/>
    <w:rsid w:val="0078165D"/>
    <w:rsid w:val="007858C7"/>
    <w:rsid w:val="007938BD"/>
    <w:rsid w:val="00795EC8"/>
    <w:rsid w:val="00796A0E"/>
    <w:rsid w:val="00796C39"/>
    <w:rsid w:val="007A0B1E"/>
    <w:rsid w:val="007A3F6D"/>
    <w:rsid w:val="007A5D22"/>
    <w:rsid w:val="007A7EA1"/>
    <w:rsid w:val="007B0FB2"/>
    <w:rsid w:val="007B305C"/>
    <w:rsid w:val="007B4114"/>
    <w:rsid w:val="007B5868"/>
    <w:rsid w:val="007B62F5"/>
    <w:rsid w:val="007B6B32"/>
    <w:rsid w:val="007C0371"/>
    <w:rsid w:val="007C1D27"/>
    <w:rsid w:val="007C2F7C"/>
    <w:rsid w:val="007C7B2F"/>
    <w:rsid w:val="007D40E6"/>
    <w:rsid w:val="007E0C25"/>
    <w:rsid w:val="007E2E1D"/>
    <w:rsid w:val="007E3F67"/>
    <w:rsid w:val="007E5166"/>
    <w:rsid w:val="007E6142"/>
    <w:rsid w:val="007F0404"/>
    <w:rsid w:val="007F228C"/>
    <w:rsid w:val="007F575B"/>
    <w:rsid w:val="007F69A7"/>
    <w:rsid w:val="007F7004"/>
    <w:rsid w:val="00800C37"/>
    <w:rsid w:val="00807359"/>
    <w:rsid w:val="00812984"/>
    <w:rsid w:val="0081689A"/>
    <w:rsid w:val="00820165"/>
    <w:rsid w:val="008229CA"/>
    <w:rsid w:val="00825C78"/>
    <w:rsid w:val="00826F72"/>
    <w:rsid w:val="008278F2"/>
    <w:rsid w:val="00835B15"/>
    <w:rsid w:val="00835BC5"/>
    <w:rsid w:val="0083781D"/>
    <w:rsid w:val="00840EA4"/>
    <w:rsid w:val="00846F20"/>
    <w:rsid w:val="0085021D"/>
    <w:rsid w:val="0085444C"/>
    <w:rsid w:val="00857689"/>
    <w:rsid w:val="00864F31"/>
    <w:rsid w:val="00865902"/>
    <w:rsid w:val="00870595"/>
    <w:rsid w:val="00870D0D"/>
    <w:rsid w:val="008739E3"/>
    <w:rsid w:val="008743B4"/>
    <w:rsid w:val="00875AD9"/>
    <w:rsid w:val="00885229"/>
    <w:rsid w:val="00886260"/>
    <w:rsid w:val="00891D7D"/>
    <w:rsid w:val="00895D57"/>
    <w:rsid w:val="0089795E"/>
    <w:rsid w:val="008A7405"/>
    <w:rsid w:val="008B311E"/>
    <w:rsid w:val="008B4A21"/>
    <w:rsid w:val="008B53F2"/>
    <w:rsid w:val="008B55D5"/>
    <w:rsid w:val="008B7706"/>
    <w:rsid w:val="008B7E11"/>
    <w:rsid w:val="008C1FB3"/>
    <w:rsid w:val="008C2D54"/>
    <w:rsid w:val="008C4C44"/>
    <w:rsid w:val="008C62BE"/>
    <w:rsid w:val="008D0B7F"/>
    <w:rsid w:val="008D120E"/>
    <w:rsid w:val="008D2746"/>
    <w:rsid w:val="008D4741"/>
    <w:rsid w:val="008D4CE0"/>
    <w:rsid w:val="008D66D2"/>
    <w:rsid w:val="008D6939"/>
    <w:rsid w:val="008E1D7F"/>
    <w:rsid w:val="008E68B9"/>
    <w:rsid w:val="008F1918"/>
    <w:rsid w:val="008F4884"/>
    <w:rsid w:val="008F50BF"/>
    <w:rsid w:val="008F67B2"/>
    <w:rsid w:val="008F76D1"/>
    <w:rsid w:val="00900257"/>
    <w:rsid w:val="0090094A"/>
    <w:rsid w:val="0091115B"/>
    <w:rsid w:val="009142B2"/>
    <w:rsid w:val="0092096B"/>
    <w:rsid w:val="00920BD8"/>
    <w:rsid w:val="00923391"/>
    <w:rsid w:val="009271A4"/>
    <w:rsid w:val="00930CBC"/>
    <w:rsid w:val="00934949"/>
    <w:rsid w:val="00935997"/>
    <w:rsid w:val="00936AAC"/>
    <w:rsid w:val="00944BA1"/>
    <w:rsid w:val="009450B1"/>
    <w:rsid w:val="009451E5"/>
    <w:rsid w:val="00945A2D"/>
    <w:rsid w:val="00945BAA"/>
    <w:rsid w:val="00951E25"/>
    <w:rsid w:val="009555B3"/>
    <w:rsid w:val="00956067"/>
    <w:rsid w:val="00961BA2"/>
    <w:rsid w:val="00967F6B"/>
    <w:rsid w:val="00971776"/>
    <w:rsid w:val="00974B1D"/>
    <w:rsid w:val="00990445"/>
    <w:rsid w:val="0099731A"/>
    <w:rsid w:val="009A245E"/>
    <w:rsid w:val="009A6959"/>
    <w:rsid w:val="009B12E7"/>
    <w:rsid w:val="009B2765"/>
    <w:rsid w:val="009B380C"/>
    <w:rsid w:val="009B7E39"/>
    <w:rsid w:val="009B7F53"/>
    <w:rsid w:val="009C07D1"/>
    <w:rsid w:val="009C15E5"/>
    <w:rsid w:val="009C1ED0"/>
    <w:rsid w:val="009C212F"/>
    <w:rsid w:val="009C3CDF"/>
    <w:rsid w:val="009D518B"/>
    <w:rsid w:val="009D5E10"/>
    <w:rsid w:val="009D629B"/>
    <w:rsid w:val="009E321F"/>
    <w:rsid w:val="009E386D"/>
    <w:rsid w:val="009E50CA"/>
    <w:rsid w:val="009F16BB"/>
    <w:rsid w:val="009F6A19"/>
    <w:rsid w:val="00A07457"/>
    <w:rsid w:val="00A12CC6"/>
    <w:rsid w:val="00A241E7"/>
    <w:rsid w:val="00A255DA"/>
    <w:rsid w:val="00A27A69"/>
    <w:rsid w:val="00A31A5A"/>
    <w:rsid w:val="00A3267F"/>
    <w:rsid w:val="00A32922"/>
    <w:rsid w:val="00A457E4"/>
    <w:rsid w:val="00A50FDB"/>
    <w:rsid w:val="00A52ED7"/>
    <w:rsid w:val="00A553D0"/>
    <w:rsid w:val="00A553DC"/>
    <w:rsid w:val="00A6251F"/>
    <w:rsid w:val="00A62AD8"/>
    <w:rsid w:val="00A756BE"/>
    <w:rsid w:val="00A77A8D"/>
    <w:rsid w:val="00A830BC"/>
    <w:rsid w:val="00A848D8"/>
    <w:rsid w:val="00AA14A3"/>
    <w:rsid w:val="00AA1E38"/>
    <w:rsid w:val="00AA4D26"/>
    <w:rsid w:val="00AB006D"/>
    <w:rsid w:val="00AB2ED2"/>
    <w:rsid w:val="00AB3F00"/>
    <w:rsid w:val="00AC12A4"/>
    <w:rsid w:val="00AC2A02"/>
    <w:rsid w:val="00AC4FFE"/>
    <w:rsid w:val="00AC6762"/>
    <w:rsid w:val="00AD119A"/>
    <w:rsid w:val="00AD27A2"/>
    <w:rsid w:val="00AD6DFC"/>
    <w:rsid w:val="00AE0297"/>
    <w:rsid w:val="00AE1359"/>
    <w:rsid w:val="00AE46C8"/>
    <w:rsid w:val="00AF0FDB"/>
    <w:rsid w:val="00AF13D8"/>
    <w:rsid w:val="00AF2F04"/>
    <w:rsid w:val="00AF3CA1"/>
    <w:rsid w:val="00AF57A1"/>
    <w:rsid w:val="00AF7C19"/>
    <w:rsid w:val="00B009C7"/>
    <w:rsid w:val="00B01085"/>
    <w:rsid w:val="00B01655"/>
    <w:rsid w:val="00B02078"/>
    <w:rsid w:val="00B02824"/>
    <w:rsid w:val="00B036C7"/>
    <w:rsid w:val="00B036E6"/>
    <w:rsid w:val="00B04F3A"/>
    <w:rsid w:val="00B063DE"/>
    <w:rsid w:val="00B118BB"/>
    <w:rsid w:val="00B1218B"/>
    <w:rsid w:val="00B1232B"/>
    <w:rsid w:val="00B248D2"/>
    <w:rsid w:val="00B260B8"/>
    <w:rsid w:val="00B32D80"/>
    <w:rsid w:val="00B355DA"/>
    <w:rsid w:val="00B435EE"/>
    <w:rsid w:val="00B4565C"/>
    <w:rsid w:val="00B46301"/>
    <w:rsid w:val="00B4710C"/>
    <w:rsid w:val="00B4792D"/>
    <w:rsid w:val="00B47B9B"/>
    <w:rsid w:val="00B505B8"/>
    <w:rsid w:val="00B52F23"/>
    <w:rsid w:val="00B5517C"/>
    <w:rsid w:val="00B701AD"/>
    <w:rsid w:val="00B77221"/>
    <w:rsid w:val="00B805F8"/>
    <w:rsid w:val="00B809EB"/>
    <w:rsid w:val="00B80B87"/>
    <w:rsid w:val="00B86ABE"/>
    <w:rsid w:val="00B87CF8"/>
    <w:rsid w:val="00B9052C"/>
    <w:rsid w:val="00BA0EE1"/>
    <w:rsid w:val="00BA1F4E"/>
    <w:rsid w:val="00BA5EF7"/>
    <w:rsid w:val="00BB217E"/>
    <w:rsid w:val="00BC4F2B"/>
    <w:rsid w:val="00BD47B8"/>
    <w:rsid w:val="00BD6501"/>
    <w:rsid w:val="00BD71B6"/>
    <w:rsid w:val="00BD72A5"/>
    <w:rsid w:val="00BE14C6"/>
    <w:rsid w:val="00BE3B30"/>
    <w:rsid w:val="00BF15B6"/>
    <w:rsid w:val="00BF2834"/>
    <w:rsid w:val="00BF46DC"/>
    <w:rsid w:val="00BF6221"/>
    <w:rsid w:val="00C02775"/>
    <w:rsid w:val="00C02B30"/>
    <w:rsid w:val="00C05544"/>
    <w:rsid w:val="00C06276"/>
    <w:rsid w:val="00C06E34"/>
    <w:rsid w:val="00C079AB"/>
    <w:rsid w:val="00C12832"/>
    <w:rsid w:val="00C136FC"/>
    <w:rsid w:val="00C16B8A"/>
    <w:rsid w:val="00C23670"/>
    <w:rsid w:val="00C24449"/>
    <w:rsid w:val="00C25911"/>
    <w:rsid w:val="00C30CCA"/>
    <w:rsid w:val="00C44F57"/>
    <w:rsid w:val="00C46809"/>
    <w:rsid w:val="00C6588B"/>
    <w:rsid w:val="00C65FFC"/>
    <w:rsid w:val="00C738E7"/>
    <w:rsid w:val="00C84578"/>
    <w:rsid w:val="00C849C8"/>
    <w:rsid w:val="00C84C3B"/>
    <w:rsid w:val="00C906EE"/>
    <w:rsid w:val="00C9590C"/>
    <w:rsid w:val="00CA393A"/>
    <w:rsid w:val="00CA4513"/>
    <w:rsid w:val="00CA677C"/>
    <w:rsid w:val="00CB16F4"/>
    <w:rsid w:val="00CB3DC9"/>
    <w:rsid w:val="00CC780B"/>
    <w:rsid w:val="00CD16F8"/>
    <w:rsid w:val="00CD21B8"/>
    <w:rsid w:val="00CD2C2A"/>
    <w:rsid w:val="00CD2C79"/>
    <w:rsid w:val="00CD4B16"/>
    <w:rsid w:val="00CD6DD1"/>
    <w:rsid w:val="00CE14D3"/>
    <w:rsid w:val="00CE4243"/>
    <w:rsid w:val="00CE7A54"/>
    <w:rsid w:val="00CE7CE3"/>
    <w:rsid w:val="00CF489B"/>
    <w:rsid w:val="00CF6950"/>
    <w:rsid w:val="00CF6AC7"/>
    <w:rsid w:val="00D1267E"/>
    <w:rsid w:val="00D13CA3"/>
    <w:rsid w:val="00D146F2"/>
    <w:rsid w:val="00D20601"/>
    <w:rsid w:val="00D237FA"/>
    <w:rsid w:val="00D27FF7"/>
    <w:rsid w:val="00D3053B"/>
    <w:rsid w:val="00D34076"/>
    <w:rsid w:val="00D34F69"/>
    <w:rsid w:val="00D35183"/>
    <w:rsid w:val="00D35507"/>
    <w:rsid w:val="00D419A5"/>
    <w:rsid w:val="00D4401C"/>
    <w:rsid w:val="00D45566"/>
    <w:rsid w:val="00D50629"/>
    <w:rsid w:val="00D5223F"/>
    <w:rsid w:val="00D53312"/>
    <w:rsid w:val="00D5412C"/>
    <w:rsid w:val="00D54D24"/>
    <w:rsid w:val="00D559DC"/>
    <w:rsid w:val="00D60D85"/>
    <w:rsid w:val="00D61460"/>
    <w:rsid w:val="00D61D61"/>
    <w:rsid w:val="00D739CA"/>
    <w:rsid w:val="00D7414E"/>
    <w:rsid w:val="00D7717F"/>
    <w:rsid w:val="00D80CAC"/>
    <w:rsid w:val="00D81117"/>
    <w:rsid w:val="00D81AD9"/>
    <w:rsid w:val="00D8249C"/>
    <w:rsid w:val="00D824C8"/>
    <w:rsid w:val="00D852C9"/>
    <w:rsid w:val="00D86796"/>
    <w:rsid w:val="00D9052A"/>
    <w:rsid w:val="00D9538B"/>
    <w:rsid w:val="00D95826"/>
    <w:rsid w:val="00D97C9C"/>
    <w:rsid w:val="00DA7832"/>
    <w:rsid w:val="00DB43C9"/>
    <w:rsid w:val="00DB4B69"/>
    <w:rsid w:val="00DB5E12"/>
    <w:rsid w:val="00DB61F5"/>
    <w:rsid w:val="00DB660A"/>
    <w:rsid w:val="00DC0950"/>
    <w:rsid w:val="00DC1418"/>
    <w:rsid w:val="00DC35B9"/>
    <w:rsid w:val="00DC3FD4"/>
    <w:rsid w:val="00DC4805"/>
    <w:rsid w:val="00DC522D"/>
    <w:rsid w:val="00DD2050"/>
    <w:rsid w:val="00DD2EA5"/>
    <w:rsid w:val="00DD3815"/>
    <w:rsid w:val="00DD7056"/>
    <w:rsid w:val="00DE0EFA"/>
    <w:rsid w:val="00DE2F7D"/>
    <w:rsid w:val="00DE3E08"/>
    <w:rsid w:val="00DE4AA0"/>
    <w:rsid w:val="00DF3B4E"/>
    <w:rsid w:val="00DF3BE8"/>
    <w:rsid w:val="00DF60D5"/>
    <w:rsid w:val="00DF6BAC"/>
    <w:rsid w:val="00E02A2D"/>
    <w:rsid w:val="00E035E5"/>
    <w:rsid w:val="00E04A00"/>
    <w:rsid w:val="00E07471"/>
    <w:rsid w:val="00E07893"/>
    <w:rsid w:val="00E13B47"/>
    <w:rsid w:val="00E141D7"/>
    <w:rsid w:val="00E150CC"/>
    <w:rsid w:val="00E16285"/>
    <w:rsid w:val="00E204A4"/>
    <w:rsid w:val="00E20ECB"/>
    <w:rsid w:val="00E214AF"/>
    <w:rsid w:val="00E22F08"/>
    <w:rsid w:val="00E2559A"/>
    <w:rsid w:val="00E30BB5"/>
    <w:rsid w:val="00E32F91"/>
    <w:rsid w:val="00E33894"/>
    <w:rsid w:val="00E368CD"/>
    <w:rsid w:val="00E37770"/>
    <w:rsid w:val="00E44BCF"/>
    <w:rsid w:val="00E45224"/>
    <w:rsid w:val="00E502DC"/>
    <w:rsid w:val="00E5074A"/>
    <w:rsid w:val="00E50AB1"/>
    <w:rsid w:val="00E511FD"/>
    <w:rsid w:val="00E5275F"/>
    <w:rsid w:val="00E60DA5"/>
    <w:rsid w:val="00E66DCE"/>
    <w:rsid w:val="00E7095A"/>
    <w:rsid w:val="00E74A15"/>
    <w:rsid w:val="00E8101A"/>
    <w:rsid w:val="00E837A5"/>
    <w:rsid w:val="00E86FCF"/>
    <w:rsid w:val="00E95377"/>
    <w:rsid w:val="00E95571"/>
    <w:rsid w:val="00E9709A"/>
    <w:rsid w:val="00EA5A20"/>
    <w:rsid w:val="00EA6252"/>
    <w:rsid w:val="00EC450D"/>
    <w:rsid w:val="00EC5EFA"/>
    <w:rsid w:val="00EC678C"/>
    <w:rsid w:val="00ED18F7"/>
    <w:rsid w:val="00ED4EC2"/>
    <w:rsid w:val="00ED60EB"/>
    <w:rsid w:val="00ED6F2F"/>
    <w:rsid w:val="00EE55F8"/>
    <w:rsid w:val="00EF1308"/>
    <w:rsid w:val="00EF1FF9"/>
    <w:rsid w:val="00EF2CB3"/>
    <w:rsid w:val="00EF52EA"/>
    <w:rsid w:val="00EF55C5"/>
    <w:rsid w:val="00F038BA"/>
    <w:rsid w:val="00F03F88"/>
    <w:rsid w:val="00F04D88"/>
    <w:rsid w:val="00F13322"/>
    <w:rsid w:val="00F1592A"/>
    <w:rsid w:val="00F16335"/>
    <w:rsid w:val="00F20CAD"/>
    <w:rsid w:val="00F213EA"/>
    <w:rsid w:val="00F23BEA"/>
    <w:rsid w:val="00F24F9C"/>
    <w:rsid w:val="00F25CAA"/>
    <w:rsid w:val="00F264F4"/>
    <w:rsid w:val="00F348E6"/>
    <w:rsid w:val="00F40EF5"/>
    <w:rsid w:val="00F46797"/>
    <w:rsid w:val="00F57309"/>
    <w:rsid w:val="00F5750A"/>
    <w:rsid w:val="00F57921"/>
    <w:rsid w:val="00F6505C"/>
    <w:rsid w:val="00F70D46"/>
    <w:rsid w:val="00F70E77"/>
    <w:rsid w:val="00F70EF8"/>
    <w:rsid w:val="00F72469"/>
    <w:rsid w:val="00F80293"/>
    <w:rsid w:val="00F802A7"/>
    <w:rsid w:val="00F8185D"/>
    <w:rsid w:val="00F82C9C"/>
    <w:rsid w:val="00F978DC"/>
    <w:rsid w:val="00FA01C7"/>
    <w:rsid w:val="00FA4A34"/>
    <w:rsid w:val="00FA59E5"/>
    <w:rsid w:val="00FB0A2D"/>
    <w:rsid w:val="00FB1005"/>
    <w:rsid w:val="00FB25D7"/>
    <w:rsid w:val="00FB2ADD"/>
    <w:rsid w:val="00FB37AB"/>
    <w:rsid w:val="00FC4005"/>
    <w:rsid w:val="00FD16FC"/>
    <w:rsid w:val="00FD2E23"/>
    <w:rsid w:val="00FD3487"/>
    <w:rsid w:val="00FD7132"/>
    <w:rsid w:val="00FD7AA9"/>
    <w:rsid w:val="00FE08E9"/>
    <w:rsid w:val="00FE5568"/>
    <w:rsid w:val="00FE779F"/>
    <w:rsid w:val="00FF27DE"/>
    <w:rsid w:val="00FF77F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lsdException w:name="Light Grid Accent 3" w:semiHidden="0"/>
    <w:lsdException w:name="Medium Shading 1 Accent 3" w:semiHidden="0"/>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lsdException w:name="Medium Grid 3 Accent 3" w:semiHidden="0"/>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uiPriority="32"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73058B"/>
    <w:pPr>
      <w:spacing w:before="240" w:after="60" w:line="360" w:lineRule="auto"/>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1C4197"/>
    <w:pPr>
      <w:keepNext/>
      <w:jc w:val="right"/>
      <w:outlineLvl w:val="0"/>
    </w:pPr>
    <w:rPr>
      <w:rFonts w:ascii="Cambria" w:hAnsi="Cambria" w:cs="Cambria"/>
      <w:b/>
      <w:bCs/>
      <w:sz w:val="48"/>
      <w:szCs w:val="48"/>
    </w:rPr>
  </w:style>
  <w:style w:type="paragraph" w:styleId="Heading2">
    <w:name w:val="heading 2"/>
    <w:basedOn w:val="Normal"/>
    <w:next w:val="Normal"/>
    <w:link w:val="Heading2Char"/>
    <w:uiPriority w:val="99"/>
    <w:qFormat/>
    <w:rsid w:val="00642C07"/>
    <w:pPr>
      <w:keepNext/>
      <w:tabs>
        <w:tab w:val="num" w:pos="1080"/>
      </w:tabs>
      <w:spacing w:line="240" w:lineRule="auto"/>
      <w:ind w:left="72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B435EE"/>
    <w:pPr>
      <w:keepNext/>
      <w:keepLines/>
      <w:spacing w:before="40" w:after="0"/>
      <w:outlineLvl w:val="2"/>
    </w:pPr>
    <w:rPr>
      <w:rFonts w:ascii="Calibri Light" w:hAnsi="Calibri Light" w:cs="Calibri Light"/>
      <w:color w:val="1F4D78"/>
    </w:rPr>
  </w:style>
  <w:style w:type="paragraph" w:styleId="Heading4">
    <w:name w:val="heading 4"/>
    <w:basedOn w:val="Normal"/>
    <w:next w:val="Normal"/>
    <w:link w:val="Heading4Char"/>
    <w:uiPriority w:val="99"/>
    <w:qFormat/>
    <w:rsid w:val="00B435EE"/>
    <w:pPr>
      <w:keepNext/>
      <w:keepLines/>
      <w:spacing w:before="40" w:after="0"/>
      <w:outlineLvl w:val="3"/>
    </w:pPr>
    <w:rPr>
      <w:rFonts w:ascii="Calibri Light" w:hAnsi="Calibri Light" w:cs="Calibri Light"/>
      <w:i/>
      <w:iCs/>
      <w:color w:val="2E74B5"/>
    </w:rPr>
  </w:style>
  <w:style w:type="paragraph" w:styleId="Heading5">
    <w:name w:val="heading 5"/>
    <w:basedOn w:val="Normal"/>
    <w:next w:val="Normal"/>
    <w:link w:val="Heading5Char"/>
    <w:uiPriority w:val="99"/>
    <w:qFormat/>
    <w:rsid w:val="00642C07"/>
    <w:pPr>
      <w:tabs>
        <w:tab w:val="num" w:pos="3240"/>
      </w:tabs>
      <w:spacing w:line="240" w:lineRule="auto"/>
      <w:ind w:left="288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642C07"/>
    <w:pPr>
      <w:tabs>
        <w:tab w:val="num" w:pos="3960"/>
      </w:tabs>
      <w:spacing w:line="240" w:lineRule="auto"/>
      <w:ind w:left="3600"/>
      <w:outlineLvl w:val="5"/>
    </w:pPr>
    <w:rPr>
      <w:rFonts w:ascii="Calibri" w:hAnsi="Calibri" w:cs="Calibri"/>
      <w:b/>
      <w:bCs/>
      <w:sz w:val="20"/>
      <w:szCs w:val="20"/>
    </w:rPr>
  </w:style>
  <w:style w:type="paragraph" w:styleId="Heading7">
    <w:name w:val="heading 7"/>
    <w:basedOn w:val="Normal"/>
    <w:next w:val="Normal"/>
    <w:link w:val="Heading7Char"/>
    <w:uiPriority w:val="99"/>
    <w:qFormat/>
    <w:rsid w:val="00642C07"/>
    <w:pPr>
      <w:tabs>
        <w:tab w:val="num" w:pos="4680"/>
      </w:tabs>
      <w:spacing w:line="240" w:lineRule="auto"/>
      <w:ind w:left="4320"/>
      <w:outlineLvl w:val="6"/>
    </w:pPr>
    <w:rPr>
      <w:rFonts w:ascii="Calibri" w:hAnsi="Calibri" w:cs="Calibri"/>
    </w:rPr>
  </w:style>
  <w:style w:type="paragraph" w:styleId="Heading8">
    <w:name w:val="heading 8"/>
    <w:basedOn w:val="Normal"/>
    <w:next w:val="Normal"/>
    <w:link w:val="Heading8Char"/>
    <w:uiPriority w:val="99"/>
    <w:qFormat/>
    <w:rsid w:val="00642C07"/>
    <w:pPr>
      <w:tabs>
        <w:tab w:val="num" w:pos="5400"/>
      </w:tabs>
      <w:spacing w:line="240" w:lineRule="auto"/>
      <w:ind w:left="5040"/>
      <w:outlineLvl w:val="7"/>
    </w:pPr>
    <w:rPr>
      <w:rFonts w:ascii="Calibri" w:hAnsi="Calibri" w:cs="Calibri"/>
      <w:i/>
      <w:iCs/>
    </w:rPr>
  </w:style>
  <w:style w:type="paragraph" w:styleId="Heading9">
    <w:name w:val="heading 9"/>
    <w:basedOn w:val="Normal"/>
    <w:next w:val="Normal"/>
    <w:link w:val="Heading9Char"/>
    <w:uiPriority w:val="99"/>
    <w:qFormat/>
    <w:rsid w:val="00642C07"/>
    <w:pPr>
      <w:tabs>
        <w:tab w:val="num" w:pos="6120"/>
      </w:tabs>
      <w:spacing w:line="240" w:lineRule="auto"/>
      <w:ind w:left="5760"/>
      <w:outlineLvl w:val="8"/>
    </w:pPr>
    <w:rPr>
      <w:rFonts w:ascii="Arial" w:hAnsi="Arial" w:cs="Arial"/>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C4197"/>
    <w:rPr>
      <w:rFonts w:ascii="Cambria" w:hAnsi="Cambria" w:cs="Cambria"/>
      <w:b/>
      <w:bCs/>
      <w:sz w:val="24"/>
      <w:szCs w:val="24"/>
      <w:lang w:eastAsia="pl-PL"/>
    </w:rPr>
  </w:style>
  <w:style w:type="character" w:customStyle="1" w:styleId="Heading2Char">
    <w:name w:val="Heading 2 Char"/>
    <w:basedOn w:val="DefaultParagraphFont"/>
    <w:link w:val="Heading2"/>
    <w:uiPriority w:val="99"/>
    <w:rsid w:val="00642C07"/>
    <w:rPr>
      <w:rFonts w:ascii="Arial" w:hAnsi="Arial" w:cs="Arial"/>
      <w:b/>
      <w:bCs/>
      <w:i/>
      <w:iCs/>
      <w:sz w:val="28"/>
      <w:szCs w:val="28"/>
      <w:lang w:eastAsia="pl-PL"/>
    </w:rPr>
  </w:style>
  <w:style w:type="character" w:customStyle="1" w:styleId="Heading3Char">
    <w:name w:val="Heading 3 Char"/>
    <w:basedOn w:val="DefaultParagraphFont"/>
    <w:link w:val="Heading3"/>
    <w:uiPriority w:val="99"/>
    <w:rsid w:val="00B435EE"/>
    <w:rPr>
      <w:rFonts w:ascii="Calibri Light" w:hAnsi="Calibri Light" w:cs="Calibri Light"/>
      <w:color w:val="1F4D78"/>
      <w:sz w:val="24"/>
      <w:szCs w:val="24"/>
      <w:lang w:eastAsia="pl-PL"/>
    </w:rPr>
  </w:style>
  <w:style w:type="character" w:customStyle="1" w:styleId="Heading4Char">
    <w:name w:val="Heading 4 Char"/>
    <w:basedOn w:val="DefaultParagraphFont"/>
    <w:link w:val="Heading4"/>
    <w:uiPriority w:val="99"/>
    <w:semiHidden/>
    <w:rsid w:val="00B435EE"/>
    <w:rPr>
      <w:rFonts w:ascii="Calibri Light" w:hAnsi="Calibri Light" w:cs="Calibri Light"/>
      <w:i/>
      <w:iCs/>
      <w:color w:val="2E74B5"/>
      <w:sz w:val="24"/>
      <w:szCs w:val="24"/>
      <w:lang w:eastAsia="pl-PL"/>
    </w:rPr>
  </w:style>
  <w:style w:type="character" w:customStyle="1" w:styleId="Heading5Char">
    <w:name w:val="Heading 5 Char"/>
    <w:basedOn w:val="DefaultParagraphFont"/>
    <w:link w:val="Heading5"/>
    <w:uiPriority w:val="99"/>
    <w:semiHidden/>
    <w:rsid w:val="00642C07"/>
    <w:rPr>
      <w:rFonts w:ascii="Calibri" w:hAnsi="Calibri" w:cs="Calibri"/>
      <w:b/>
      <w:bCs/>
      <w:i/>
      <w:iCs/>
      <w:sz w:val="26"/>
      <w:szCs w:val="26"/>
      <w:lang w:eastAsia="pl-PL"/>
    </w:rPr>
  </w:style>
  <w:style w:type="character" w:customStyle="1" w:styleId="Heading6Char">
    <w:name w:val="Heading 6 Char"/>
    <w:basedOn w:val="DefaultParagraphFont"/>
    <w:link w:val="Heading6"/>
    <w:uiPriority w:val="99"/>
    <w:semiHidden/>
    <w:rsid w:val="00642C07"/>
    <w:rPr>
      <w:rFonts w:ascii="Calibri" w:hAnsi="Calibri" w:cs="Calibri"/>
      <w:b/>
      <w:bCs/>
      <w:sz w:val="20"/>
      <w:szCs w:val="20"/>
      <w:lang w:eastAsia="pl-PL"/>
    </w:rPr>
  </w:style>
  <w:style w:type="character" w:customStyle="1" w:styleId="Heading7Char">
    <w:name w:val="Heading 7 Char"/>
    <w:basedOn w:val="DefaultParagraphFont"/>
    <w:link w:val="Heading7"/>
    <w:uiPriority w:val="99"/>
    <w:semiHidden/>
    <w:rsid w:val="00642C07"/>
    <w:rPr>
      <w:rFonts w:ascii="Calibri" w:hAnsi="Calibri" w:cs="Calibri"/>
      <w:sz w:val="24"/>
      <w:szCs w:val="24"/>
      <w:lang w:eastAsia="pl-PL"/>
    </w:rPr>
  </w:style>
  <w:style w:type="character" w:customStyle="1" w:styleId="Heading8Char">
    <w:name w:val="Heading 8 Char"/>
    <w:basedOn w:val="DefaultParagraphFont"/>
    <w:link w:val="Heading8"/>
    <w:uiPriority w:val="99"/>
    <w:semiHidden/>
    <w:rsid w:val="00642C07"/>
    <w:rPr>
      <w:rFonts w:ascii="Calibri" w:hAnsi="Calibri" w:cs="Calibri"/>
      <w:i/>
      <w:iCs/>
      <w:sz w:val="24"/>
      <w:szCs w:val="24"/>
      <w:lang w:eastAsia="pl-PL"/>
    </w:rPr>
  </w:style>
  <w:style w:type="character" w:customStyle="1" w:styleId="Heading9Char">
    <w:name w:val="Heading 9 Char"/>
    <w:basedOn w:val="DefaultParagraphFont"/>
    <w:link w:val="Heading9"/>
    <w:uiPriority w:val="99"/>
    <w:semiHidden/>
    <w:rsid w:val="00642C07"/>
    <w:rPr>
      <w:rFonts w:ascii="Arial" w:hAnsi="Arial" w:cs="Arial"/>
      <w:sz w:val="20"/>
      <w:szCs w:val="20"/>
      <w:lang w:eastAsia="pl-PL"/>
    </w:rPr>
  </w:style>
  <w:style w:type="paragraph" w:styleId="Title">
    <w:name w:val="Title"/>
    <w:basedOn w:val="Normal"/>
    <w:next w:val="Normal"/>
    <w:link w:val="TitleChar"/>
    <w:uiPriority w:val="99"/>
    <w:qFormat/>
    <w:rsid w:val="0073058B"/>
    <w:pPr>
      <w:jc w:val="center"/>
      <w:outlineLvl w:val="0"/>
    </w:pPr>
    <w:rPr>
      <w:kern w:val="28"/>
      <w:sz w:val="28"/>
      <w:szCs w:val="28"/>
    </w:rPr>
  </w:style>
  <w:style w:type="character" w:customStyle="1" w:styleId="TitleChar">
    <w:name w:val="Title Char"/>
    <w:basedOn w:val="DefaultParagraphFont"/>
    <w:link w:val="Title"/>
    <w:uiPriority w:val="99"/>
    <w:rsid w:val="0073058B"/>
    <w:rPr>
      <w:rFonts w:ascii="Times New Roman" w:hAnsi="Times New Roman" w:cs="Times New Roman"/>
      <w:kern w:val="28"/>
      <w:sz w:val="32"/>
      <w:szCs w:val="32"/>
      <w:lang w:eastAsia="pl-PL"/>
    </w:rPr>
  </w:style>
  <w:style w:type="character" w:styleId="BookTitle">
    <w:name w:val="Book Title"/>
    <w:basedOn w:val="DefaultParagraphFont"/>
    <w:uiPriority w:val="99"/>
    <w:qFormat/>
    <w:rsid w:val="0073058B"/>
    <w:rPr>
      <w:rFonts w:ascii="Cambria" w:hAnsi="Cambria" w:cs="Cambria"/>
      <w:b/>
      <w:bCs/>
      <w:i/>
      <w:iCs/>
      <w:sz w:val="24"/>
      <w:szCs w:val="24"/>
    </w:rPr>
  </w:style>
  <w:style w:type="paragraph" w:styleId="NormalWeb">
    <w:name w:val="Normal (Web)"/>
    <w:basedOn w:val="Normal"/>
    <w:uiPriority w:val="99"/>
    <w:rsid w:val="0073058B"/>
    <w:pPr>
      <w:spacing w:before="100" w:beforeAutospacing="1" w:after="100" w:afterAutospacing="1" w:line="240" w:lineRule="auto"/>
    </w:pPr>
  </w:style>
  <w:style w:type="paragraph" w:customStyle="1" w:styleId="Default">
    <w:name w:val="Default"/>
    <w:uiPriority w:val="99"/>
    <w:rsid w:val="001C4197"/>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uiPriority w:val="99"/>
    <w:rsid w:val="001F0059"/>
    <w:pPr>
      <w:spacing w:before="0" w:after="0" w:line="240" w:lineRule="auto"/>
      <w:jc w:val="both"/>
    </w:pPr>
  </w:style>
  <w:style w:type="character" w:customStyle="1" w:styleId="BodyTextChar">
    <w:name w:val="Body Text Char"/>
    <w:basedOn w:val="DefaultParagraphFont"/>
    <w:link w:val="BodyText"/>
    <w:uiPriority w:val="99"/>
    <w:rsid w:val="001F0059"/>
    <w:rPr>
      <w:rFonts w:ascii="Times New Roman" w:hAnsi="Times New Roman" w:cs="Times New Roman"/>
      <w:sz w:val="28"/>
      <w:szCs w:val="28"/>
      <w:lang w:eastAsia="pl-PL"/>
    </w:rPr>
  </w:style>
  <w:style w:type="paragraph" w:styleId="ListParagraph">
    <w:name w:val="List Paragraph"/>
    <w:basedOn w:val="Normal"/>
    <w:uiPriority w:val="99"/>
    <w:qFormat/>
    <w:rsid w:val="001F0059"/>
    <w:pPr>
      <w:spacing w:before="0" w:after="200" w:line="276" w:lineRule="auto"/>
      <w:ind w:left="720"/>
      <w:contextualSpacing/>
    </w:pPr>
    <w:rPr>
      <w:rFonts w:ascii="Calibri" w:eastAsia="Calibri" w:hAnsi="Calibri" w:cs="Calibri"/>
      <w:sz w:val="22"/>
      <w:szCs w:val="22"/>
      <w:lang w:eastAsia="en-US"/>
    </w:rPr>
  </w:style>
  <w:style w:type="paragraph" w:customStyle="1" w:styleId="Textbody">
    <w:name w:val="Text body"/>
    <w:basedOn w:val="Normal"/>
    <w:uiPriority w:val="99"/>
    <w:rsid w:val="001F0059"/>
    <w:pPr>
      <w:suppressAutoHyphens/>
      <w:autoSpaceDN w:val="0"/>
      <w:spacing w:before="0" w:after="120" w:line="240" w:lineRule="auto"/>
      <w:textAlignment w:val="baseline"/>
    </w:pPr>
    <w:rPr>
      <w:kern w:val="3"/>
      <w:sz w:val="20"/>
      <w:szCs w:val="20"/>
      <w:lang w:eastAsia="ar-SA"/>
    </w:rPr>
  </w:style>
  <w:style w:type="paragraph" w:styleId="Header">
    <w:name w:val="header"/>
    <w:basedOn w:val="Normal"/>
    <w:link w:val="HeaderChar"/>
    <w:uiPriority w:val="99"/>
    <w:rsid w:val="007B4114"/>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7B4114"/>
    <w:rPr>
      <w:rFonts w:ascii="Times New Roman" w:hAnsi="Times New Roman" w:cs="Times New Roman"/>
      <w:sz w:val="24"/>
      <w:szCs w:val="24"/>
      <w:lang w:eastAsia="pl-PL"/>
    </w:rPr>
  </w:style>
  <w:style w:type="paragraph" w:styleId="Footer">
    <w:name w:val="footer"/>
    <w:basedOn w:val="Normal"/>
    <w:link w:val="FooterChar"/>
    <w:uiPriority w:val="99"/>
    <w:rsid w:val="007B4114"/>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B4114"/>
    <w:rPr>
      <w:rFonts w:ascii="Times New Roman" w:hAnsi="Times New Roman" w:cs="Times New Roman"/>
      <w:sz w:val="24"/>
      <w:szCs w:val="24"/>
      <w:lang w:eastAsia="pl-PL"/>
    </w:rPr>
  </w:style>
  <w:style w:type="paragraph" w:styleId="BodyTextIndent">
    <w:name w:val="Body Text Indent"/>
    <w:basedOn w:val="Normal"/>
    <w:link w:val="BodyTextIndentChar"/>
    <w:uiPriority w:val="99"/>
    <w:rsid w:val="003528B0"/>
    <w:pPr>
      <w:spacing w:after="120"/>
      <w:ind w:left="283"/>
    </w:pPr>
  </w:style>
  <w:style w:type="character" w:customStyle="1" w:styleId="BodyTextIndentChar">
    <w:name w:val="Body Text Indent Char"/>
    <w:basedOn w:val="DefaultParagraphFont"/>
    <w:link w:val="BodyTextIndent"/>
    <w:uiPriority w:val="99"/>
    <w:rsid w:val="003528B0"/>
    <w:rPr>
      <w:rFonts w:ascii="Times New Roman" w:hAnsi="Times New Roman" w:cs="Times New Roman"/>
      <w:sz w:val="24"/>
      <w:szCs w:val="24"/>
      <w:lang w:eastAsia="pl-PL"/>
    </w:rPr>
  </w:style>
  <w:style w:type="paragraph" w:styleId="Subtitle">
    <w:name w:val="Subtitle"/>
    <w:basedOn w:val="Normal"/>
    <w:next w:val="Normal"/>
    <w:link w:val="SubtitleChar"/>
    <w:uiPriority w:val="99"/>
    <w:qFormat/>
    <w:rsid w:val="00301544"/>
    <w:pPr>
      <w:numPr>
        <w:ilvl w:val="1"/>
      </w:numPr>
      <w:spacing w:after="160"/>
    </w:pPr>
    <w:rPr>
      <w:rFonts w:ascii="Calibri" w:hAnsi="Calibri" w:cs="Calibri"/>
      <w:color w:val="5A5A5A"/>
      <w:spacing w:val="15"/>
      <w:sz w:val="22"/>
      <w:szCs w:val="22"/>
    </w:rPr>
  </w:style>
  <w:style w:type="character" w:customStyle="1" w:styleId="SubtitleChar">
    <w:name w:val="Subtitle Char"/>
    <w:basedOn w:val="DefaultParagraphFont"/>
    <w:link w:val="Subtitle"/>
    <w:uiPriority w:val="99"/>
    <w:rsid w:val="00301544"/>
    <w:rPr>
      <w:rFonts w:eastAsia="Times New Roman"/>
      <w:color w:val="5A5A5A"/>
      <w:spacing w:val="15"/>
      <w:lang w:eastAsia="pl-PL"/>
    </w:rPr>
  </w:style>
  <w:style w:type="paragraph" w:styleId="TOCHeading">
    <w:name w:val="TOC Heading"/>
    <w:basedOn w:val="Heading1"/>
    <w:next w:val="Normal"/>
    <w:uiPriority w:val="99"/>
    <w:qFormat/>
    <w:rsid w:val="00301544"/>
    <w:pPr>
      <w:keepLines/>
      <w:spacing w:after="0" w:line="259" w:lineRule="auto"/>
      <w:jc w:val="left"/>
      <w:outlineLvl w:val="9"/>
    </w:pPr>
    <w:rPr>
      <w:rFonts w:ascii="Calibri Light" w:hAnsi="Calibri Light" w:cs="Calibri Light"/>
      <w:b w:val="0"/>
      <w:bCs w:val="0"/>
      <w:color w:val="2E74B5"/>
      <w:sz w:val="32"/>
      <w:szCs w:val="32"/>
    </w:rPr>
  </w:style>
  <w:style w:type="paragraph" w:styleId="TOC1">
    <w:name w:val="toc 1"/>
    <w:basedOn w:val="Normal"/>
    <w:next w:val="Normal"/>
    <w:autoRedefine/>
    <w:uiPriority w:val="99"/>
    <w:semiHidden/>
    <w:rsid w:val="00D7414E"/>
    <w:pPr>
      <w:tabs>
        <w:tab w:val="right" w:leader="dot" w:pos="9062"/>
      </w:tabs>
      <w:spacing w:after="100"/>
    </w:pPr>
    <w:rPr>
      <w:noProof/>
    </w:rPr>
  </w:style>
  <w:style w:type="character" w:styleId="Hyperlink">
    <w:name w:val="Hyperlink"/>
    <w:basedOn w:val="DefaultParagraphFont"/>
    <w:uiPriority w:val="99"/>
    <w:rsid w:val="00301544"/>
    <w:rPr>
      <w:color w:val="0563C1"/>
      <w:u w:val="single"/>
    </w:rPr>
  </w:style>
  <w:style w:type="paragraph" w:customStyle="1" w:styleId="Tekstpodstawowy21">
    <w:name w:val="Tekst podstawowy 21"/>
    <w:basedOn w:val="Normal"/>
    <w:uiPriority w:val="99"/>
    <w:rsid w:val="00B435EE"/>
    <w:pPr>
      <w:suppressAutoHyphens/>
      <w:spacing w:before="0" w:after="0"/>
      <w:jc w:val="both"/>
    </w:pPr>
    <w:rPr>
      <w:rFonts w:eastAsia="Arial Unicode MS"/>
      <w:lang w:eastAsia="ar-SA"/>
    </w:rPr>
  </w:style>
  <w:style w:type="paragraph" w:styleId="NoSpacing">
    <w:name w:val="No Spacing"/>
    <w:uiPriority w:val="99"/>
    <w:qFormat/>
    <w:rsid w:val="00B435EE"/>
    <w:pPr>
      <w:suppressAutoHyphens/>
    </w:pPr>
    <w:rPr>
      <w:rFonts w:ascii="Times New Roman" w:eastAsia="Times New Roman" w:hAnsi="Times New Roman"/>
      <w:sz w:val="24"/>
      <w:szCs w:val="24"/>
      <w:lang w:eastAsia="ar-SA"/>
    </w:rPr>
  </w:style>
  <w:style w:type="table" w:customStyle="1" w:styleId="Tabelalisty5ciemna1">
    <w:name w:val="Tabela listy 5 — ciemna1"/>
    <w:uiPriority w:val="99"/>
    <w:rsid w:val="00961BA2"/>
    <w:rPr>
      <w:rFonts w:cs="Calibri"/>
      <w:color w:val="FFFFFF"/>
      <w:sz w:val="20"/>
      <w:szCs w:val="2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yl1">
    <w:name w:val="Styl1"/>
    <w:basedOn w:val="TableElegant"/>
    <w:uiPriority w:val="99"/>
    <w:rsid w:val="00961BA2"/>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rsid w:val="00961BA2"/>
    <w:pPr>
      <w:spacing w:before="240" w:after="60" w:line="360" w:lineRule="auto"/>
    </w:pPr>
    <w:rPr>
      <w:rFonts w:cs="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Siatkatabelijasna1">
    <w:name w:val="Siatka tabeli — jasna1"/>
    <w:uiPriority w:val="99"/>
    <w:rsid w:val="00961BA2"/>
    <w:rPr>
      <w:rFonts w:cs="Calibri"/>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tyl2">
    <w:name w:val="Styl2"/>
    <w:basedOn w:val="TableElegant"/>
    <w:uiPriority w:val="99"/>
    <w:rsid w:val="00961BA2"/>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Styl3">
    <w:name w:val="Styl3"/>
    <w:basedOn w:val="TableElegant"/>
    <w:uiPriority w:val="99"/>
    <w:rsid w:val="00961BA2"/>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9D629B"/>
    <w:pPr>
      <w:spacing w:after="100"/>
      <w:ind w:left="480"/>
    </w:pPr>
  </w:style>
  <w:style w:type="table" w:customStyle="1" w:styleId="Styl4">
    <w:name w:val="Styl4"/>
    <w:basedOn w:val="TableElegant"/>
    <w:uiPriority w:val="99"/>
    <w:rsid w:val="00864F31"/>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Styl5">
    <w:name w:val="Styl5"/>
    <w:basedOn w:val="TableElegant"/>
    <w:uiPriority w:val="99"/>
    <w:rsid w:val="008D4741"/>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Styl6">
    <w:name w:val="Styl6"/>
    <w:basedOn w:val="TableElegant"/>
    <w:uiPriority w:val="99"/>
    <w:rsid w:val="00704B7C"/>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Styl7">
    <w:name w:val="Styl7"/>
    <w:basedOn w:val="TableProfessional"/>
    <w:uiPriority w:val="99"/>
    <w:rsid w:val="00704B7C"/>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rsid w:val="00704B7C"/>
    <w:pPr>
      <w:spacing w:before="240" w:after="60" w:line="360" w:lineRule="auto"/>
    </w:pPr>
    <w:rPr>
      <w:rFonts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8">
    <w:name w:val="Styl8"/>
    <w:basedOn w:val="TableProfessional"/>
    <w:uiPriority w:val="99"/>
    <w:rsid w:val="00704B7C"/>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3">
    <w:name w:val="Body Text 3"/>
    <w:basedOn w:val="Normal"/>
    <w:link w:val="BodyText3Char"/>
    <w:uiPriority w:val="99"/>
    <w:rsid w:val="003D7E03"/>
    <w:pPr>
      <w:spacing w:after="120"/>
    </w:pPr>
    <w:rPr>
      <w:sz w:val="16"/>
      <w:szCs w:val="16"/>
    </w:rPr>
  </w:style>
  <w:style w:type="character" w:customStyle="1" w:styleId="BodyText3Char">
    <w:name w:val="Body Text 3 Char"/>
    <w:basedOn w:val="DefaultParagraphFont"/>
    <w:link w:val="BodyText3"/>
    <w:uiPriority w:val="99"/>
    <w:rsid w:val="003D7E03"/>
    <w:rPr>
      <w:rFonts w:ascii="Times New Roman" w:hAnsi="Times New Roman" w:cs="Times New Roman"/>
      <w:sz w:val="16"/>
      <w:szCs w:val="16"/>
      <w:lang w:eastAsia="pl-PL"/>
    </w:rPr>
  </w:style>
  <w:style w:type="paragraph" w:styleId="BodyText2">
    <w:name w:val="Body Text 2"/>
    <w:basedOn w:val="Normal"/>
    <w:link w:val="BodyText2Char"/>
    <w:uiPriority w:val="99"/>
    <w:semiHidden/>
    <w:rsid w:val="003D7E03"/>
    <w:pPr>
      <w:spacing w:after="120" w:line="480" w:lineRule="auto"/>
    </w:pPr>
  </w:style>
  <w:style w:type="character" w:customStyle="1" w:styleId="BodyText2Char">
    <w:name w:val="Body Text 2 Char"/>
    <w:basedOn w:val="DefaultParagraphFont"/>
    <w:link w:val="BodyText2"/>
    <w:uiPriority w:val="99"/>
    <w:semiHidden/>
    <w:rsid w:val="003D7E03"/>
    <w:rPr>
      <w:rFonts w:ascii="Times New Roman" w:hAnsi="Times New Roman" w:cs="Times New Roman"/>
      <w:sz w:val="24"/>
      <w:szCs w:val="24"/>
      <w:lang w:eastAsia="pl-PL"/>
    </w:rPr>
  </w:style>
  <w:style w:type="character" w:customStyle="1" w:styleId="Domylnaczcionkaakapitu1">
    <w:name w:val="Domyślna czcionka akapitu1"/>
    <w:uiPriority w:val="99"/>
    <w:rsid w:val="003D7E03"/>
  </w:style>
  <w:style w:type="paragraph" w:styleId="BodyTextIndent2">
    <w:name w:val="Body Text Indent 2"/>
    <w:basedOn w:val="Normal"/>
    <w:link w:val="BodyTextIndent2Char"/>
    <w:uiPriority w:val="99"/>
    <w:rsid w:val="003D7E03"/>
    <w:pPr>
      <w:spacing w:before="0" w:after="120" w:line="480" w:lineRule="auto"/>
      <w:ind w:left="283"/>
    </w:pPr>
  </w:style>
  <w:style w:type="character" w:customStyle="1" w:styleId="BodyTextIndent2Char">
    <w:name w:val="Body Text Indent 2 Char"/>
    <w:basedOn w:val="DefaultParagraphFont"/>
    <w:link w:val="BodyTextIndent2"/>
    <w:uiPriority w:val="99"/>
    <w:rsid w:val="003D7E03"/>
    <w:rPr>
      <w:rFonts w:ascii="Times New Roman" w:hAnsi="Times New Roman" w:cs="Times New Roman"/>
      <w:sz w:val="24"/>
      <w:szCs w:val="24"/>
      <w:lang w:eastAsia="pl-PL"/>
    </w:rPr>
  </w:style>
  <w:style w:type="paragraph" w:customStyle="1" w:styleId="Standard">
    <w:name w:val="Standard"/>
    <w:uiPriority w:val="99"/>
    <w:rsid w:val="003D7E03"/>
    <w:pPr>
      <w:suppressAutoHyphens/>
      <w:autoSpaceDN w:val="0"/>
      <w:spacing w:after="160" w:line="259" w:lineRule="auto"/>
      <w:textAlignment w:val="baseline"/>
    </w:pPr>
    <w:rPr>
      <w:rFonts w:eastAsia="SimSun" w:cs="Calibri"/>
      <w:kern w:val="3"/>
      <w:lang w:eastAsia="en-US"/>
    </w:rPr>
  </w:style>
  <w:style w:type="character" w:customStyle="1" w:styleId="info-list-value-uzasadnienie">
    <w:name w:val="info-list-value-uzasadnienie"/>
    <w:uiPriority w:val="99"/>
    <w:rsid w:val="003D7E03"/>
  </w:style>
  <w:style w:type="character" w:customStyle="1" w:styleId="warheader">
    <w:name w:val="war_header"/>
    <w:uiPriority w:val="99"/>
    <w:rsid w:val="003D7E03"/>
  </w:style>
  <w:style w:type="table" w:customStyle="1" w:styleId="Styl9">
    <w:name w:val="Styl9"/>
    <w:basedOn w:val="TableElegant"/>
    <w:uiPriority w:val="99"/>
    <w:rsid w:val="005A34B8"/>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rsid w:val="00642C07"/>
    <w:rPr>
      <w:color w:val="954F72"/>
      <w:u w:val="single"/>
    </w:rPr>
  </w:style>
  <w:style w:type="paragraph" w:styleId="FootnoteText">
    <w:name w:val="footnote text"/>
    <w:basedOn w:val="Normal"/>
    <w:link w:val="FootnoteTextChar"/>
    <w:uiPriority w:val="99"/>
    <w:semiHidden/>
    <w:rsid w:val="00642C07"/>
    <w:pPr>
      <w:spacing w:before="0" w:after="200" w:line="276"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642C07"/>
    <w:rPr>
      <w:rFonts w:ascii="Calibri" w:hAnsi="Calibri" w:cs="Calibri"/>
      <w:sz w:val="20"/>
      <w:szCs w:val="20"/>
      <w:lang w:eastAsia="pl-PL"/>
    </w:rPr>
  </w:style>
  <w:style w:type="paragraph" w:styleId="CommentText">
    <w:name w:val="annotation text"/>
    <w:basedOn w:val="Normal"/>
    <w:link w:val="CommentTextChar"/>
    <w:uiPriority w:val="99"/>
    <w:semiHidden/>
    <w:rsid w:val="00642C07"/>
    <w:pPr>
      <w:spacing w:before="0"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642C07"/>
    <w:rPr>
      <w:rFonts w:ascii="Calibri" w:hAnsi="Calibri" w:cs="Calibri"/>
      <w:sz w:val="20"/>
      <w:szCs w:val="20"/>
      <w:lang w:eastAsia="pl-PL"/>
    </w:rPr>
  </w:style>
  <w:style w:type="paragraph" w:styleId="Caption">
    <w:name w:val="caption"/>
    <w:basedOn w:val="Normal"/>
    <w:next w:val="Normal"/>
    <w:uiPriority w:val="99"/>
    <w:qFormat/>
    <w:rsid w:val="00642C07"/>
    <w:pPr>
      <w:suppressAutoHyphens/>
      <w:spacing w:before="0" w:after="0" w:line="240" w:lineRule="auto"/>
    </w:pPr>
    <w:rPr>
      <w:b/>
      <w:bCs/>
      <w:sz w:val="20"/>
      <w:szCs w:val="20"/>
      <w:lang w:eastAsia="ar-SA"/>
    </w:rPr>
  </w:style>
  <w:style w:type="paragraph" w:styleId="EndnoteText">
    <w:name w:val="endnote text"/>
    <w:basedOn w:val="Normal"/>
    <w:link w:val="EndnoteTextChar"/>
    <w:uiPriority w:val="99"/>
    <w:semiHidden/>
    <w:rsid w:val="00642C07"/>
    <w:pPr>
      <w:spacing w:before="0"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642C07"/>
    <w:rPr>
      <w:rFonts w:ascii="Calibri" w:hAnsi="Calibri" w:cs="Calibri"/>
      <w:sz w:val="20"/>
      <w:szCs w:val="20"/>
      <w:lang w:eastAsia="pl-PL"/>
    </w:rPr>
  </w:style>
  <w:style w:type="paragraph" w:styleId="List">
    <w:name w:val="List"/>
    <w:basedOn w:val="BodyText"/>
    <w:uiPriority w:val="99"/>
    <w:rsid w:val="00642C07"/>
    <w:pPr>
      <w:suppressAutoHyphens/>
      <w:jc w:val="center"/>
    </w:pPr>
    <w:rPr>
      <w:rFonts w:ascii="Calibri" w:hAnsi="Calibri" w:cs="Calibri"/>
      <w:b/>
      <w:bCs/>
      <w:lang w:eastAsia="ar-SA"/>
    </w:rPr>
  </w:style>
  <w:style w:type="paragraph" w:styleId="DocumentMap">
    <w:name w:val="Document Map"/>
    <w:basedOn w:val="Normal"/>
    <w:link w:val="DocumentMapChar"/>
    <w:uiPriority w:val="99"/>
    <w:semiHidden/>
    <w:rsid w:val="00642C07"/>
    <w:pPr>
      <w:shd w:val="clear" w:color="auto" w:fill="000080"/>
      <w:spacing w:before="0" w:after="200" w:line="276" w:lineRule="auto"/>
    </w:pPr>
    <w:rPr>
      <w:rFonts w:ascii="Tahoma" w:hAnsi="Tahoma" w:cs="Tahoma"/>
      <w:sz w:val="20"/>
      <w:szCs w:val="20"/>
      <w:lang w:eastAsia="en-US"/>
    </w:rPr>
  </w:style>
  <w:style w:type="character" w:customStyle="1" w:styleId="DocumentMapChar">
    <w:name w:val="Document Map Char"/>
    <w:basedOn w:val="DefaultParagraphFont"/>
    <w:link w:val="DocumentMap"/>
    <w:uiPriority w:val="99"/>
    <w:semiHidden/>
    <w:rsid w:val="00642C07"/>
    <w:rPr>
      <w:rFonts w:ascii="Tahoma" w:hAnsi="Tahoma" w:cs="Tahoma"/>
      <w:sz w:val="20"/>
      <w:szCs w:val="20"/>
      <w:shd w:val="clear" w:color="auto" w:fill="000080"/>
    </w:rPr>
  </w:style>
  <w:style w:type="paragraph" w:styleId="CommentSubject">
    <w:name w:val="annotation subject"/>
    <w:basedOn w:val="CommentText"/>
    <w:next w:val="CommentText"/>
    <w:link w:val="CommentSubjectChar"/>
    <w:uiPriority w:val="99"/>
    <w:semiHidden/>
    <w:rsid w:val="00642C07"/>
    <w:rPr>
      <w:b/>
      <w:bCs/>
    </w:rPr>
  </w:style>
  <w:style w:type="character" w:customStyle="1" w:styleId="CommentSubjectChar">
    <w:name w:val="Comment Subject Char"/>
    <w:basedOn w:val="CommentTextChar"/>
    <w:link w:val="CommentSubject"/>
    <w:uiPriority w:val="99"/>
    <w:semiHidden/>
    <w:rsid w:val="00642C07"/>
    <w:rPr>
      <w:b/>
      <w:bCs/>
    </w:rPr>
  </w:style>
  <w:style w:type="paragraph" w:styleId="BalloonText">
    <w:name w:val="Balloon Text"/>
    <w:basedOn w:val="Normal"/>
    <w:link w:val="BalloonTextChar"/>
    <w:uiPriority w:val="99"/>
    <w:semiHidden/>
    <w:rsid w:val="00642C0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42C07"/>
    <w:rPr>
      <w:rFonts w:ascii="Tahoma" w:hAnsi="Tahoma" w:cs="Tahoma"/>
      <w:sz w:val="16"/>
      <w:szCs w:val="16"/>
      <w:lang w:eastAsia="pl-PL"/>
    </w:rPr>
  </w:style>
  <w:style w:type="paragraph" w:styleId="Quote">
    <w:name w:val="Quote"/>
    <w:basedOn w:val="Normal"/>
    <w:next w:val="Normal"/>
    <w:link w:val="QuoteChar"/>
    <w:uiPriority w:val="99"/>
    <w:qFormat/>
    <w:rsid w:val="00642C07"/>
    <w:pPr>
      <w:spacing w:before="200" w:after="160" w:line="276" w:lineRule="auto"/>
      <w:ind w:left="864" w:right="864"/>
      <w:jc w:val="center"/>
    </w:pPr>
    <w:rPr>
      <w:rFonts w:ascii="Calibri" w:hAnsi="Calibri" w:cs="Calibri"/>
      <w:i/>
      <w:iCs/>
      <w:color w:val="404040"/>
      <w:sz w:val="22"/>
      <w:szCs w:val="22"/>
      <w:lang w:eastAsia="en-US"/>
    </w:rPr>
  </w:style>
  <w:style w:type="character" w:customStyle="1" w:styleId="QuoteChar">
    <w:name w:val="Quote Char"/>
    <w:basedOn w:val="DefaultParagraphFont"/>
    <w:link w:val="Quote"/>
    <w:uiPriority w:val="99"/>
    <w:rsid w:val="00642C07"/>
    <w:rPr>
      <w:rFonts w:ascii="Calibri" w:hAnsi="Calibri" w:cs="Calibri"/>
      <w:i/>
      <w:iCs/>
      <w:color w:val="404040"/>
    </w:rPr>
  </w:style>
  <w:style w:type="paragraph" w:styleId="IntenseQuote">
    <w:name w:val="Intense Quote"/>
    <w:basedOn w:val="Normal"/>
    <w:next w:val="Normal"/>
    <w:link w:val="IntenseQuoteChar"/>
    <w:uiPriority w:val="99"/>
    <w:qFormat/>
    <w:rsid w:val="00642C07"/>
    <w:pPr>
      <w:pBdr>
        <w:top w:val="single" w:sz="4" w:space="10" w:color="5B9BD5"/>
        <w:bottom w:val="single" w:sz="4" w:space="10" w:color="5B9BD5"/>
      </w:pBdr>
      <w:spacing w:before="360" w:after="360" w:line="276" w:lineRule="auto"/>
      <w:ind w:left="864" w:right="864"/>
      <w:jc w:val="center"/>
    </w:pPr>
    <w:rPr>
      <w:rFonts w:ascii="Calibri" w:hAnsi="Calibri" w:cs="Calibri"/>
      <w:i/>
      <w:iCs/>
      <w:color w:val="5B9BD5"/>
      <w:sz w:val="22"/>
      <w:szCs w:val="22"/>
      <w:lang w:eastAsia="en-US"/>
    </w:rPr>
  </w:style>
  <w:style w:type="character" w:customStyle="1" w:styleId="IntenseQuoteChar">
    <w:name w:val="Intense Quote Char"/>
    <w:basedOn w:val="DefaultParagraphFont"/>
    <w:link w:val="IntenseQuote"/>
    <w:uiPriority w:val="99"/>
    <w:rsid w:val="00642C07"/>
    <w:rPr>
      <w:rFonts w:ascii="Calibri" w:hAnsi="Calibri" w:cs="Calibri"/>
      <w:i/>
      <w:iCs/>
      <w:color w:val="5B9BD5"/>
    </w:rPr>
  </w:style>
  <w:style w:type="paragraph" w:customStyle="1" w:styleId="Nagwektabeli">
    <w:name w:val="Nagłówek tabeli"/>
    <w:basedOn w:val="Normal"/>
    <w:uiPriority w:val="99"/>
    <w:rsid w:val="00642C07"/>
    <w:pPr>
      <w:suppressLineNumbers/>
      <w:suppressAutoHyphens/>
      <w:spacing w:before="0" w:after="0" w:line="240" w:lineRule="auto"/>
      <w:jc w:val="center"/>
    </w:pPr>
    <w:rPr>
      <w:rFonts w:ascii="Calibri" w:hAnsi="Calibri" w:cs="Calibri"/>
      <w:b/>
      <w:bCs/>
      <w:lang w:eastAsia="ar-SA"/>
    </w:rPr>
  </w:style>
  <w:style w:type="paragraph" w:customStyle="1" w:styleId="Nagwek3">
    <w:name w:val="Nagłówek3"/>
    <w:basedOn w:val="Normal"/>
    <w:next w:val="BodyText"/>
    <w:uiPriority w:val="99"/>
    <w:semiHidden/>
    <w:rsid w:val="00642C07"/>
    <w:pPr>
      <w:keepNext/>
      <w:suppressAutoHyphens/>
      <w:spacing w:after="120" w:line="240" w:lineRule="auto"/>
    </w:pPr>
    <w:rPr>
      <w:rFonts w:ascii="Arial" w:eastAsia="Microsoft YaHei" w:hAnsi="Arial" w:cs="Arial"/>
      <w:sz w:val="28"/>
      <w:szCs w:val="28"/>
      <w:lang w:eastAsia="ar-SA"/>
    </w:rPr>
  </w:style>
  <w:style w:type="paragraph" w:customStyle="1" w:styleId="Podpis3">
    <w:name w:val="Podpis3"/>
    <w:basedOn w:val="Normal"/>
    <w:uiPriority w:val="99"/>
    <w:semiHidden/>
    <w:rsid w:val="00642C07"/>
    <w:pPr>
      <w:suppressLineNumbers/>
      <w:suppressAutoHyphens/>
      <w:spacing w:before="120" w:after="120" w:line="240" w:lineRule="auto"/>
    </w:pPr>
    <w:rPr>
      <w:rFonts w:ascii="Calibri" w:hAnsi="Calibri" w:cs="Calibri"/>
      <w:i/>
      <w:iCs/>
      <w:lang w:eastAsia="ar-SA"/>
    </w:rPr>
  </w:style>
  <w:style w:type="paragraph" w:customStyle="1" w:styleId="Indeks">
    <w:name w:val="Indeks"/>
    <w:basedOn w:val="Normal"/>
    <w:uiPriority w:val="99"/>
    <w:rsid w:val="00642C07"/>
    <w:pPr>
      <w:suppressLineNumbers/>
      <w:suppressAutoHyphens/>
      <w:spacing w:before="0" w:after="0" w:line="240" w:lineRule="auto"/>
    </w:pPr>
    <w:rPr>
      <w:rFonts w:ascii="Calibri" w:hAnsi="Calibri" w:cs="Calibri"/>
      <w:lang w:eastAsia="ar-SA"/>
    </w:rPr>
  </w:style>
  <w:style w:type="paragraph" w:customStyle="1" w:styleId="Nagwek2">
    <w:name w:val="Nagłówek2"/>
    <w:basedOn w:val="Normal"/>
    <w:next w:val="BodyText"/>
    <w:uiPriority w:val="99"/>
    <w:rsid w:val="00642C07"/>
    <w:pPr>
      <w:keepNext/>
      <w:suppressAutoHyphens/>
      <w:spacing w:after="120" w:line="240" w:lineRule="auto"/>
    </w:pPr>
    <w:rPr>
      <w:rFonts w:ascii="Arial" w:eastAsia="Microsoft YaHei" w:hAnsi="Arial" w:cs="Arial"/>
      <w:sz w:val="28"/>
      <w:szCs w:val="28"/>
      <w:lang w:eastAsia="ar-SA"/>
    </w:rPr>
  </w:style>
  <w:style w:type="paragraph" w:customStyle="1" w:styleId="Podpis2">
    <w:name w:val="Podpis2"/>
    <w:basedOn w:val="Normal"/>
    <w:uiPriority w:val="99"/>
    <w:rsid w:val="00642C07"/>
    <w:pPr>
      <w:suppressLineNumbers/>
      <w:suppressAutoHyphens/>
      <w:spacing w:before="120" w:after="120" w:line="240" w:lineRule="auto"/>
    </w:pPr>
    <w:rPr>
      <w:rFonts w:ascii="Calibri" w:hAnsi="Calibri" w:cs="Calibri"/>
      <w:i/>
      <w:iCs/>
      <w:lang w:eastAsia="ar-SA"/>
    </w:rPr>
  </w:style>
  <w:style w:type="paragraph" w:customStyle="1" w:styleId="Nagwek1">
    <w:name w:val="Nagłówek1"/>
    <w:basedOn w:val="Normal"/>
    <w:next w:val="BodyText"/>
    <w:uiPriority w:val="99"/>
    <w:rsid w:val="00642C07"/>
    <w:pPr>
      <w:keepNext/>
      <w:suppressAutoHyphens/>
      <w:spacing w:after="120" w:line="240" w:lineRule="auto"/>
    </w:pPr>
    <w:rPr>
      <w:rFonts w:ascii="Arial" w:eastAsia="Microsoft YaHei" w:hAnsi="Arial" w:cs="Arial"/>
      <w:sz w:val="28"/>
      <w:szCs w:val="28"/>
      <w:lang w:eastAsia="ar-SA"/>
    </w:rPr>
  </w:style>
  <w:style w:type="paragraph" w:customStyle="1" w:styleId="Podpis1">
    <w:name w:val="Podpis1"/>
    <w:basedOn w:val="Normal"/>
    <w:uiPriority w:val="99"/>
    <w:rsid w:val="00642C07"/>
    <w:pPr>
      <w:suppressLineNumbers/>
      <w:suppressAutoHyphens/>
      <w:spacing w:before="120" w:after="120" w:line="240" w:lineRule="auto"/>
    </w:pPr>
    <w:rPr>
      <w:rFonts w:ascii="Calibri" w:hAnsi="Calibri" w:cs="Calibri"/>
      <w:i/>
      <w:iCs/>
      <w:lang w:eastAsia="ar-SA"/>
    </w:rPr>
  </w:style>
  <w:style w:type="paragraph" w:customStyle="1" w:styleId="Zawartotabeli">
    <w:name w:val="Zawartość tabeli"/>
    <w:basedOn w:val="Normal"/>
    <w:uiPriority w:val="99"/>
    <w:rsid w:val="00642C07"/>
    <w:pPr>
      <w:suppressLineNumbers/>
      <w:suppressAutoHyphens/>
      <w:spacing w:before="0" w:after="0" w:line="240" w:lineRule="auto"/>
    </w:pPr>
    <w:rPr>
      <w:rFonts w:ascii="Calibri" w:hAnsi="Calibri" w:cs="Calibri"/>
      <w:lang w:eastAsia="ar-SA"/>
    </w:rPr>
  </w:style>
  <w:style w:type="paragraph" w:customStyle="1" w:styleId="Zawartoramki">
    <w:name w:val="Zawartość ramki"/>
    <w:basedOn w:val="BodyText"/>
    <w:uiPriority w:val="99"/>
    <w:semiHidden/>
    <w:rsid w:val="00642C07"/>
    <w:pPr>
      <w:suppressAutoHyphens/>
      <w:jc w:val="center"/>
    </w:pPr>
    <w:rPr>
      <w:rFonts w:ascii="Calibri" w:hAnsi="Calibri" w:cs="Calibri"/>
      <w:b/>
      <w:bCs/>
      <w:lang w:eastAsia="ar-SA"/>
    </w:rPr>
  </w:style>
  <w:style w:type="paragraph" w:customStyle="1" w:styleId="Nagwek4">
    <w:name w:val="Nagłówek4"/>
    <w:basedOn w:val="Normal"/>
    <w:next w:val="BodyText"/>
    <w:uiPriority w:val="99"/>
    <w:semiHidden/>
    <w:rsid w:val="00642C07"/>
    <w:pPr>
      <w:keepNext/>
      <w:suppressAutoHyphens/>
      <w:spacing w:after="120" w:line="240" w:lineRule="auto"/>
    </w:pPr>
    <w:rPr>
      <w:rFonts w:ascii="Arial" w:eastAsia="Microsoft YaHei" w:hAnsi="Arial" w:cs="Arial"/>
      <w:sz w:val="28"/>
      <w:szCs w:val="28"/>
      <w:lang w:eastAsia="ar-SA"/>
    </w:rPr>
  </w:style>
  <w:style w:type="paragraph" w:customStyle="1" w:styleId="Podpis4">
    <w:name w:val="Podpis4"/>
    <w:basedOn w:val="Normal"/>
    <w:uiPriority w:val="99"/>
    <w:semiHidden/>
    <w:rsid w:val="00642C07"/>
    <w:pPr>
      <w:suppressLineNumbers/>
      <w:suppressAutoHyphens/>
      <w:spacing w:before="120" w:after="120" w:line="240" w:lineRule="auto"/>
    </w:pPr>
    <w:rPr>
      <w:rFonts w:ascii="Calibri" w:hAnsi="Calibri" w:cs="Calibri"/>
      <w:i/>
      <w:iCs/>
      <w:lang w:eastAsia="ar-SA"/>
    </w:rPr>
  </w:style>
  <w:style w:type="paragraph" w:customStyle="1" w:styleId="Akapitzlist1">
    <w:name w:val="Akapit z listą1"/>
    <w:basedOn w:val="Normal"/>
    <w:uiPriority w:val="99"/>
    <w:semiHidden/>
    <w:rsid w:val="00642C07"/>
    <w:pPr>
      <w:spacing w:before="0" w:after="200" w:line="276" w:lineRule="auto"/>
      <w:ind w:left="720"/>
    </w:pPr>
    <w:rPr>
      <w:rFonts w:ascii="Calibri" w:hAnsi="Calibri" w:cs="Calibri"/>
      <w:sz w:val="22"/>
      <w:szCs w:val="22"/>
      <w:lang w:eastAsia="en-US"/>
    </w:rPr>
  </w:style>
  <w:style w:type="paragraph" w:customStyle="1" w:styleId="Akapitzlist2">
    <w:name w:val="Akapit z listą2"/>
    <w:basedOn w:val="Standard"/>
    <w:uiPriority w:val="99"/>
    <w:rsid w:val="00642C07"/>
    <w:pPr>
      <w:widowControl w:val="0"/>
      <w:spacing w:after="0" w:line="240" w:lineRule="auto"/>
      <w:ind w:left="720"/>
      <w:textAlignment w:val="auto"/>
    </w:pPr>
    <w:rPr>
      <w:rFonts w:ascii="Times New Roman" w:eastAsia="Times New Roman" w:hAnsi="Times New Roman" w:cs="Times New Roman"/>
      <w:sz w:val="24"/>
      <w:szCs w:val="24"/>
      <w:lang w:eastAsia="zh-CN"/>
    </w:rPr>
  </w:style>
  <w:style w:type="character" w:styleId="FootnoteReference">
    <w:name w:val="footnote reference"/>
    <w:basedOn w:val="DefaultParagraphFont"/>
    <w:uiPriority w:val="99"/>
    <w:semiHidden/>
    <w:rsid w:val="00642C07"/>
    <w:rPr>
      <w:vertAlign w:val="superscript"/>
    </w:rPr>
  </w:style>
  <w:style w:type="character" w:styleId="CommentReference">
    <w:name w:val="annotation reference"/>
    <w:basedOn w:val="DefaultParagraphFont"/>
    <w:uiPriority w:val="99"/>
    <w:semiHidden/>
    <w:rsid w:val="00642C07"/>
    <w:rPr>
      <w:sz w:val="16"/>
      <w:szCs w:val="16"/>
    </w:rPr>
  </w:style>
  <w:style w:type="character" w:styleId="EndnoteReference">
    <w:name w:val="endnote reference"/>
    <w:basedOn w:val="DefaultParagraphFont"/>
    <w:uiPriority w:val="99"/>
    <w:semiHidden/>
    <w:rsid w:val="00642C07"/>
    <w:rPr>
      <w:vertAlign w:val="superscript"/>
    </w:rPr>
  </w:style>
  <w:style w:type="character" w:styleId="SubtleEmphasis">
    <w:name w:val="Subtle Emphasis"/>
    <w:basedOn w:val="DefaultParagraphFont"/>
    <w:uiPriority w:val="99"/>
    <w:qFormat/>
    <w:rsid w:val="00642C07"/>
    <w:rPr>
      <w:i/>
      <w:iCs/>
      <w:color w:val="404040"/>
    </w:rPr>
  </w:style>
  <w:style w:type="character" w:styleId="IntenseEmphasis">
    <w:name w:val="Intense Emphasis"/>
    <w:basedOn w:val="DefaultParagraphFont"/>
    <w:uiPriority w:val="99"/>
    <w:qFormat/>
    <w:rsid w:val="00642C07"/>
    <w:rPr>
      <w:i/>
      <w:iCs/>
      <w:color w:val="5B9BD5"/>
    </w:rPr>
  </w:style>
  <w:style w:type="character" w:styleId="SubtleReference">
    <w:name w:val="Subtle Reference"/>
    <w:basedOn w:val="DefaultParagraphFont"/>
    <w:uiPriority w:val="99"/>
    <w:qFormat/>
    <w:rsid w:val="00642C07"/>
    <w:rPr>
      <w:smallCaps/>
      <w:color w:val="5A5A5A"/>
    </w:rPr>
  </w:style>
  <w:style w:type="character" w:customStyle="1" w:styleId="apple-converted-space">
    <w:name w:val="apple-converted-space"/>
    <w:basedOn w:val="DefaultParagraphFont"/>
    <w:uiPriority w:val="99"/>
    <w:rsid w:val="00642C07"/>
  </w:style>
  <w:style w:type="character" w:customStyle="1" w:styleId="ZnakZnak18">
    <w:name w:val="Znak Znak18"/>
    <w:uiPriority w:val="99"/>
    <w:rsid w:val="00642C07"/>
    <w:rPr>
      <w:rFonts w:ascii="Arial" w:hAnsi="Arial" w:cs="Arial"/>
      <w:b/>
      <w:bCs/>
      <w:kern w:val="32"/>
      <w:sz w:val="32"/>
      <w:szCs w:val="32"/>
    </w:rPr>
  </w:style>
  <w:style w:type="character" w:customStyle="1" w:styleId="WW8Num1z0">
    <w:name w:val="WW8Num1z0"/>
    <w:uiPriority w:val="99"/>
    <w:rsid w:val="00642C07"/>
    <w:rPr>
      <w:b/>
      <w:bCs/>
    </w:rPr>
  </w:style>
  <w:style w:type="character" w:customStyle="1" w:styleId="WW8Num1z1">
    <w:name w:val="WW8Num1z1"/>
    <w:uiPriority w:val="99"/>
    <w:rsid w:val="00642C07"/>
  </w:style>
  <w:style w:type="character" w:customStyle="1" w:styleId="WW8Num1z2">
    <w:name w:val="WW8Num1z2"/>
    <w:uiPriority w:val="99"/>
    <w:rsid w:val="00642C07"/>
  </w:style>
  <w:style w:type="character" w:customStyle="1" w:styleId="WW8Num1z3">
    <w:name w:val="WW8Num1z3"/>
    <w:uiPriority w:val="99"/>
    <w:rsid w:val="00642C07"/>
  </w:style>
  <w:style w:type="character" w:customStyle="1" w:styleId="WW8Num1z4">
    <w:name w:val="WW8Num1z4"/>
    <w:uiPriority w:val="99"/>
    <w:rsid w:val="00642C07"/>
  </w:style>
  <w:style w:type="character" w:customStyle="1" w:styleId="WW8Num1z5">
    <w:name w:val="WW8Num1z5"/>
    <w:uiPriority w:val="99"/>
    <w:rsid w:val="00642C07"/>
  </w:style>
  <w:style w:type="character" w:customStyle="1" w:styleId="WW8Num1z6">
    <w:name w:val="WW8Num1z6"/>
    <w:uiPriority w:val="99"/>
    <w:rsid w:val="00642C07"/>
  </w:style>
  <w:style w:type="character" w:customStyle="1" w:styleId="WW8Num1z7">
    <w:name w:val="WW8Num1z7"/>
    <w:uiPriority w:val="99"/>
    <w:rsid w:val="00642C07"/>
  </w:style>
  <w:style w:type="character" w:customStyle="1" w:styleId="WW8Num1z8">
    <w:name w:val="WW8Num1z8"/>
    <w:uiPriority w:val="99"/>
    <w:rsid w:val="00642C07"/>
  </w:style>
  <w:style w:type="character" w:customStyle="1" w:styleId="WW8Num2z0">
    <w:name w:val="WW8Num2z0"/>
    <w:uiPriority w:val="99"/>
    <w:rsid w:val="00642C07"/>
  </w:style>
  <w:style w:type="character" w:customStyle="1" w:styleId="WW8Num2z1">
    <w:name w:val="WW8Num2z1"/>
    <w:uiPriority w:val="99"/>
    <w:rsid w:val="00642C07"/>
  </w:style>
  <w:style w:type="character" w:customStyle="1" w:styleId="WW8Num2z2">
    <w:name w:val="WW8Num2z2"/>
    <w:uiPriority w:val="99"/>
    <w:rsid w:val="00642C07"/>
  </w:style>
  <w:style w:type="character" w:customStyle="1" w:styleId="WW8Num2z3">
    <w:name w:val="WW8Num2z3"/>
    <w:uiPriority w:val="99"/>
    <w:rsid w:val="00642C07"/>
  </w:style>
  <w:style w:type="character" w:customStyle="1" w:styleId="WW8Num2z4">
    <w:name w:val="WW8Num2z4"/>
    <w:uiPriority w:val="99"/>
    <w:rsid w:val="00642C07"/>
  </w:style>
  <w:style w:type="character" w:customStyle="1" w:styleId="WW8Num2z5">
    <w:name w:val="WW8Num2z5"/>
    <w:uiPriority w:val="99"/>
    <w:rsid w:val="00642C07"/>
  </w:style>
  <w:style w:type="character" w:customStyle="1" w:styleId="WW8Num2z6">
    <w:name w:val="WW8Num2z6"/>
    <w:uiPriority w:val="99"/>
    <w:rsid w:val="00642C07"/>
  </w:style>
  <w:style w:type="character" w:customStyle="1" w:styleId="WW8Num2z7">
    <w:name w:val="WW8Num2z7"/>
    <w:uiPriority w:val="99"/>
    <w:rsid w:val="00642C07"/>
  </w:style>
  <w:style w:type="character" w:customStyle="1" w:styleId="WW8Num2z8">
    <w:name w:val="WW8Num2z8"/>
    <w:uiPriority w:val="99"/>
    <w:rsid w:val="00642C07"/>
  </w:style>
  <w:style w:type="character" w:customStyle="1" w:styleId="WW8Num3z0">
    <w:name w:val="WW8Num3z0"/>
    <w:uiPriority w:val="99"/>
    <w:rsid w:val="00642C07"/>
    <w:rPr>
      <w:b/>
      <w:bCs/>
    </w:rPr>
  </w:style>
  <w:style w:type="character" w:customStyle="1" w:styleId="WW8Num3z1">
    <w:name w:val="WW8Num3z1"/>
    <w:uiPriority w:val="99"/>
    <w:rsid w:val="00642C07"/>
  </w:style>
  <w:style w:type="character" w:customStyle="1" w:styleId="WW8Num3z2">
    <w:name w:val="WW8Num3z2"/>
    <w:uiPriority w:val="99"/>
    <w:rsid w:val="00642C07"/>
    <w:rPr>
      <w:b/>
      <w:bCs/>
    </w:rPr>
  </w:style>
  <w:style w:type="character" w:customStyle="1" w:styleId="WW8Num3z3">
    <w:name w:val="WW8Num3z3"/>
    <w:uiPriority w:val="99"/>
    <w:rsid w:val="00642C07"/>
  </w:style>
  <w:style w:type="character" w:customStyle="1" w:styleId="WW8Num3z4">
    <w:name w:val="WW8Num3z4"/>
    <w:uiPriority w:val="99"/>
    <w:rsid w:val="00642C07"/>
  </w:style>
  <w:style w:type="character" w:customStyle="1" w:styleId="WW8Num3z5">
    <w:name w:val="WW8Num3z5"/>
    <w:uiPriority w:val="99"/>
    <w:rsid w:val="00642C07"/>
  </w:style>
  <w:style w:type="character" w:customStyle="1" w:styleId="WW8Num3z6">
    <w:name w:val="WW8Num3z6"/>
    <w:uiPriority w:val="99"/>
    <w:rsid w:val="00642C07"/>
  </w:style>
  <w:style w:type="character" w:customStyle="1" w:styleId="WW8Num3z7">
    <w:name w:val="WW8Num3z7"/>
    <w:uiPriority w:val="99"/>
    <w:rsid w:val="00642C07"/>
  </w:style>
  <w:style w:type="character" w:customStyle="1" w:styleId="WW8Num3z8">
    <w:name w:val="WW8Num3z8"/>
    <w:uiPriority w:val="99"/>
    <w:rsid w:val="00642C07"/>
  </w:style>
  <w:style w:type="character" w:customStyle="1" w:styleId="Domylnaczcionkaakapitu3">
    <w:name w:val="Domyślna czcionka akapitu3"/>
    <w:uiPriority w:val="99"/>
    <w:rsid w:val="00642C07"/>
  </w:style>
  <w:style w:type="character" w:customStyle="1" w:styleId="Domylnaczcionkaakapitu2">
    <w:name w:val="Domyślna czcionka akapitu2"/>
    <w:uiPriority w:val="99"/>
    <w:rsid w:val="00642C07"/>
  </w:style>
  <w:style w:type="character" w:customStyle="1" w:styleId="WW8Num4z0">
    <w:name w:val="WW8Num4z0"/>
    <w:uiPriority w:val="99"/>
    <w:rsid w:val="00642C07"/>
  </w:style>
  <w:style w:type="character" w:customStyle="1" w:styleId="WW8Num4z1">
    <w:name w:val="WW8Num4z1"/>
    <w:uiPriority w:val="99"/>
    <w:rsid w:val="00642C07"/>
  </w:style>
  <w:style w:type="character" w:customStyle="1" w:styleId="WW8Num4z2">
    <w:name w:val="WW8Num4z2"/>
    <w:uiPriority w:val="99"/>
    <w:rsid w:val="00642C07"/>
  </w:style>
  <w:style w:type="character" w:customStyle="1" w:styleId="WW8Num4z3">
    <w:name w:val="WW8Num4z3"/>
    <w:uiPriority w:val="99"/>
    <w:rsid w:val="00642C07"/>
  </w:style>
  <w:style w:type="character" w:customStyle="1" w:styleId="WW8Num4z4">
    <w:name w:val="WW8Num4z4"/>
    <w:uiPriority w:val="99"/>
    <w:rsid w:val="00642C07"/>
  </w:style>
  <w:style w:type="character" w:customStyle="1" w:styleId="WW8Num4z5">
    <w:name w:val="WW8Num4z5"/>
    <w:uiPriority w:val="99"/>
    <w:rsid w:val="00642C07"/>
  </w:style>
  <w:style w:type="character" w:customStyle="1" w:styleId="WW8Num4z6">
    <w:name w:val="WW8Num4z6"/>
    <w:uiPriority w:val="99"/>
    <w:rsid w:val="00642C07"/>
  </w:style>
  <w:style w:type="character" w:customStyle="1" w:styleId="WW8Num4z7">
    <w:name w:val="WW8Num4z7"/>
    <w:uiPriority w:val="99"/>
    <w:rsid w:val="00642C07"/>
  </w:style>
  <w:style w:type="character" w:customStyle="1" w:styleId="WW8Num4z8">
    <w:name w:val="WW8Num4z8"/>
    <w:uiPriority w:val="99"/>
    <w:rsid w:val="00642C07"/>
  </w:style>
  <w:style w:type="character" w:customStyle="1" w:styleId="WW8Num5z0">
    <w:name w:val="WW8Num5z0"/>
    <w:uiPriority w:val="99"/>
    <w:rsid w:val="00642C07"/>
    <w:rPr>
      <w:i/>
      <w:iCs/>
      <w:color w:val="auto"/>
      <w:sz w:val="20"/>
      <w:szCs w:val="20"/>
    </w:rPr>
  </w:style>
  <w:style w:type="character" w:customStyle="1" w:styleId="WW8Num5z1">
    <w:name w:val="WW8Num5z1"/>
    <w:uiPriority w:val="99"/>
    <w:rsid w:val="00642C07"/>
  </w:style>
  <w:style w:type="character" w:customStyle="1" w:styleId="WW8Num5z2">
    <w:name w:val="WW8Num5z2"/>
    <w:uiPriority w:val="99"/>
    <w:rsid w:val="00642C07"/>
  </w:style>
  <w:style w:type="character" w:customStyle="1" w:styleId="WW8Num5z3">
    <w:name w:val="WW8Num5z3"/>
    <w:uiPriority w:val="99"/>
    <w:rsid w:val="00642C07"/>
  </w:style>
  <w:style w:type="character" w:customStyle="1" w:styleId="WW8Num5z4">
    <w:name w:val="WW8Num5z4"/>
    <w:uiPriority w:val="99"/>
    <w:rsid w:val="00642C07"/>
  </w:style>
  <w:style w:type="character" w:customStyle="1" w:styleId="WW8Num5z5">
    <w:name w:val="WW8Num5z5"/>
    <w:uiPriority w:val="99"/>
    <w:rsid w:val="00642C07"/>
  </w:style>
  <w:style w:type="character" w:customStyle="1" w:styleId="WW8Num5z6">
    <w:name w:val="WW8Num5z6"/>
    <w:uiPriority w:val="99"/>
    <w:rsid w:val="00642C07"/>
  </w:style>
  <w:style w:type="character" w:customStyle="1" w:styleId="WW8Num5z7">
    <w:name w:val="WW8Num5z7"/>
    <w:uiPriority w:val="99"/>
    <w:rsid w:val="00642C07"/>
  </w:style>
  <w:style w:type="character" w:customStyle="1" w:styleId="WW8Num5z8">
    <w:name w:val="WW8Num5z8"/>
    <w:uiPriority w:val="99"/>
    <w:rsid w:val="00642C07"/>
  </w:style>
  <w:style w:type="character" w:customStyle="1" w:styleId="WW8Num6z0">
    <w:name w:val="WW8Num6z0"/>
    <w:uiPriority w:val="99"/>
    <w:rsid w:val="00642C07"/>
    <w:rPr>
      <w:b/>
      <w:bCs/>
    </w:rPr>
  </w:style>
  <w:style w:type="character" w:customStyle="1" w:styleId="WW8Num6z1">
    <w:name w:val="WW8Num6z1"/>
    <w:uiPriority w:val="99"/>
    <w:rsid w:val="00642C07"/>
  </w:style>
  <w:style w:type="character" w:customStyle="1" w:styleId="WW8Num6z2">
    <w:name w:val="WW8Num6z2"/>
    <w:uiPriority w:val="99"/>
    <w:rsid w:val="00642C07"/>
  </w:style>
  <w:style w:type="character" w:customStyle="1" w:styleId="WW8Num6z3">
    <w:name w:val="WW8Num6z3"/>
    <w:uiPriority w:val="99"/>
    <w:rsid w:val="00642C07"/>
  </w:style>
  <w:style w:type="character" w:customStyle="1" w:styleId="WW8Num6z4">
    <w:name w:val="WW8Num6z4"/>
    <w:uiPriority w:val="99"/>
    <w:rsid w:val="00642C07"/>
  </w:style>
  <w:style w:type="character" w:customStyle="1" w:styleId="WW8Num6z5">
    <w:name w:val="WW8Num6z5"/>
    <w:uiPriority w:val="99"/>
    <w:rsid w:val="00642C07"/>
  </w:style>
  <w:style w:type="character" w:customStyle="1" w:styleId="WW8Num6z6">
    <w:name w:val="WW8Num6z6"/>
    <w:uiPriority w:val="99"/>
    <w:rsid w:val="00642C07"/>
  </w:style>
  <w:style w:type="character" w:customStyle="1" w:styleId="WW8Num6z7">
    <w:name w:val="WW8Num6z7"/>
    <w:uiPriority w:val="99"/>
    <w:rsid w:val="00642C07"/>
  </w:style>
  <w:style w:type="character" w:customStyle="1" w:styleId="WW8Num6z8">
    <w:name w:val="WW8Num6z8"/>
    <w:uiPriority w:val="99"/>
    <w:rsid w:val="00642C07"/>
  </w:style>
  <w:style w:type="character" w:customStyle="1" w:styleId="WW8Num7z0">
    <w:name w:val="WW8Num7z0"/>
    <w:uiPriority w:val="99"/>
    <w:rsid w:val="00642C07"/>
    <w:rPr>
      <w:rFonts w:ascii="Symbol" w:hAnsi="Symbol" w:cs="Symbol"/>
    </w:rPr>
  </w:style>
  <w:style w:type="character" w:customStyle="1" w:styleId="WW8Num7z1">
    <w:name w:val="WW8Num7z1"/>
    <w:uiPriority w:val="99"/>
    <w:rsid w:val="00642C07"/>
    <w:rPr>
      <w:rFonts w:ascii="Courier New" w:hAnsi="Courier New" w:cs="Courier New"/>
    </w:rPr>
  </w:style>
  <w:style w:type="character" w:customStyle="1" w:styleId="WW8Num7z2">
    <w:name w:val="WW8Num7z2"/>
    <w:uiPriority w:val="99"/>
    <w:rsid w:val="00642C07"/>
    <w:rPr>
      <w:rFonts w:ascii="Wingdings" w:hAnsi="Wingdings" w:cs="Wingdings"/>
    </w:rPr>
  </w:style>
  <w:style w:type="character" w:customStyle="1" w:styleId="WW8Num7z3">
    <w:name w:val="WW8Num7z3"/>
    <w:uiPriority w:val="99"/>
    <w:rsid w:val="00642C07"/>
    <w:rPr>
      <w:rFonts w:ascii="Symbol" w:hAnsi="Symbol" w:cs="Symbol"/>
    </w:rPr>
  </w:style>
  <w:style w:type="character" w:customStyle="1" w:styleId="WW8Num8z0">
    <w:name w:val="WW8Num8z0"/>
    <w:uiPriority w:val="99"/>
    <w:rsid w:val="00642C07"/>
    <w:rPr>
      <w:b/>
      <w:bCs/>
    </w:rPr>
  </w:style>
  <w:style w:type="character" w:customStyle="1" w:styleId="WW8Num8z1">
    <w:name w:val="WW8Num8z1"/>
    <w:uiPriority w:val="99"/>
    <w:rsid w:val="00642C07"/>
  </w:style>
  <w:style w:type="character" w:customStyle="1" w:styleId="WW8Num8z2">
    <w:name w:val="WW8Num8z2"/>
    <w:uiPriority w:val="99"/>
    <w:rsid w:val="00642C07"/>
  </w:style>
  <w:style w:type="character" w:customStyle="1" w:styleId="WW8Num8z3">
    <w:name w:val="WW8Num8z3"/>
    <w:uiPriority w:val="99"/>
    <w:rsid w:val="00642C07"/>
  </w:style>
  <w:style w:type="character" w:customStyle="1" w:styleId="WW8Num8z4">
    <w:name w:val="WW8Num8z4"/>
    <w:uiPriority w:val="99"/>
    <w:rsid w:val="00642C07"/>
  </w:style>
  <w:style w:type="character" w:customStyle="1" w:styleId="WW8Num8z5">
    <w:name w:val="WW8Num8z5"/>
    <w:uiPriority w:val="99"/>
    <w:rsid w:val="00642C07"/>
  </w:style>
  <w:style w:type="character" w:customStyle="1" w:styleId="WW8Num8z6">
    <w:name w:val="WW8Num8z6"/>
    <w:uiPriority w:val="99"/>
    <w:rsid w:val="00642C07"/>
  </w:style>
  <w:style w:type="character" w:customStyle="1" w:styleId="WW8Num8z7">
    <w:name w:val="WW8Num8z7"/>
    <w:uiPriority w:val="99"/>
    <w:rsid w:val="00642C07"/>
  </w:style>
  <w:style w:type="character" w:customStyle="1" w:styleId="WW8Num8z8">
    <w:name w:val="WW8Num8z8"/>
    <w:uiPriority w:val="99"/>
    <w:rsid w:val="00642C07"/>
  </w:style>
  <w:style w:type="character" w:customStyle="1" w:styleId="WW8Num9z0">
    <w:name w:val="WW8Num9z0"/>
    <w:uiPriority w:val="99"/>
    <w:rsid w:val="00642C07"/>
    <w:rPr>
      <w:b/>
      <w:bCs/>
    </w:rPr>
  </w:style>
  <w:style w:type="character" w:customStyle="1" w:styleId="WW8Num9z1">
    <w:name w:val="WW8Num9z1"/>
    <w:uiPriority w:val="99"/>
    <w:rsid w:val="00642C07"/>
    <w:rPr>
      <w:rFonts w:ascii="Symbol" w:hAnsi="Symbol" w:cs="Symbol"/>
    </w:rPr>
  </w:style>
  <w:style w:type="character" w:customStyle="1" w:styleId="WW8Num9z2">
    <w:name w:val="WW8Num9z2"/>
    <w:uiPriority w:val="99"/>
    <w:rsid w:val="00642C07"/>
  </w:style>
  <w:style w:type="character" w:customStyle="1" w:styleId="WW8Num9z3">
    <w:name w:val="WW8Num9z3"/>
    <w:uiPriority w:val="99"/>
    <w:rsid w:val="00642C07"/>
  </w:style>
  <w:style w:type="character" w:customStyle="1" w:styleId="WW8Num9z4">
    <w:name w:val="WW8Num9z4"/>
    <w:uiPriority w:val="99"/>
    <w:rsid w:val="00642C07"/>
  </w:style>
  <w:style w:type="character" w:customStyle="1" w:styleId="WW8Num9z5">
    <w:name w:val="WW8Num9z5"/>
    <w:uiPriority w:val="99"/>
    <w:rsid w:val="00642C07"/>
  </w:style>
  <w:style w:type="character" w:customStyle="1" w:styleId="WW8Num9z6">
    <w:name w:val="WW8Num9z6"/>
    <w:uiPriority w:val="99"/>
    <w:rsid w:val="00642C07"/>
  </w:style>
  <w:style w:type="character" w:customStyle="1" w:styleId="WW8Num9z7">
    <w:name w:val="WW8Num9z7"/>
    <w:uiPriority w:val="99"/>
    <w:rsid w:val="00642C07"/>
  </w:style>
  <w:style w:type="character" w:customStyle="1" w:styleId="WW8Num9z8">
    <w:name w:val="WW8Num9z8"/>
    <w:uiPriority w:val="99"/>
    <w:rsid w:val="00642C07"/>
  </w:style>
  <w:style w:type="character" w:customStyle="1" w:styleId="WW8Num10z0">
    <w:name w:val="WW8Num10z0"/>
    <w:uiPriority w:val="99"/>
    <w:rsid w:val="00642C07"/>
  </w:style>
  <w:style w:type="character" w:customStyle="1" w:styleId="WW8Num11z0">
    <w:name w:val="WW8Num11z0"/>
    <w:uiPriority w:val="99"/>
    <w:rsid w:val="00642C07"/>
  </w:style>
  <w:style w:type="character" w:customStyle="1" w:styleId="WW8Num11z1">
    <w:name w:val="WW8Num11z1"/>
    <w:uiPriority w:val="99"/>
    <w:rsid w:val="00642C07"/>
  </w:style>
  <w:style w:type="character" w:customStyle="1" w:styleId="WW8Num11z2">
    <w:name w:val="WW8Num11z2"/>
    <w:uiPriority w:val="99"/>
    <w:rsid w:val="00642C07"/>
  </w:style>
  <w:style w:type="character" w:customStyle="1" w:styleId="WW8Num11z3">
    <w:name w:val="WW8Num11z3"/>
    <w:uiPriority w:val="99"/>
    <w:rsid w:val="00642C07"/>
  </w:style>
  <w:style w:type="character" w:customStyle="1" w:styleId="WW8Num11z4">
    <w:name w:val="WW8Num11z4"/>
    <w:uiPriority w:val="99"/>
    <w:rsid w:val="00642C07"/>
  </w:style>
  <w:style w:type="character" w:customStyle="1" w:styleId="WW8Num11z5">
    <w:name w:val="WW8Num11z5"/>
    <w:uiPriority w:val="99"/>
    <w:rsid w:val="00642C07"/>
  </w:style>
  <w:style w:type="character" w:customStyle="1" w:styleId="WW8Num11z6">
    <w:name w:val="WW8Num11z6"/>
    <w:uiPriority w:val="99"/>
    <w:rsid w:val="00642C07"/>
  </w:style>
  <w:style w:type="character" w:customStyle="1" w:styleId="WW8Num11z7">
    <w:name w:val="WW8Num11z7"/>
    <w:uiPriority w:val="99"/>
    <w:rsid w:val="00642C07"/>
  </w:style>
  <w:style w:type="character" w:customStyle="1" w:styleId="WW8Num11z8">
    <w:name w:val="WW8Num11z8"/>
    <w:uiPriority w:val="99"/>
    <w:rsid w:val="00642C07"/>
  </w:style>
  <w:style w:type="character" w:customStyle="1" w:styleId="Znakinumeracji">
    <w:name w:val="Znaki numeracji"/>
    <w:uiPriority w:val="99"/>
    <w:rsid w:val="00642C07"/>
  </w:style>
  <w:style w:type="character" w:customStyle="1" w:styleId="Pionowesymbolenumeracji">
    <w:name w:val="Pionowe symbole numeracji"/>
    <w:uiPriority w:val="99"/>
    <w:rsid w:val="00642C07"/>
  </w:style>
  <w:style w:type="character" w:customStyle="1" w:styleId="Domylnaczcionkaakapitu4">
    <w:name w:val="Domyślna czcionka akapitu4"/>
    <w:uiPriority w:val="99"/>
    <w:rsid w:val="00642C07"/>
  </w:style>
  <w:style w:type="character" w:customStyle="1" w:styleId="xbe">
    <w:name w:val="_xbe"/>
    <w:uiPriority w:val="99"/>
    <w:rsid w:val="00642C07"/>
  </w:style>
  <w:style w:type="table" w:styleId="TableGrid">
    <w:name w:val="Table Grid"/>
    <w:basedOn w:val="TableNormal"/>
    <w:uiPriority w:val="99"/>
    <w:rsid w:val="00642C07"/>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uiPriority w:val="99"/>
    <w:rsid w:val="00642C07"/>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42C07"/>
    <w:rPr>
      <w:b/>
      <w:bCs/>
    </w:rPr>
  </w:style>
  <w:style w:type="paragraph" w:styleId="TOC2">
    <w:name w:val="toc 2"/>
    <w:basedOn w:val="Normal"/>
    <w:next w:val="Normal"/>
    <w:autoRedefine/>
    <w:uiPriority w:val="99"/>
    <w:semiHidden/>
    <w:rsid w:val="00E50AB1"/>
    <w:pPr>
      <w:spacing w:before="0" w:after="100" w:line="259" w:lineRule="auto"/>
      <w:ind w:left="220"/>
    </w:pPr>
    <w:rPr>
      <w:rFonts w:ascii="Calibri" w:hAnsi="Calibri" w:cs="Calibri"/>
      <w:sz w:val="22"/>
      <w:szCs w:val="22"/>
    </w:rPr>
  </w:style>
  <w:style w:type="paragraph" w:styleId="TOC4">
    <w:name w:val="toc 4"/>
    <w:basedOn w:val="Normal"/>
    <w:next w:val="Normal"/>
    <w:autoRedefine/>
    <w:uiPriority w:val="99"/>
    <w:semiHidden/>
    <w:rsid w:val="00E50AB1"/>
    <w:pPr>
      <w:spacing w:before="0" w:after="100" w:line="259" w:lineRule="auto"/>
      <w:ind w:left="660"/>
    </w:pPr>
    <w:rPr>
      <w:rFonts w:ascii="Calibri" w:hAnsi="Calibri" w:cs="Calibri"/>
      <w:sz w:val="22"/>
      <w:szCs w:val="22"/>
    </w:rPr>
  </w:style>
  <w:style w:type="paragraph" w:styleId="TOC5">
    <w:name w:val="toc 5"/>
    <w:basedOn w:val="Normal"/>
    <w:next w:val="Normal"/>
    <w:autoRedefine/>
    <w:uiPriority w:val="99"/>
    <w:semiHidden/>
    <w:rsid w:val="00E50AB1"/>
    <w:pPr>
      <w:spacing w:before="0" w:after="100" w:line="259" w:lineRule="auto"/>
      <w:ind w:left="880"/>
    </w:pPr>
    <w:rPr>
      <w:rFonts w:ascii="Calibri" w:hAnsi="Calibri" w:cs="Calibri"/>
      <w:sz w:val="22"/>
      <w:szCs w:val="22"/>
    </w:rPr>
  </w:style>
  <w:style w:type="paragraph" w:styleId="TOC6">
    <w:name w:val="toc 6"/>
    <w:basedOn w:val="Normal"/>
    <w:next w:val="Normal"/>
    <w:autoRedefine/>
    <w:uiPriority w:val="99"/>
    <w:semiHidden/>
    <w:rsid w:val="00E50AB1"/>
    <w:pPr>
      <w:spacing w:before="0" w:after="100" w:line="259" w:lineRule="auto"/>
      <w:ind w:left="1100"/>
    </w:pPr>
    <w:rPr>
      <w:rFonts w:ascii="Calibri" w:hAnsi="Calibri" w:cs="Calibri"/>
      <w:sz w:val="22"/>
      <w:szCs w:val="22"/>
    </w:rPr>
  </w:style>
  <w:style w:type="paragraph" w:styleId="TOC7">
    <w:name w:val="toc 7"/>
    <w:basedOn w:val="Normal"/>
    <w:next w:val="Normal"/>
    <w:autoRedefine/>
    <w:uiPriority w:val="99"/>
    <w:semiHidden/>
    <w:rsid w:val="00E50AB1"/>
    <w:pPr>
      <w:spacing w:before="0" w:after="100" w:line="259" w:lineRule="auto"/>
      <w:ind w:left="1320"/>
    </w:pPr>
    <w:rPr>
      <w:rFonts w:ascii="Calibri" w:hAnsi="Calibri" w:cs="Calibri"/>
      <w:sz w:val="22"/>
      <w:szCs w:val="22"/>
    </w:rPr>
  </w:style>
  <w:style w:type="paragraph" w:styleId="TOC8">
    <w:name w:val="toc 8"/>
    <w:basedOn w:val="Normal"/>
    <w:next w:val="Normal"/>
    <w:autoRedefine/>
    <w:uiPriority w:val="99"/>
    <w:semiHidden/>
    <w:rsid w:val="00E50AB1"/>
    <w:pPr>
      <w:spacing w:before="0" w:after="100" w:line="259" w:lineRule="auto"/>
      <w:ind w:left="1540"/>
    </w:pPr>
    <w:rPr>
      <w:rFonts w:ascii="Calibri" w:hAnsi="Calibri" w:cs="Calibri"/>
      <w:sz w:val="22"/>
      <w:szCs w:val="22"/>
    </w:rPr>
  </w:style>
  <w:style w:type="paragraph" w:styleId="TOC9">
    <w:name w:val="toc 9"/>
    <w:basedOn w:val="Normal"/>
    <w:next w:val="Normal"/>
    <w:autoRedefine/>
    <w:uiPriority w:val="99"/>
    <w:semiHidden/>
    <w:rsid w:val="00E50AB1"/>
    <w:pPr>
      <w:spacing w:before="0" w:after="100" w:line="259" w:lineRule="auto"/>
      <w:ind w:left="1760"/>
    </w:pPr>
    <w:rPr>
      <w:rFonts w:ascii="Calibri" w:hAnsi="Calibri" w:cs="Calibri"/>
      <w:sz w:val="22"/>
      <w:szCs w:val="22"/>
    </w:rPr>
  </w:style>
  <w:style w:type="character" w:styleId="Emphasis">
    <w:name w:val="Emphasis"/>
    <w:basedOn w:val="DefaultParagraphFont"/>
    <w:uiPriority w:val="99"/>
    <w:qFormat/>
    <w:rsid w:val="007B5868"/>
    <w:rPr>
      <w:i/>
      <w:iCs/>
    </w:rPr>
  </w:style>
  <w:style w:type="paragraph" w:styleId="TableofFigures">
    <w:name w:val="table of figures"/>
    <w:basedOn w:val="Normal"/>
    <w:next w:val="Normal"/>
    <w:uiPriority w:val="99"/>
    <w:semiHidden/>
    <w:rsid w:val="007B5868"/>
    <w:pPr>
      <w:spacing w:before="0" w:after="0" w:line="240" w:lineRule="auto"/>
      <w:jc w:val="both"/>
    </w:pPr>
  </w:style>
  <w:style w:type="paragraph" w:customStyle="1" w:styleId="Tekstpodstawowy31">
    <w:name w:val="Tekst podstawowy 31"/>
    <w:basedOn w:val="Normal"/>
    <w:uiPriority w:val="99"/>
    <w:rsid w:val="00197432"/>
    <w:pPr>
      <w:suppressAutoHyphens/>
      <w:spacing w:before="0" w:after="0" w:line="240" w:lineRule="auto"/>
      <w:jc w:val="center"/>
    </w:pPr>
    <w:rPr>
      <w:b/>
      <w:bCs/>
      <w:sz w:val="28"/>
      <w:szCs w:val="28"/>
      <w:lang w:eastAsia="ar-SA"/>
    </w:rPr>
  </w:style>
  <w:style w:type="table" w:styleId="MediumGrid3-Accent3">
    <w:name w:val="Medium Grid 3 Accent 3"/>
    <w:basedOn w:val="TableNormal"/>
    <w:uiPriority w:val="99"/>
    <w:rsid w:val="00776EE6"/>
    <w:rPr>
      <w:rFonts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2-Accent3">
    <w:name w:val="Medium Grid 2 Accent 3"/>
    <w:basedOn w:val="TableNormal"/>
    <w:uiPriority w:val="99"/>
    <w:rsid w:val="00776EE6"/>
    <w:rPr>
      <w:rFonts w:ascii="Calibri Light" w:eastAsia="Times New Roman" w:hAnsi="Calibri Light" w:cs="Calibri Light"/>
      <w:color w:val="000000"/>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LightGrid-Accent3">
    <w:name w:val="Light Grid Accent 3"/>
    <w:basedOn w:val="TableNormal"/>
    <w:uiPriority w:val="99"/>
    <w:rsid w:val="00776EE6"/>
    <w:rPr>
      <w:rFonts w:cs="Calibri"/>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pPr>
      <w:rPr>
        <w:rFonts w:ascii="Calibri Light" w:eastAsia="Times New Roman" w:hAnsi="Calibri Light" w:cs="Calibri Ligh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Calibri Ligh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Calibri Light"/>
        <w:b/>
        <w:bCs/>
      </w:rPr>
    </w:tblStylePr>
    <w:tblStylePr w:type="lastCol">
      <w:rPr>
        <w:rFonts w:ascii="Calibri Light" w:eastAsia="Times New Roman" w:hAnsi="Calibri Light" w:cs="Calibri Ligh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List-Accent3">
    <w:name w:val="Light List Accent 3"/>
    <w:basedOn w:val="TableNormal"/>
    <w:uiPriority w:val="99"/>
    <w:rsid w:val="003C3B6A"/>
    <w:rPr>
      <w:rFonts w:cs="Calibri"/>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b/>
        <w:bCs/>
        <w:color w:val="FFFFFF"/>
      </w:rPr>
      <w:tblPr/>
      <w:tcPr>
        <w:shd w:val="clear" w:color="auto" w:fill="A5A5A5"/>
      </w:tcPr>
    </w:tblStylePr>
    <w:tblStylePr w:type="lastRow">
      <w:pPr>
        <w:spacing w:before="0" w:after="0"/>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MediumShading1-Accent3">
    <w:name w:val="Medium Shading 1 Accent 3"/>
    <w:basedOn w:val="TableNormal"/>
    <w:uiPriority w:val="99"/>
    <w:rsid w:val="003C3B6A"/>
    <w:rPr>
      <w:rFonts w:cs="Calibri"/>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WW8Num4">
    <w:name w:val="WW8Num4"/>
    <w:rsid w:val="00D61808"/>
    <w:pPr>
      <w:numPr>
        <w:numId w:val="18"/>
      </w:numPr>
    </w:pPr>
  </w:style>
</w:styles>
</file>

<file path=word/webSettings.xml><?xml version="1.0" encoding="utf-8"?>
<w:webSettings xmlns:r="http://schemas.openxmlformats.org/officeDocument/2006/relationships" xmlns:w="http://schemas.openxmlformats.org/wordprocessingml/2006/main">
  <w:divs>
    <w:div w:id="325978322">
      <w:marLeft w:val="0"/>
      <w:marRight w:val="0"/>
      <w:marTop w:val="0"/>
      <w:marBottom w:val="0"/>
      <w:divBdr>
        <w:top w:val="none" w:sz="0" w:space="0" w:color="auto"/>
        <w:left w:val="none" w:sz="0" w:space="0" w:color="auto"/>
        <w:bottom w:val="none" w:sz="0" w:space="0" w:color="auto"/>
        <w:right w:val="none" w:sz="0" w:space="0" w:color="auto"/>
      </w:divBdr>
    </w:div>
    <w:div w:id="325978323">
      <w:marLeft w:val="0"/>
      <w:marRight w:val="0"/>
      <w:marTop w:val="0"/>
      <w:marBottom w:val="0"/>
      <w:divBdr>
        <w:top w:val="none" w:sz="0" w:space="0" w:color="auto"/>
        <w:left w:val="none" w:sz="0" w:space="0" w:color="auto"/>
        <w:bottom w:val="none" w:sz="0" w:space="0" w:color="auto"/>
        <w:right w:val="none" w:sz="0" w:space="0" w:color="auto"/>
      </w:divBdr>
    </w:div>
    <w:div w:id="325978324">
      <w:marLeft w:val="0"/>
      <w:marRight w:val="0"/>
      <w:marTop w:val="0"/>
      <w:marBottom w:val="0"/>
      <w:divBdr>
        <w:top w:val="none" w:sz="0" w:space="0" w:color="auto"/>
        <w:left w:val="none" w:sz="0" w:space="0" w:color="auto"/>
        <w:bottom w:val="none" w:sz="0" w:space="0" w:color="auto"/>
        <w:right w:val="none" w:sz="0" w:space="0" w:color="auto"/>
      </w:divBdr>
    </w:div>
    <w:div w:id="3259783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zh.gov.pl"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114</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INSPEKCJPAŃSTWOWY POWIATOWY INSPEKTOR SANITARNY</dc:title>
  <dc:subject/>
  <dc:creator>tomaszewska</dc:creator>
  <cp:keywords/>
  <dc:description/>
  <cp:lastModifiedBy>darfor</cp:lastModifiedBy>
  <cp:revision>2</cp:revision>
  <cp:lastPrinted>2019-02-26T11:47:00Z</cp:lastPrinted>
  <dcterms:created xsi:type="dcterms:W3CDTF">2019-03-11T12:12:00Z</dcterms:created>
  <dcterms:modified xsi:type="dcterms:W3CDTF">2019-03-11T12:12:00Z</dcterms:modified>
</cp:coreProperties>
</file>