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D440DF" w:rsidP="00001BFD">
      <w:pPr>
        <w:ind w:left="6804"/>
        <w:rPr>
          <w:rFonts w:cs="Calibri"/>
        </w:rPr>
      </w:pPr>
      <w:r w:rsidRPr="0044093B">
        <w:rPr>
          <w:rFonts w:asciiTheme="minorHAnsi" w:hAnsiTheme="minorHAnsi" w:cstheme="minorHAnsi"/>
          <w:color w:val="auto"/>
          <w:szCs w:val="24"/>
        </w:rPr>
        <w:t xml:space="preserve">Poznań, </w:t>
      </w:r>
      <w:r w:rsidR="009C7AD2">
        <w:rPr>
          <w:rFonts w:asciiTheme="minorHAnsi" w:hAnsiTheme="minorHAnsi" w:cstheme="minorHAnsi"/>
          <w:color w:val="auto"/>
          <w:szCs w:val="24"/>
        </w:rPr>
        <w:t>13</w:t>
      </w:r>
      <w:r w:rsidRPr="0044093B">
        <w:rPr>
          <w:rFonts w:asciiTheme="minorHAnsi" w:hAnsiTheme="minorHAnsi" w:cstheme="minorHAnsi"/>
          <w:color w:val="auto"/>
          <w:szCs w:val="24"/>
        </w:rPr>
        <w:t xml:space="preserve">.01.2023 </w:t>
      </w:r>
      <w:r w:rsidR="00127D66" w:rsidRPr="00001BFD">
        <w:t>r</w:t>
      </w:r>
      <w:r w:rsidR="00127D66" w:rsidRPr="001C3189">
        <w:rPr>
          <w:rFonts w:cs="Calibri"/>
        </w:rPr>
        <w:t>.</w:t>
      </w:r>
    </w:p>
    <w:p w:rsidR="00127D66" w:rsidRPr="001C3189" w:rsidRDefault="00327C40" w:rsidP="009C7AD2">
      <w:pPr>
        <w:spacing w:after="0"/>
      </w:pPr>
      <w:r w:rsidRPr="001C3189">
        <w:t xml:space="preserve">Znak sprawy: </w:t>
      </w:r>
      <w:r w:rsidR="00D440DF" w:rsidRPr="0044093B">
        <w:rPr>
          <w:rFonts w:asciiTheme="minorHAnsi" w:hAnsiTheme="minorHAnsi" w:cstheme="minorHAnsi"/>
          <w:color w:val="auto"/>
          <w:szCs w:val="24"/>
        </w:rPr>
        <w:t>Or-II.0003.</w:t>
      </w:r>
      <w:r w:rsidR="0029418A">
        <w:rPr>
          <w:rFonts w:asciiTheme="minorHAnsi" w:hAnsiTheme="minorHAnsi" w:cstheme="minorHAnsi"/>
          <w:color w:val="auto"/>
          <w:szCs w:val="24"/>
        </w:rPr>
        <w:t>1</w:t>
      </w:r>
      <w:r w:rsidR="00D440DF" w:rsidRPr="0044093B">
        <w:rPr>
          <w:rFonts w:asciiTheme="minorHAnsi" w:hAnsiTheme="minorHAnsi" w:cstheme="minorHAnsi"/>
          <w:color w:val="auto"/>
          <w:szCs w:val="24"/>
        </w:rPr>
        <w:t>.</w:t>
      </w:r>
      <w:r w:rsidR="00D440DF">
        <w:rPr>
          <w:rFonts w:asciiTheme="minorHAnsi" w:hAnsiTheme="minorHAnsi" w:cstheme="minorHAnsi"/>
          <w:color w:val="auto"/>
          <w:szCs w:val="24"/>
        </w:rPr>
        <w:t>3</w:t>
      </w:r>
      <w:r w:rsidR="00D440DF" w:rsidRPr="0044093B">
        <w:rPr>
          <w:rFonts w:asciiTheme="minorHAnsi" w:hAnsiTheme="minorHAnsi" w:cstheme="minorHAnsi"/>
          <w:color w:val="auto"/>
          <w:szCs w:val="24"/>
        </w:rPr>
        <w:t>.2023</w:t>
      </w:r>
    </w:p>
    <w:p w:rsidR="00094F56" w:rsidRDefault="00127D66" w:rsidP="009C7AD2">
      <w:pPr>
        <w:spacing w:after="0"/>
      </w:pPr>
      <w:r w:rsidRPr="001C3189">
        <w:t>Nr rej.:</w:t>
      </w:r>
      <w:r w:rsidR="00327C40" w:rsidRPr="001C3189">
        <w:t xml:space="preserve"> </w:t>
      </w:r>
      <w:r w:rsidR="009C7AD2">
        <w:t>13012319518</w:t>
      </w:r>
    </w:p>
    <w:p w:rsidR="002E0CCD" w:rsidRPr="001C3189" w:rsidRDefault="00963C97" w:rsidP="00350F13">
      <w:pPr>
        <w:spacing w:line="276" w:lineRule="auto"/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D440DF">
        <w:t>Andrzej Rataj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0E5749">
      <w:pPr>
        <w:spacing w:line="276" w:lineRule="auto"/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667608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D440DF">
        <w:t>2</w:t>
      </w:r>
      <w:r w:rsidR="00E62559" w:rsidRPr="001C3189">
        <w:t> </w:t>
      </w:r>
      <w:r w:rsidR="00D440DF">
        <w:t>stycznia</w:t>
      </w:r>
      <w:r w:rsidR="00945449" w:rsidRPr="001C3189">
        <w:t xml:space="preserve"> </w:t>
      </w:r>
      <w:r w:rsidRPr="001C3189">
        <w:t>202</w:t>
      </w:r>
      <w:r w:rsidR="00D440DF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D440DF">
        <w:t>kosztów rewaloryzacji przestrzeni płyty Starego Rynku</w:t>
      </w:r>
      <w:r w:rsidRPr="001C3189">
        <w:t>, uprzejmie informuję:</w:t>
      </w:r>
    </w:p>
    <w:p w:rsidR="00D440DF" w:rsidRPr="00B20373" w:rsidRDefault="00D440DF" w:rsidP="00D36FEF">
      <w:pPr>
        <w:pStyle w:val="Nagwek1"/>
        <w:spacing w:before="0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„Jakie były pierwotnie zakładane koszty rewaloryzacji przestrzeni płyty Starego Rynku (w</w:t>
      </w:r>
      <w:r w:rsidR="00524FC3"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tym w stadiach: tworzenia założeń i szacunków, prac koncepcyjnych, konsultacji, prac</w:t>
      </w:r>
      <w:r w:rsidR="00524FC3"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projektowych, tworzenia i zmian kosztorysu, uzyskania wsparcia finansowego Unii</w:t>
      </w:r>
      <w:r w:rsidR="00524FC3"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Europejskiej, prowadzenia postępowań przetargowych)?”</w:t>
      </w:r>
    </w:p>
    <w:p w:rsidR="00D440DF" w:rsidRPr="0044093B" w:rsidRDefault="00D440DF" w:rsidP="00667608">
      <w:pPr>
        <w:pStyle w:val="Default"/>
        <w:spacing w:after="240" w:line="360" w:lineRule="auto"/>
        <w:rPr>
          <w:rFonts w:asciiTheme="minorHAnsi" w:hAnsiTheme="minorHAnsi" w:cstheme="minorHAnsi"/>
          <w:color w:val="auto"/>
        </w:rPr>
      </w:pPr>
      <w:r w:rsidRPr="0044093B">
        <w:rPr>
          <w:rFonts w:asciiTheme="minorHAnsi" w:hAnsiTheme="minorHAnsi" w:cstheme="minorHAnsi"/>
          <w:color w:val="auto"/>
        </w:rPr>
        <w:t>Na etapie pierwotnych założeń koszty rewaloryzacji przestrzeni płyty Starego Rynku wynosiły około 54 mln zł. Umowa o dofinansowanie, podpisana w maju 2019 r</w:t>
      </w:r>
      <w:r w:rsidR="00703EB1">
        <w:rPr>
          <w:rFonts w:asciiTheme="minorHAnsi" w:hAnsiTheme="minorHAnsi" w:cstheme="minorHAnsi"/>
          <w:color w:val="auto"/>
        </w:rPr>
        <w:t>.</w:t>
      </w:r>
      <w:r w:rsidRPr="0044093B">
        <w:rPr>
          <w:rFonts w:asciiTheme="minorHAnsi" w:hAnsiTheme="minorHAnsi" w:cstheme="minorHAnsi"/>
          <w:color w:val="auto"/>
        </w:rPr>
        <w:t xml:space="preserve"> wskazywała całkowitą wartość projektu na kwotę 53 272 309,99 zł. Przyznane dofinansowanie wynosiło 29 966 704,45 zł.</w:t>
      </w:r>
    </w:p>
    <w:p w:rsidR="00D959C6" w:rsidRPr="00B20373" w:rsidRDefault="00D440DF" w:rsidP="00AB6844">
      <w:pPr>
        <w:pStyle w:val="Nagwek1"/>
        <w:spacing w:before="0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„Jakie są finalne albo aktualnie zakładane koszty rewaloryzacji przestrzeni płyty Starego</w:t>
      </w:r>
      <w:r w:rsidR="00524FC3"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Rynku?”</w:t>
      </w:r>
    </w:p>
    <w:p w:rsidR="00D440DF" w:rsidRPr="0044093B" w:rsidRDefault="00D440DF" w:rsidP="00667608">
      <w:pPr>
        <w:pStyle w:val="Default"/>
        <w:spacing w:after="240" w:line="360" w:lineRule="auto"/>
        <w:rPr>
          <w:rFonts w:asciiTheme="minorHAnsi" w:hAnsiTheme="minorHAnsi" w:cstheme="minorHAnsi"/>
          <w:color w:val="auto"/>
        </w:rPr>
      </w:pPr>
      <w:r w:rsidRPr="0044093B">
        <w:rPr>
          <w:rFonts w:asciiTheme="minorHAnsi" w:hAnsiTheme="minorHAnsi" w:cstheme="minorHAnsi"/>
          <w:color w:val="auto"/>
        </w:rPr>
        <w:t xml:space="preserve">Kwota </w:t>
      </w:r>
      <w:r w:rsidR="00AA08B5" w:rsidRPr="0044093B">
        <w:rPr>
          <w:rFonts w:asciiTheme="minorHAnsi" w:hAnsiTheme="minorHAnsi" w:cstheme="minorHAnsi"/>
          <w:iCs/>
          <w:color w:val="auto"/>
        </w:rPr>
        <w:t xml:space="preserve">139 757 010 zł </w:t>
      </w:r>
      <w:r w:rsidRPr="0044093B">
        <w:rPr>
          <w:rFonts w:asciiTheme="minorHAnsi" w:hAnsiTheme="minorHAnsi" w:cstheme="minorHAnsi"/>
          <w:color w:val="auto"/>
        </w:rPr>
        <w:t>zapisana w W</w:t>
      </w:r>
      <w:r w:rsidR="00A6606D">
        <w:rPr>
          <w:rFonts w:asciiTheme="minorHAnsi" w:hAnsiTheme="minorHAnsi" w:cstheme="minorHAnsi"/>
          <w:color w:val="auto"/>
        </w:rPr>
        <w:t>ieloletniej Prognozie Finansowej</w:t>
      </w:r>
      <w:r w:rsidR="00BB5E37">
        <w:rPr>
          <w:rFonts w:asciiTheme="minorHAnsi" w:hAnsiTheme="minorHAnsi" w:cstheme="minorHAnsi"/>
          <w:color w:val="auto"/>
        </w:rPr>
        <w:t xml:space="preserve"> (WPF)</w:t>
      </w:r>
      <w:r w:rsidRPr="0044093B">
        <w:rPr>
          <w:rFonts w:asciiTheme="minorHAnsi" w:hAnsiTheme="minorHAnsi" w:cstheme="minorHAnsi"/>
          <w:color w:val="auto"/>
        </w:rPr>
        <w:t xml:space="preserve"> na realizację tego zadania obejmuje </w:t>
      </w:r>
      <w:r w:rsidR="00AA08B5">
        <w:rPr>
          <w:rFonts w:asciiTheme="minorHAnsi" w:hAnsiTheme="minorHAnsi" w:cstheme="minorHAnsi"/>
          <w:color w:val="auto"/>
        </w:rPr>
        <w:t>u</w:t>
      </w:r>
      <w:r w:rsidRPr="0044093B">
        <w:rPr>
          <w:rFonts w:asciiTheme="minorHAnsi" w:hAnsiTheme="minorHAnsi" w:cstheme="minorHAnsi"/>
          <w:color w:val="auto"/>
        </w:rPr>
        <w:t>mow</w:t>
      </w:r>
      <w:r w:rsidR="00AA08B5">
        <w:rPr>
          <w:rFonts w:asciiTheme="minorHAnsi" w:hAnsiTheme="minorHAnsi" w:cstheme="minorHAnsi"/>
          <w:color w:val="auto"/>
        </w:rPr>
        <w:t>ę</w:t>
      </w:r>
      <w:r w:rsidRPr="0044093B">
        <w:rPr>
          <w:rFonts w:asciiTheme="minorHAnsi" w:hAnsiTheme="minorHAnsi" w:cstheme="minorHAnsi"/>
          <w:color w:val="auto"/>
        </w:rPr>
        <w:t xml:space="preserve"> z Generalnym Wykonawcą </w:t>
      </w:r>
      <w:r w:rsidR="00AA08B5">
        <w:rPr>
          <w:rFonts w:asciiTheme="minorHAnsi" w:hAnsiTheme="minorHAnsi" w:cstheme="minorHAnsi"/>
          <w:color w:val="auto"/>
        </w:rPr>
        <w:t xml:space="preserve">oraz </w:t>
      </w:r>
      <w:r w:rsidRPr="0044093B">
        <w:rPr>
          <w:rFonts w:asciiTheme="minorHAnsi" w:hAnsiTheme="minorHAnsi" w:cstheme="minorHAnsi"/>
          <w:color w:val="auto"/>
        </w:rPr>
        <w:t xml:space="preserve">koszty dokumentacji, nadzoru i obsługi projektu, tj. </w:t>
      </w:r>
      <w:proofErr w:type="spellStart"/>
      <w:r w:rsidRPr="0044093B">
        <w:rPr>
          <w:rFonts w:asciiTheme="minorHAnsi" w:hAnsiTheme="minorHAnsi" w:cstheme="minorHAnsi"/>
          <w:color w:val="auto"/>
        </w:rPr>
        <w:t>Inwestorstwo</w:t>
      </w:r>
      <w:proofErr w:type="spellEnd"/>
      <w:r w:rsidRPr="0044093B">
        <w:rPr>
          <w:rFonts w:asciiTheme="minorHAnsi" w:hAnsiTheme="minorHAnsi" w:cstheme="minorHAnsi"/>
          <w:color w:val="auto"/>
        </w:rPr>
        <w:t xml:space="preserve"> Zastępcze (spółka PIM), nadzór Inżyniera Kontraktu</w:t>
      </w:r>
      <w:r w:rsidR="00AA08B5">
        <w:rPr>
          <w:rFonts w:asciiTheme="minorHAnsi" w:hAnsiTheme="minorHAnsi" w:cstheme="minorHAnsi"/>
          <w:color w:val="auto"/>
        </w:rPr>
        <w:t xml:space="preserve">, a także </w:t>
      </w:r>
      <w:r w:rsidRPr="0044093B">
        <w:rPr>
          <w:rFonts w:asciiTheme="minorHAnsi" w:hAnsiTheme="minorHAnsi" w:cstheme="minorHAnsi"/>
          <w:color w:val="auto"/>
        </w:rPr>
        <w:t xml:space="preserve">działania promocyjno-informacyjne. </w:t>
      </w:r>
    </w:p>
    <w:p w:rsidR="00D440DF" w:rsidRPr="0044093B" w:rsidRDefault="00D440DF" w:rsidP="00667608">
      <w:pPr>
        <w:rPr>
          <w:rFonts w:asciiTheme="minorHAnsi" w:hAnsiTheme="minorHAnsi" w:cstheme="minorHAnsi"/>
          <w:color w:val="auto"/>
          <w:szCs w:val="24"/>
        </w:rPr>
      </w:pPr>
      <w:r w:rsidRPr="0044093B">
        <w:rPr>
          <w:rFonts w:asciiTheme="minorHAnsi" w:hAnsiTheme="minorHAnsi" w:cstheme="minorHAnsi"/>
          <w:szCs w:val="24"/>
        </w:rPr>
        <w:lastRenderedPageBreak/>
        <w:t>Umowa na prace projektowo-budowlane (</w:t>
      </w:r>
      <w:r w:rsidR="00152619">
        <w:rPr>
          <w:rFonts w:asciiTheme="minorHAnsi" w:hAnsiTheme="minorHAnsi" w:cstheme="minorHAnsi"/>
          <w:szCs w:val="24"/>
        </w:rPr>
        <w:t xml:space="preserve">w </w:t>
      </w:r>
      <w:r w:rsidRPr="0044093B">
        <w:rPr>
          <w:rFonts w:asciiTheme="minorHAnsi" w:hAnsiTheme="minorHAnsi" w:cstheme="minorHAnsi"/>
          <w:szCs w:val="24"/>
        </w:rPr>
        <w:t>formu</w:t>
      </w:r>
      <w:r w:rsidR="00152619">
        <w:rPr>
          <w:rFonts w:asciiTheme="minorHAnsi" w:hAnsiTheme="minorHAnsi" w:cstheme="minorHAnsi"/>
          <w:szCs w:val="24"/>
        </w:rPr>
        <w:t>le</w:t>
      </w:r>
      <w:r w:rsidRPr="0044093B">
        <w:rPr>
          <w:rFonts w:asciiTheme="minorHAnsi" w:hAnsiTheme="minorHAnsi" w:cstheme="minorHAnsi"/>
          <w:szCs w:val="24"/>
        </w:rPr>
        <w:t xml:space="preserve"> projektuj i buduj) z Generalnym Wykonawcą podpisana została na kwotę 129 891 547,55 zł</w:t>
      </w:r>
      <w:r w:rsidR="00152619">
        <w:rPr>
          <w:rFonts w:asciiTheme="minorHAnsi" w:hAnsiTheme="minorHAnsi" w:cstheme="minorHAnsi"/>
          <w:szCs w:val="24"/>
        </w:rPr>
        <w:t>,</w:t>
      </w:r>
      <w:r w:rsidRPr="0044093B">
        <w:rPr>
          <w:rFonts w:asciiTheme="minorHAnsi" w:hAnsiTheme="minorHAnsi" w:cstheme="minorHAnsi"/>
          <w:szCs w:val="24"/>
        </w:rPr>
        <w:t xml:space="preserve"> z czego koszt </w:t>
      </w:r>
      <w:r w:rsidR="00152619">
        <w:rPr>
          <w:rFonts w:asciiTheme="minorHAnsi" w:hAnsiTheme="minorHAnsi" w:cstheme="minorHAnsi"/>
          <w:szCs w:val="24"/>
        </w:rPr>
        <w:t xml:space="preserve">Miasta </w:t>
      </w:r>
      <w:r w:rsidRPr="0044093B">
        <w:rPr>
          <w:rFonts w:asciiTheme="minorHAnsi" w:hAnsiTheme="minorHAnsi" w:cstheme="minorHAnsi"/>
          <w:szCs w:val="24"/>
        </w:rPr>
        <w:t>to 116 425 525,8 zł brutto</w:t>
      </w:r>
      <w:r w:rsidR="0002639F">
        <w:rPr>
          <w:rFonts w:asciiTheme="minorHAnsi" w:hAnsiTheme="minorHAnsi" w:cstheme="minorHAnsi"/>
          <w:szCs w:val="24"/>
        </w:rPr>
        <w:t xml:space="preserve">, natomiast pozostałe </w:t>
      </w:r>
      <w:r w:rsidRPr="0044093B">
        <w:rPr>
          <w:rFonts w:asciiTheme="minorHAnsi" w:hAnsiTheme="minorHAnsi" w:cstheme="minorHAnsi"/>
          <w:szCs w:val="24"/>
        </w:rPr>
        <w:t>to koszty poszczególnych gestorów sieci.</w:t>
      </w:r>
      <w:r w:rsidR="00152619">
        <w:rPr>
          <w:rFonts w:asciiTheme="minorHAnsi" w:hAnsiTheme="minorHAnsi" w:cstheme="minorHAnsi"/>
          <w:szCs w:val="24"/>
        </w:rPr>
        <w:t xml:space="preserve"> </w:t>
      </w:r>
      <w:r w:rsidRPr="0044093B">
        <w:rPr>
          <w:rFonts w:asciiTheme="minorHAnsi" w:hAnsiTheme="minorHAnsi" w:cstheme="minorHAnsi"/>
          <w:color w:val="auto"/>
          <w:szCs w:val="24"/>
        </w:rPr>
        <w:t xml:space="preserve">Obecnie umowa z </w:t>
      </w:r>
      <w:r w:rsidR="00966E6E">
        <w:rPr>
          <w:rFonts w:asciiTheme="minorHAnsi" w:hAnsiTheme="minorHAnsi" w:cstheme="minorHAnsi"/>
          <w:color w:val="auto"/>
        </w:rPr>
        <w:t>Urzędem Marszałkowskim Województwa Wielkopolskiego</w:t>
      </w:r>
      <w:r w:rsidRPr="0044093B">
        <w:rPr>
          <w:rFonts w:asciiTheme="minorHAnsi" w:hAnsiTheme="minorHAnsi" w:cstheme="minorHAnsi"/>
          <w:color w:val="auto"/>
          <w:szCs w:val="24"/>
        </w:rPr>
        <w:t>, aneksowana 22 marca 2022 r</w:t>
      </w:r>
      <w:r w:rsidR="00152619">
        <w:rPr>
          <w:rFonts w:asciiTheme="minorHAnsi" w:hAnsiTheme="minorHAnsi" w:cstheme="minorHAnsi"/>
          <w:color w:val="auto"/>
        </w:rPr>
        <w:t>.</w:t>
      </w:r>
      <w:r w:rsidR="0006609D">
        <w:rPr>
          <w:rFonts w:asciiTheme="minorHAnsi" w:hAnsiTheme="minorHAnsi" w:cstheme="minorHAnsi"/>
          <w:color w:val="auto"/>
        </w:rPr>
        <w:t>,</w:t>
      </w:r>
      <w:r w:rsidRPr="0044093B">
        <w:rPr>
          <w:rFonts w:asciiTheme="minorHAnsi" w:hAnsiTheme="minorHAnsi" w:cstheme="minorHAnsi"/>
          <w:color w:val="auto"/>
          <w:szCs w:val="24"/>
        </w:rPr>
        <w:t xml:space="preserve"> określa koszt całkowity zadania na kwotę 136 052 547,03 zł</w:t>
      </w:r>
      <w:r w:rsidR="00152619">
        <w:rPr>
          <w:rFonts w:asciiTheme="minorHAnsi" w:hAnsiTheme="minorHAnsi" w:cstheme="minorHAnsi"/>
          <w:color w:val="auto"/>
        </w:rPr>
        <w:t>.</w:t>
      </w:r>
      <w:r w:rsidRPr="0044093B">
        <w:rPr>
          <w:rFonts w:asciiTheme="minorHAnsi" w:hAnsiTheme="minorHAnsi" w:cstheme="minorHAnsi"/>
          <w:color w:val="auto"/>
          <w:szCs w:val="24"/>
        </w:rPr>
        <w:t xml:space="preserve"> Kwota samego dofinansowania pozostaje bez zmian i</w:t>
      </w:r>
      <w:r w:rsidR="005032C8">
        <w:rPr>
          <w:rFonts w:asciiTheme="minorHAnsi" w:hAnsiTheme="minorHAnsi" w:cstheme="minorHAnsi"/>
          <w:color w:val="auto"/>
          <w:szCs w:val="24"/>
        </w:rPr>
        <w:t> </w:t>
      </w:r>
      <w:r w:rsidRPr="0044093B">
        <w:rPr>
          <w:rFonts w:asciiTheme="minorHAnsi" w:hAnsiTheme="minorHAnsi" w:cstheme="minorHAnsi"/>
          <w:color w:val="auto"/>
          <w:szCs w:val="24"/>
        </w:rPr>
        <w:t>wynosi 29 966 704,45 zł.</w:t>
      </w:r>
      <w:r w:rsidR="00FA488E">
        <w:rPr>
          <w:rFonts w:asciiTheme="minorHAnsi" w:hAnsiTheme="minorHAnsi" w:cstheme="minorHAnsi"/>
          <w:color w:val="auto"/>
          <w:szCs w:val="24"/>
        </w:rPr>
        <w:t xml:space="preserve"> </w:t>
      </w:r>
      <w:r w:rsidRPr="0044093B">
        <w:rPr>
          <w:rFonts w:asciiTheme="minorHAnsi" w:hAnsiTheme="minorHAnsi" w:cstheme="minorHAnsi"/>
          <w:color w:val="auto"/>
          <w:szCs w:val="24"/>
        </w:rPr>
        <w:t>Ostateczna wartość projektu znana będzie po zakończeniu realizacji inwestycji.</w:t>
      </w:r>
    </w:p>
    <w:p w:rsidR="009A7CA3" w:rsidRPr="00B20373" w:rsidRDefault="00D440DF" w:rsidP="00AB6844">
      <w:pPr>
        <w:pStyle w:val="Nagwek1"/>
        <w:spacing w:before="0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„Do jakich zmian doszło w zakresie kosztów rewaloryzacji przestrzeni płyty Starego Rynku, a</w:t>
      </w:r>
      <w:r w:rsidR="006A256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także z jakich przyczyn doszło do tych zmian?”</w:t>
      </w:r>
    </w:p>
    <w:p w:rsidR="00D440DF" w:rsidRPr="0044093B" w:rsidRDefault="003D4A04" w:rsidP="00667608">
      <w:pPr>
        <w:pStyle w:val="Default"/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Wpływ na </w:t>
      </w:r>
      <w:r w:rsidR="00D440DF" w:rsidRPr="0044093B">
        <w:rPr>
          <w:rFonts w:asciiTheme="minorHAnsi" w:hAnsiTheme="minorHAnsi" w:cstheme="minorHAnsi"/>
          <w:color w:val="auto"/>
        </w:rPr>
        <w:t xml:space="preserve">wzrost kosztów inwestycji </w:t>
      </w:r>
      <w:r>
        <w:rPr>
          <w:rFonts w:asciiTheme="minorHAnsi" w:hAnsiTheme="minorHAnsi" w:cstheme="minorHAnsi"/>
          <w:color w:val="auto"/>
        </w:rPr>
        <w:t>miały głównie:</w:t>
      </w:r>
      <w:r w:rsidR="00D440DF" w:rsidRPr="0044093B">
        <w:rPr>
          <w:rFonts w:asciiTheme="minorHAnsi" w:hAnsiTheme="minorHAnsi" w:cstheme="minorHAnsi"/>
          <w:color w:val="auto"/>
        </w:rPr>
        <w:t xml:space="preserve"> aktualizacj</w:t>
      </w:r>
      <w:r>
        <w:rPr>
          <w:rFonts w:asciiTheme="minorHAnsi" w:hAnsiTheme="minorHAnsi" w:cstheme="minorHAnsi"/>
          <w:color w:val="auto"/>
        </w:rPr>
        <w:t>a</w:t>
      </w:r>
      <w:r w:rsidR="00D440DF" w:rsidRPr="0044093B">
        <w:rPr>
          <w:rFonts w:asciiTheme="minorHAnsi" w:hAnsiTheme="minorHAnsi" w:cstheme="minorHAnsi"/>
          <w:color w:val="auto"/>
        </w:rPr>
        <w:t xml:space="preserve"> i uszczegółowieni</w:t>
      </w:r>
      <w:r>
        <w:rPr>
          <w:rFonts w:asciiTheme="minorHAnsi" w:hAnsiTheme="minorHAnsi" w:cstheme="minorHAnsi"/>
          <w:color w:val="auto"/>
        </w:rPr>
        <w:t>e</w:t>
      </w:r>
      <w:r w:rsidR="00D440DF" w:rsidRPr="0044093B">
        <w:rPr>
          <w:rFonts w:asciiTheme="minorHAnsi" w:hAnsiTheme="minorHAnsi" w:cstheme="minorHAnsi"/>
          <w:color w:val="auto"/>
        </w:rPr>
        <w:t xml:space="preserve"> pierwotnego </w:t>
      </w:r>
      <w:r w:rsidR="00FA488E">
        <w:rPr>
          <w:rFonts w:asciiTheme="minorHAnsi" w:hAnsiTheme="minorHAnsi" w:cstheme="minorHAnsi"/>
          <w:color w:val="auto"/>
        </w:rPr>
        <w:t>programu funkcjonalno-użytkowego</w:t>
      </w:r>
      <w:r w:rsidR="004F5030">
        <w:rPr>
          <w:rFonts w:asciiTheme="minorHAnsi" w:hAnsiTheme="minorHAnsi" w:cstheme="minorHAnsi"/>
          <w:color w:val="auto"/>
        </w:rPr>
        <w:t xml:space="preserve"> (PFU)</w:t>
      </w:r>
      <w:r w:rsidR="00D440DF" w:rsidRPr="0044093B">
        <w:rPr>
          <w:rFonts w:asciiTheme="minorHAnsi" w:hAnsiTheme="minorHAnsi" w:cstheme="minorHAnsi"/>
          <w:color w:val="auto"/>
        </w:rPr>
        <w:t>, post</w:t>
      </w:r>
      <w:r w:rsidR="000E5749">
        <w:rPr>
          <w:rFonts w:asciiTheme="minorHAnsi" w:hAnsiTheme="minorHAnsi" w:cstheme="minorHAnsi"/>
          <w:color w:val="auto"/>
        </w:rPr>
        <w:t>ę</w:t>
      </w:r>
      <w:r w:rsidR="00D440DF" w:rsidRPr="0044093B">
        <w:rPr>
          <w:rFonts w:asciiTheme="minorHAnsi" w:hAnsiTheme="minorHAnsi" w:cstheme="minorHAnsi"/>
          <w:color w:val="auto"/>
        </w:rPr>
        <w:t>powani</w:t>
      </w:r>
      <w:r>
        <w:rPr>
          <w:rFonts w:asciiTheme="minorHAnsi" w:hAnsiTheme="minorHAnsi" w:cstheme="minorHAnsi"/>
          <w:color w:val="auto"/>
        </w:rPr>
        <w:t>e</w:t>
      </w:r>
      <w:r w:rsidR="00D440DF" w:rsidRPr="0044093B">
        <w:rPr>
          <w:rFonts w:asciiTheme="minorHAnsi" w:hAnsiTheme="minorHAnsi" w:cstheme="minorHAnsi"/>
          <w:color w:val="auto"/>
        </w:rPr>
        <w:t xml:space="preserve"> przetargowe i wysokoś</w:t>
      </w:r>
      <w:r>
        <w:rPr>
          <w:rFonts w:asciiTheme="minorHAnsi" w:hAnsiTheme="minorHAnsi" w:cstheme="minorHAnsi"/>
          <w:color w:val="auto"/>
        </w:rPr>
        <w:t>ć</w:t>
      </w:r>
      <w:r w:rsidR="00D440DF" w:rsidRPr="0044093B">
        <w:rPr>
          <w:rFonts w:asciiTheme="minorHAnsi" w:hAnsiTheme="minorHAnsi" w:cstheme="minorHAnsi"/>
          <w:color w:val="auto"/>
        </w:rPr>
        <w:t xml:space="preserve"> oferty złożonej w</w:t>
      </w:r>
      <w:r w:rsidR="007765CE">
        <w:rPr>
          <w:rFonts w:asciiTheme="minorHAnsi" w:hAnsiTheme="minorHAnsi" w:cstheme="minorHAnsi"/>
          <w:color w:val="auto"/>
        </w:rPr>
        <w:t> </w:t>
      </w:r>
      <w:r w:rsidR="00D440DF" w:rsidRPr="0044093B">
        <w:rPr>
          <w:rFonts w:asciiTheme="minorHAnsi" w:hAnsiTheme="minorHAnsi" w:cstheme="minorHAnsi"/>
          <w:color w:val="auto"/>
        </w:rPr>
        <w:t>post</w:t>
      </w:r>
      <w:r w:rsidR="000E5749">
        <w:rPr>
          <w:rFonts w:asciiTheme="minorHAnsi" w:hAnsiTheme="minorHAnsi" w:cstheme="minorHAnsi"/>
          <w:color w:val="auto"/>
        </w:rPr>
        <w:t>ę</w:t>
      </w:r>
      <w:r w:rsidR="00D440DF" w:rsidRPr="0044093B">
        <w:rPr>
          <w:rFonts w:asciiTheme="minorHAnsi" w:hAnsiTheme="minorHAnsi" w:cstheme="minorHAnsi"/>
          <w:color w:val="auto"/>
        </w:rPr>
        <w:t>powaniu (złożon</w:t>
      </w:r>
      <w:r w:rsidR="006F36C0">
        <w:rPr>
          <w:rFonts w:asciiTheme="minorHAnsi" w:hAnsiTheme="minorHAnsi" w:cstheme="minorHAnsi"/>
          <w:color w:val="auto"/>
        </w:rPr>
        <w:t>a została</w:t>
      </w:r>
      <w:r w:rsidR="00D440DF" w:rsidRPr="0044093B">
        <w:rPr>
          <w:rFonts w:asciiTheme="minorHAnsi" w:hAnsiTheme="minorHAnsi" w:cstheme="minorHAnsi"/>
          <w:color w:val="auto"/>
        </w:rPr>
        <w:t xml:space="preserve"> jedn</w:t>
      </w:r>
      <w:r w:rsidR="006F36C0">
        <w:rPr>
          <w:rFonts w:asciiTheme="minorHAnsi" w:hAnsiTheme="minorHAnsi" w:cstheme="minorHAnsi"/>
          <w:color w:val="auto"/>
        </w:rPr>
        <w:t>a</w:t>
      </w:r>
      <w:r w:rsidR="00D440DF" w:rsidRPr="0044093B">
        <w:rPr>
          <w:rFonts w:asciiTheme="minorHAnsi" w:hAnsiTheme="minorHAnsi" w:cstheme="minorHAnsi"/>
          <w:color w:val="auto"/>
        </w:rPr>
        <w:t xml:space="preserve"> ofert</w:t>
      </w:r>
      <w:r w:rsidR="006F36C0">
        <w:rPr>
          <w:rFonts w:asciiTheme="minorHAnsi" w:hAnsiTheme="minorHAnsi" w:cstheme="minorHAnsi"/>
          <w:color w:val="auto"/>
        </w:rPr>
        <w:t>a</w:t>
      </w:r>
      <w:r w:rsidR="00D440DF" w:rsidRPr="0044093B">
        <w:rPr>
          <w:rFonts w:asciiTheme="minorHAnsi" w:hAnsiTheme="minorHAnsi" w:cstheme="minorHAnsi"/>
          <w:color w:val="auto"/>
        </w:rPr>
        <w:t>) oraz coraz trudniejsz</w:t>
      </w:r>
      <w:r>
        <w:rPr>
          <w:rFonts w:asciiTheme="minorHAnsi" w:hAnsiTheme="minorHAnsi" w:cstheme="minorHAnsi"/>
          <w:color w:val="auto"/>
        </w:rPr>
        <w:t>e</w:t>
      </w:r>
      <w:r w:rsidR="00D440DF" w:rsidRPr="0044093B">
        <w:rPr>
          <w:rFonts w:asciiTheme="minorHAnsi" w:hAnsiTheme="minorHAnsi" w:cstheme="minorHAnsi"/>
          <w:color w:val="auto"/>
        </w:rPr>
        <w:t xml:space="preserve"> warunk</w:t>
      </w:r>
      <w:r>
        <w:rPr>
          <w:rFonts w:asciiTheme="minorHAnsi" w:hAnsiTheme="minorHAnsi" w:cstheme="minorHAnsi"/>
          <w:color w:val="auto"/>
        </w:rPr>
        <w:t>i</w:t>
      </w:r>
      <w:r w:rsidR="00D440DF" w:rsidRPr="0044093B">
        <w:rPr>
          <w:rFonts w:asciiTheme="minorHAnsi" w:hAnsiTheme="minorHAnsi" w:cstheme="minorHAnsi"/>
        </w:rPr>
        <w:t xml:space="preserve"> makroekonomiczn</w:t>
      </w:r>
      <w:r>
        <w:rPr>
          <w:rFonts w:asciiTheme="minorHAnsi" w:hAnsiTheme="minorHAnsi" w:cstheme="minorHAnsi"/>
        </w:rPr>
        <w:t>e</w:t>
      </w:r>
      <w:r w:rsidR="00D440DF" w:rsidRPr="0044093B">
        <w:rPr>
          <w:rFonts w:asciiTheme="minorHAnsi" w:hAnsiTheme="minorHAnsi" w:cstheme="minorHAnsi"/>
        </w:rPr>
        <w:t xml:space="preserve"> i</w:t>
      </w:r>
      <w:r w:rsidR="007765CE">
        <w:rPr>
          <w:rFonts w:asciiTheme="minorHAnsi" w:hAnsiTheme="minorHAnsi" w:cstheme="minorHAnsi"/>
        </w:rPr>
        <w:t> </w:t>
      </w:r>
      <w:r w:rsidR="00D440DF" w:rsidRPr="0044093B">
        <w:rPr>
          <w:rFonts w:asciiTheme="minorHAnsi" w:hAnsiTheme="minorHAnsi" w:cstheme="minorHAnsi"/>
        </w:rPr>
        <w:t>geopolityczn</w:t>
      </w:r>
      <w:r>
        <w:rPr>
          <w:rFonts w:asciiTheme="minorHAnsi" w:hAnsiTheme="minorHAnsi" w:cstheme="minorHAnsi"/>
        </w:rPr>
        <w:t>e</w:t>
      </w:r>
      <w:r w:rsidR="00D440DF" w:rsidRPr="0044093B">
        <w:rPr>
          <w:rFonts w:asciiTheme="minorHAnsi" w:hAnsiTheme="minorHAnsi" w:cstheme="minorHAnsi"/>
        </w:rPr>
        <w:t xml:space="preserve">, co ma związek ze wzrostem cen materiałów budowlanych i usług oraz wojną </w:t>
      </w:r>
      <w:r w:rsidR="000E5749">
        <w:rPr>
          <w:rFonts w:asciiTheme="minorHAnsi" w:hAnsiTheme="minorHAnsi" w:cstheme="minorHAnsi"/>
        </w:rPr>
        <w:t>w</w:t>
      </w:r>
      <w:r w:rsidR="007765CE">
        <w:rPr>
          <w:rFonts w:asciiTheme="minorHAnsi" w:hAnsiTheme="minorHAnsi" w:cstheme="minorHAnsi"/>
        </w:rPr>
        <w:t> </w:t>
      </w:r>
      <w:r w:rsidR="00D440DF" w:rsidRPr="0044093B">
        <w:rPr>
          <w:rFonts w:asciiTheme="minorHAnsi" w:hAnsiTheme="minorHAnsi" w:cstheme="minorHAnsi"/>
        </w:rPr>
        <w:t xml:space="preserve">Ukrainie. </w:t>
      </w:r>
    </w:p>
    <w:p w:rsidR="00D440DF" w:rsidRPr="0044093B" w:rsidRDefault="00D440DF" w:rsidP="00667608">
      <w:pPr>
        <w:pStyle w:val="Default"/>
        <w:spacing w:after="240" w:line="360" w:lineRule="auto"/>
        <w:rPr>
          <w:rFonts w:asciiTheme="minorHAnsi" w:hAnsiTheme="minorHAnsi" w:cstheme="minorHAnsi"/>
        </w:rPr>
      </w:pPr>
      <w:r w:rsidRPr="0044093B">
        <w:rPr>
          <w:rFonts w:asciiTheme="minorHAnsi" w:hAnsiTheme="minorHAnsi" w:cstheme="minorHAnsi"/>
        </w:rPr>
        <w:t xml:space="preserve">Zmiany wprowadzone w trakcie prac projektowych oraz budowlanych spowodowane są przede wszystkim uwarunkowaniami technicznymi. </w:t>
      </w:r>
      <w:r w:rsidR="004A214D">
        <w:rPr>
          <w:rFonts w:asciiTheme="minorHAnsi" w:hAnsiTheme="minorHAnsi" w:cstheme="minorHAnsi"/>
        </w:rPr>
        <w:t xml:space="preserve">Główne </w:t>
      </w:r>
      <w:r w:rsidRPr="0044093B">
        <w:rPr>
          <w:rFonts w:asciiTheme="minorHAnsi" w:hAnsiTheme="minorHAnsi" w:cstheme="minorHAnsi"/>
        </w:rPr>
        <w:t>zmiany w stosunku do pierwotnych założeń przedstawia</w:t>
      </w:r>
      <w:r w:rsidR="007A5017">
        <w:rPr>
          <w:rFonts w:asciiTheme="minorHAnsi" w:hAnsiTheme="minorHAnsi" w:cstheme="minorHAnsi"/>
        </w:rPr>
        <w:t>m</w:t>
      </w:r>
      <w:r w:rsidRPr="0044093B">
        <w:rPr>
          <w:rFonts w:asciiTheme="minorHAnsi" w:hAnsiTheme="minorHAnsi" w:cstheme="minorHAnsi"/>
        </w:rPr>
        <w:t xml:space="preserve"> </w:t>
      </w:r>
      <w:r w:rsidR="007A5017">
        <w:rPr>
          <w:rFonts w:asciiTheme="minorHAnsi" w:hAnsiTheme="minorHAnsi" w:cstheme="minorHAnsi"/>
        </w:rPr>
        <w:t xml:space="preserve">w </w:t>
      </w:r>
      <w:r w:rsidRPr="0044093B">
        <w:rPr>
          <w:rFonts w:asciiTheme="minorHAnsi" w:hAnsiTheme="minorHAnsi" w:cstheme="minorHAnsi"/>
        </w:rPr>
        <w:t>załączon</w:t>
      </w:r>
      <w:r w:rsidR="007A5017">
        <w:rPr>
          <w:rFonts w:asciiTheme="minorHAnsi" w:hAnsiTheme="minorHAnsi" w:cstheme="minorHAnsi"/>
        </w:rPr>
        <w:t>ej</w:t>
      </w:r>
      <w:r w:rsidRPr="0044093B">
        <w:rPr>
          <w:rFonts w:asciiTheme="minorHAnsi" w:hAnsiTheme="minorHAnsi" w:cstheme="minorHAnsi"/>
        </w:rPr>
        <w:t xml:space="preserve"> tabel</w:t>
      </w:r>
      <w:r w:rsidR="007A5017">
        <w:rPr>
          <w:rFonts w:asciiTheme="minorHAnsi" w:hAnsiTheme="minorHAnsi" w:cstheme="minorHAnsi"/>
        </w:rPr>
        <w:t>i</w:t>
      </w:r>
      <w:r w:rsidR="00D94B2D">
        <w:rPr>
          <w:rFonts w:asciiTheme="minorHAnsi" w:hAnsiTheme="minorHAnsi" w:cstheme="minorHAnsi"/>
        </w:rPr>
        <w:t>,</w:t>
      </w:r>
      <w:r w:rsidRPr="0044093B">
        <w:rPr>
          <w:rFonts w:asciiTheme="minorHAnsi" w:hAnsiTheme="minorHAnsi" w:cstheme="minorHAnsi"/>
        </w:rPr>
        <w:t xml:space="preserve"> stanowiąc</w:t>
      </w:r>
      <w:r w:rsidR="007A5017">
        <w:rPr>
          <w:rFonts w:asciiTheme="minorHAnsi" w:hAnsiTheme="minorHAnsi" w:cstheme="minorHAnsi"/>
        </w:rPr>
        <w:t>ej</w:t>
      </w:r>
      <w:r w:rsidRPr="0044093B">
        <w:rPr>
          <w:rFonts w:asciiTheme="minorHAnsi" w:hAnsiTheme="minorHAnsi" w:cstheme="minorHAnsi"/>
        </w:rPr>
        <w:t xml:space="preserve"> porównanie założeń pierwotnego PFU z 2017 r</w:t>
      </w:r>
      <w:r w:rsidR="00E33C5F">
        <w:rPr>
          <w:rFonts w:asciiTheme="minorHAnsi" w:hAnsiTheme="minorHAnsi" w:cstheme="minorHAnsi"/>
        </w:rPr>
        <w:t xml:space="preserve">. </w:t>
      </w:r>
      <w:r w:rsidRPr="0044093B">
        <w:rPr>
          <w:rFonts w:asciiTheme="minorHAnsi" w:hAnsiTheme="minorHAnsi" w:cstheme="minorHAnsi"/>
        </w:rPr>
        <w:t>oraz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>PFU opracowanego z uwzględnieniem potrzeb zgłoszonych przez gestorów sieci podziemnych w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>2020 r</w:t>
      </w:r>
      <w:r w:rsidR="00E33C5F">
        <w:rPr>
          <w:rFonts w:asciiTheme="minorHAnsi" w:hAnsiTheme="minorHAnsi" w:cstheme="minorHAnsi"/>
        </w:rPr>
        <w:t>.</w:t>
      </w:r>
      <w:r w:rsidRPr="0044093B">
        <w:rPr>
          <w:rFonts w:asciiTheme="minorHAnsi" w:hAnsiTheme="minorHAnsi" w:cstheme="minorHAnsi"/>
          <w:b/>
        </w:rPr>
        <w:t xml:space="preserve"> </w:t>
      </w:r>
      <w:r w:rsidRPr="0044093B">
        <w:rPr>
          <w:rFonts w:asciiTheme="minorHAnsi" w:hAnsiTheme="minorHAnsi" w:cstheme="minorHAnsi"/>
        </w:rPr>
        <w:t>Zapisy pierwotnej wersji PFU obligowały również Miasto do opracowania uzupełniającej koncepcji oświetlenia i iluminacji przestrzeni Starego Rynku. Miasto, we współpracy ze Spółką Enea Oświetlenie, opracowało więc „Koncepcję oświetlenia i</w:t>
      </w:r>
      <w:r w:rsidR="0093079D">
        <w:rPr>
          <w:rFonts w:asciiTheme="minorHAnsi" w:hAnsiTheme="minorHAnsi" w:cstheme="minorHAnsi"/>
        </w:rPr>
        <w:t xml:space="preserve"> </w:t>
      </w:r>
      <w:r w:rsidRPr="0044093B">
        <w:rPr>
          <w:rFonts w:asciiTheme="minorHAnsi" w:hAnsiTheme="minorHAnsi" w:cstheme="minorHAnsi"/>
        </w:rPr>
        <w:t>iluminacji płyty Starego Rynku wraz z uliczkami przyległymi”</w:t>
      </w:r>
      <w:r w:rsidR="0093079D">
        <w:rPr>
          <w:rFonts w:asciiTheme="minorHAnsi" w:hAnsiTheme="minorHAnsi" w:cstheme="minorHAnsi"/>
        </w:rPr>
        <w:t>,</w:t>
      </w:r>
      <w:r w:rsidRPr="0044093B">
        <w:rPr>
          <w:rFonts w:asciiTheme="minorHAnsi" w:hAnsiTheme="minorHAnsi" w:cstheme="minorHAnsi"/>
        </w:rPr>
        <w:t xml:space="preserve"> </w:t>
      </w:r>
      <w:r w:rsidR="0093079D">
        <w:rPr>
          <w:rFonts w:asciiTheme="minorHAnsi" w:hAnsiTheme="minorHAnsi" w:cstheme="minorHAnsi"/>
        </w:rPr>
        <w:t>który jest częścią większego planu</w:t>
      </w:r>
      <w:r w:rsidRPr="0044093B">
        <w:rPr>
          <w:rFonts w:asciiTheme="minorHAnsi" w:hAnsiTheme="minorHAnsi" w:cstheme="minorHAnsi"/>
          <w:i/>
        </w:rPr>
        <w:t xml:space="preserve"> </w:t>
      </w:r>
      <w:r w:rsidRPr="0044093B">
        <w:rPr>
          <w:rFonts w:asciiTheme="minorHAnsi" w:hAnsiTheme="minorHAnsi" w:cstheme="minorHAnsi"/>
        </w:rPr>
        <w:t>obejmującego wizję oświetlenia dla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>całego miasta. Uzupełniająca koncepcja oświetlenia, obejmująca oświetlenie płyty</w:t>
      </w:r>
      <w:r w:rsidR="00A92397">
        <w:rPr>
          <w:rFonts w:asciiTheme="minorHAnsi" w:hAnsiTheme="minorHAnsi" w:cstheme="minorHAnsi"/>
        </w:rPr>
        <w:t xml:space="preserve"> Starego </w:t>
      </w:r>
      <w:r w:rsidRPr="0044093B">
        <w:rPr>
          <w:rFonts w:asciiTheme="minorHAnsi" w:hAnsiTheme="minorHAnsi" w:cstheme="minorHAnsi"/>
        </w:rPr>
        <w:t xml:space="preserve"> </w:t>
      </w:r>
      <w:r w:rsidR="00A92397">
        <w:rPr>
          <w:rFonts w:asciiTheme="minorHAnsi" w:hAnsiTheme="minorHAnsi" w:cstheme="minorHAnsi"/>
        </w:rPr>
        <w:t>R</w:t>
      </w:r>
      <w:r w:rsidRPr="0044093B">
        <w:rPr>
          <w:rFonts w:asciiTheme="minorHAnsi" w:hAnsiTheme="minorHAnsi" w:cstheme="minorHAnsi"/>
        </w:rPr>
        <w:t>ynku</w:t>
      </w:r>
      <w:r w:rsidR="00436716">
        <w:rPr>
          <w:rFonts w:asciiTheme="minorHAnsi" w:hAnsiTheme="minorHAnsi" w:cstheme="minorHAnsi"/>
        </w:rPr>
        <w:t>,</w:t>
      </w:r>
      <w:r w:rsidRPr="0044093B">
        <w:rPr>
          <w:rFonts w:asciiTheme="minorHAnsi" w:hAnsiTheme="minorHAnsi" w:cstheme="minorHAnsi"/>
        </w:rPr>
        <w:t xml:space="preserve"> jak i system iluminacji obiektów</w:t>
      </w:r>
      <w:r w:rsidR="00436716">
        <w:rPr>
          <w:rFonts w:asciiTheme="minorHAnsi" w:hAnsiTheme="minorHAnsi" w:cstheme="minorHAnsi"/>
        </w:rPr>
        <w:t>,</w:t>
      </w:r>
      <w:r w:rsidRPr="0044093B">
        <w:rPr>
          <w:rFonts w:asciiTheme="minorHAnsi" w:hAnsiTheme="minorHAnsi" w:cstheme="minorHAnsi"/>
        </w:rPr>
        <w:t xml:space="preserve"> doprecyzowała również koszty </w:t>
      </w:r>
      <w:r w:rsidR="0093079D">
        <w:rPr>
          <w:rFonts w:asciiTheme="minorHAnsi" w:hAnsiTheme="minorHAnsi" w:cstheme="minorHAnsi"/>
        </w:rPr>
        <w:t>zadania</w:t>
      </w:r>
      <w:r w:rsidR="002C69E1">
        <w:rPr>
          <w:rFonts w:asciiTheme="minorHAnsi" w:hAnsiTheme="minorHAnsi" w:cstheme="minorHAnsi"/>
        </w:rPr>
        <w:t xml:space="preserve">. </w:t>
      </w:r>
      <w:r w:rsidRPr="0044093B">
        <w:rPr>
          <w:rFonts w:asciiTheme="minorHAnsi" w:hAnsiTheme="minorHAnsi" w:cstheme="minorHAnsi"/>
        </w:rPr>
        <w:t xml:space="preserve">Ponadto, w ramach prac dodatkowych, </w:t>
      </w:r>
      <w:r w:rsidR="004251E8">
        <w:rPr>
          <w:rFonts w:asciiTheme="minorHAnsi" w:hAnsiTheme="minorHAnsi" w:cstheme="minorHAnsi"/>
        </w:rPr>
        <w:t xml:space="preserve">przygotowano koncepcję </w:t>
      </w:r>
      <w:r w:rsidRPr="0044093B">
        <w:rPr>
          <w:rFonts w:asciiTheme="minorHAnsi" w:hAnsiTheme="minorHAnsi" w:cstheme="minorHAnsi"/>
        </w:rPr>
        <w:t>zagospodarowani</w:t>
      </w:r>
      <w:r w:rsidR="004251E8">
        <w:rPr>
          <w:rFonts w:asciiTheme="minorHAnsi" w:hAnsiTheme="minorHAnsi" w:cstheme="minorHAnsi"/>
        </w:rPr>
        <w:t>a</w:t>
      </w:r>
      <w:r w:rsidRPr="0044093B">
        <w:rPr>
          <w:rFonts w:asciiTheme="minorHAnsi" w:hAnsiTheme="minorHAnsi" w:cstheme="minorHAnsi"/>
        </w:rPr>
        <w:t xml:space="preserve"> przestrzeni ul</w:t>
      </w:r>
      <w:r w:rsidR="004251E8">
        <w:rPr>
          <w:rFonts w:asciiTheme="minorHAnsi" w:hAnsiTheme="minorHAnsi" w:cstheme="minorHAnsi"/>
        </w:rPr>
        <w:t xml:space="preserve">. </w:t>
      </w:r>
      <w:proofErr w:type="spellStart"/>
      <w:r w:rsidRPr="0044093B">
        <w:rPr>
          <w:rFonts w:asciiTheme="minorHAnsi" w:hAnsiTheme="minorHAnsi" w:cstheme="minorHAnsi"/>
        </w:rPr>
        <w:t>Kurzanoga</w:t>
      </w:r>
      <w:proofErr w:type="spellEnd"/>
      <w:r w:rsidRPr="0044093B">
        <w:rPr>
          <w:rFonts w:asciiTheme="minorHAnsi" w:hAnsiTheme="minorHAnsi" w:cstheme="minorHAnsi"/>
        </w:rPr>
        <w:t xml:space="preserve"> wraz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>z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 xml:space="preserve">przebudową nawierzchni, śmietników oraz wprowadzeniem zielni. Dzięki pozyskaniu </w:t>
      </w:r>
      <w:r w:rsidRPr="0044093B">
        <w:rPr>
          <w:rFonts w:asciiTheme="minorHAnsi" w:hAnsiTheme="minorHAnsi" w:cstheme="minorHAnsi"/>
        </w:rPr>
        <w:lastRenderedPageBreak/>
        <w:t>przez</w:t>
      </w:r>
      <w:r w:rsidR="007765CE">
        <w:rPr>
          <w:rFonts w:asciiTheme="minorHAnsi" w:hAnsiTheme="minorHAnsi" w:cstheme="minorHAnsi"/>
        </w:rPr>
        <w:t> </w:t>
      </w:r>
      <w:r w:rsidRPr="0044093B">
        <w:rPr>
          <w:rFonts w:asciiTheme="minorHAnsi" w:hAnsiTheme="minorHAnsi" w:cstheme="minorHAnsi"/>
        </w:rPr>
        <w:t>Miasto części nieruchomości, możliwe było wzbogacenie tej przestrzeni o dodatkowe powierzchnie biologicznie czynne i nowe założenia w zakresie zieleni.</w:t>
      </w:r>
    </w:p>
    <w:p w:rsidR="00D440DF" w:rsidRPr="0044093B" w:rsidRDefault="00D440DF" w:rsidP="00667608">
      <w:pPr>
        <w:pStyle w:val="Default"/>
        <w:spacing w:after="240" w:line="360" w:lineRule="auto"/>
        <w:rPr>
          <w:rFonts w:asciiTheme="minorHAnsi" w:hAnsiTheme="minorHAnsi" w:cstheme="minorHAnsi"/>
        </w:rPr>
      </w:pPr>
      <w:r w:rsidRPr="0044093B">
        <w:rPr>
          <w:rFonts w:asciiTheme="minorHAnsi" w:hAnsiTheme="minorHAnsi" w:cstheme="minorHAnsi"/>
        </w:rPr>
        <w:t>Zadanie realizowane jest w trybie projektuj</w:t>
      </w:r>
      <w:r w:rsidR="004251E8">
        <w:rPr>
          <w:rFonts w:asciiTheme="minorHAnsi" w:hAnsiTheme="minorHAnsi" w:cstheme="minorHAnsi"/>
        </w:rPr>
        <w:t xml:space="preserve"> i </w:t>
      </w:r>
      <w:r w:rsidRPr="0044093B">
        <w:rPr>
          <w:rFonts w:asciiTheme="minorHAnsi" w:hAnsiTheme="minorHAnsi" w:cstheme="minorHAnsi"/>
        </w:rPr>
        <w:t>buduj oraz w systemie ryczałtowym. Takie założenie zakłada, że koszty realizacji robót</w:t>
      </w:r>
      <w:r w:rsidR="00436716">
        <w:rPr>
          <w:rFonts w:asciiTheme="minorHAnsi" w:hAnsiTheme="minorHAnsi" w:cstheme="minorHAnsi"/>
        </w:rPr>
        <w:t>,</w:t>
      </w:r>
      <w:r w:rsidRPr="0044093B">
        <w:rPr>
          <w:rFonts w:asciiTheme="minorHAnsi" w:hAnsiTheme="minorHAnsi" w:cstheme="minorHAnsi"/>
        </w:rPr>
        <w:t xml:space="preserve"> kalkulowane w sposób ogólny są aktualizowane wraz z postępem prac projektowych.</w:t>
      </w:r>
    </w:p>
    <w:p w:rsidR="009A7CA3" w:rsidRPr="00B20373" w:rsidRDefault="00D440DF" w:rsidP="00AB6844">
      <w:pPr>
        <w:pStyle w:val="Nagwek1"/>
        <w:spacing w:before="0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4.: „W jakich kwotach rewaloryzacja przestrzeni płyty Starego Rynku jest finansowana z</w:t>
      </w:r>
      <w:r w:rsidR="004251E8"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budżetu miejskiego, ze wsparcia finansowego Unii Europejskiej i z zasobów podmiotów dysponujących sieciami infrastruktury podziemnej?”</w:t>
      </w:r>
    </w:p>
    <w:p w:rsidR="00D440DF" w:rsidRPr="0044093B" w:rsidRDefault="00D440DF" w:rsidP="00667608">
      <w:pPr>
        <w:pStyle w:val="Akapitzlist"/>
        <w:spacing w:after="240" w:line="360" w:lineRule="auto"/>
        <w:ind w:left="0"/>
        <w:contextualSpacing w:val="0"/>
        <w:rPr>
          <w:rFonts w:asciiTheme="minorHAnsi" w:hAnsiTheme="minorHAnsi" w:cstheme="minorHAnsi"/>
          <w:iCs/>
        </w:rPr>
      </w:pPr>
      <w:r w:rsidRPr="0044093B">
        <w:rPr>
          <w:rFonts w:asciiTheme="minorHAnsi" w:hAnsiTheme="minorHAnsi" w:cstheme="minorHAnsi"/>
          <w:iCs/>
        </w:rPr>
        <w:t xml:space="preserve">Inwestycja finansowana jest </w:t>
      </w:r>
      <w:r w:rsidR="00BB5E37">
        <w:rPr>
          <w:rFonts w:asciiTheme="minorHAnsi" w:hAnsiTheme="minorHAnsi" w:cstheme="minorHAnsi"/>
          <w:iCs/>
        </w:rPr>
        <w:t>przede wszystkim</w:t>
      </w:r>
      <w:r w:rsidRPr="0044093B">
        <w:rPr>
          <w:rFonts w:asciiTheme="minorHAnsi" w:hAnsiTheme="minorHAnsi" w:cstheme="minorHAnsi"/>
          <w:iCs/>
        </w:rPr>
        <w:t xml:space="preserve"> z budżetu Miasta. Zgodnie</w:t>
      </w:r>
      <w:r>
        <w:rPr>
          <w:rFonts w:asciiTheme="minorHAnsi" w:hAnsiTheme="minorHAnsi" w:cstheme="minorHAnsi"/>
          <w:iCs/>
        </w:rPr>
        <w:t xml:space="preserve"> z</w:t>
      </w:r>
      <w:r w:rsidRPr="0044093B">
        <w:rPr>
          <w:rFonts w:asciiTheme="minorHAnsi" w:hAnsiTheme="minorHAnsi" w:cstheme="minorHAnsi"/>
          <w:iCs/>
        </w:rPr>
        <w:t xml:space="preserve"> zapisami WPF</w:t>
      </w:r>
      <w:r w:rsidR="00CB4323">
        <w:rPr>
          <w:rFonts w:asciiTheme="minorHAnsi" w:hAnsiTheme="minorHAnsi" w:cstheme="minorHAnsi"/>
          <w:iCs/>
        </w:rPr>
        <w:t>,</w:t>
      </w:r>
      <w:r w:rsidRPr="0044093B">
        <w:rPr>
          <w:rFonts w:asciiTheme="minorHAnsi" w:hAnsiTheme="minorHAnsi" w:cstheme="minorHAnsi"/>
          <w:iCs/>
        </w:rPr>
        <w:t xml:space="preserve"> zabezpieczono na ten cel kwotę 139 757 010 zł. Kwota dofinansowania z UE i </w:t>
      </w:r>
      <w:r w:rsidR="001B14CE">
        <w:rPr>
          <w:rFonts w:asciiTheme="minorHAnsi" w:hAnsiTheme="minorHAnsi" w:cstheme="minorHAnsi"/>
          <w:iCs/>
        </w:rPr>
        <w:t>b</w:t>
      </w:r>
      <w:r w:rsidRPr="0044093B">
        <w:rPr>
          <w:rFonts w:asciiTheme="minorHAnsi" w:hAnsiTheme="minorHAnsi" w:cstheme="minorHAnsi"/>
          <w:iCs/>
        </w:rPr>
        <w:t>udżetu Państwa to</w:t>
      </w:r>
      <w:r w:rsidR="007765CE">
        <w:rPr>
          <w:rFonts w:asciiTheme="minorHAnsi" w:hAnsiTheme="minorHAnsi" w:cstheme="minorHAnsi"/>
          <w:iCs/>
        </w:rPr>
        <w:t> </w:t>
      </w:r>
      <w:r w:rsidR="001B14CE">
        <w:rPr>
          <w:rFonts w:asciiTheme="minorHAnsi" w:hAnsiTheme="minorHAnsi" w:cstheme="minorHAnsi"/>
          <w:iCs/>
        </w:rPr>
        <w:t xml:space="preserve">łącznie </w:t>
      </w:r>
      <w:r w:rsidRPr="0044093B">
        <w:rPr>
          <w:rFonts w:asciiTheme="minorHAnsi" w:hAnsiTheme="minorHAnsi" w:cstheme="minorHAnsi"/>
          <w:iCs/>
        </w:rPr>
        <w:t xml:space="preserve">29 966 704,43 </w:t>
      </w:r>
      <w:r w:rsidR="009C4CBD">
        <w:rPr>
          <w:rFonts w:asciiTheme="minorHAnsi" w:hAnsiTheme="minorHAnsi" w:cstheme="minorHAnsi"/>
          <w:iCs/>
        </w:rPr>
        <w:t>zł</w:t>
      </w:r>
      <w:r w:rsidRPr="0044093B">
        <w:rPr>
          <w:rFonts w:asciiTheme="minorHAnsi" w:hAnsiTheme="minorHAnsi" w:cstheme="minorHAnsi"/>
          <w:iCs/>
        </w:rPr>
        <w:t xml:space="preserve">, w tym środki UE to 25 645 622,33 </w:t>
      </w:r>
      <w:r w:rsidR="009C4CBD">
        <w:rPr>
          <w:rFonts w:asciiTheme="minorHAnsi" w:hAnsiTheme="minorHAnsi" w:cstheme="minorHAnsi"/>
          <w:iCs/>
        </w:rPr>
        <w:t>zł</w:t>
      </w:r>
      <w:r w:rsidRPr="0044093B">
        <w:rPr>
          <w:rFonts w:asciiTheme="minorHAnsi" w:hAnsiTheme="minorHAnsi" w:cstheme="minorHAnsi"/>
          <w:iCs/>
        </w:rPr>
        <w:t xml:space="preserve">, a </w:t>
      </w:r>
      <w:r w:rsidR="001B14CE">
        <w:rPr>
          <w:rFonts w:asciiTheme="minorHAnsi" w:hAnsiTheme="minorHAnsi" w:cstheme="minorHAnsi"/>
          <w:iCs/>
        </w:rPr>
        <w:t>b</w:t>
      </w:r>
      <w:r w:rsidRPr="0044093B">
        <w:rPr>
          <w:rFonts w:asciiTheme="minorHAnsi" w:hAnsiTheme="minorHAnsi" w:cstheme="minorHAnsi"/>
          <w:iCs/>
        </w:rPr>
        <w:t>udżetu Państwa 4 321 082,10</w:t>
      </w:r>
      <w:r w:rsidR="00667608">
        <w:rPr>
          <w:rFonts w:asciiTheme="minorHAnsi" w:hAnsiTheme="minorHAnsi" w:cstheme="minorHAnsi"/>
          <w:iCs/>
        </w:rPr>
        <w:t> </w:t>
      </w:r>
      <w:r w:rsidR="009C4CBD">
        <w:rPr>
          <w:rFonts w:asciiTheme="minorHAnsi" w:hAnsiTheme="minorHAnsi" w:cstheme="minorHAnsi"/>
          <w:iCs/>
        </w:rPr>
        <w:t>zł</w:t>
      </w:r>
      <w:r w:rsidRPr="0044093B">
        <w:rPr>
          <w:rFonts w:asciiTheme="minorHAnsi" w:hAnsiTheme="minorHAnsi" w:cstheme="minorHAnsi"/>
          <w:iCs/>
        </w:rPr>
        <w:t>.</w:t>
      </w:r>
    </w:p>
    <w:p w:rsidR="00D440DF" w:rsidRPr="0044093B" w:rsidRDefault="00D440DF" w:rsidP="00667608">
      <w:pPr>
        <w:pStyle w:val="Akapitzlist"/>
        <w:spacing w:after="240" w:line="360" w:lineRule="auto"/>
        <w:ind w:left="0"/>
        <w:contextualSpacing w:val="0"/>
        <w:rPr>
          <w:rFonts w:asciiTheme="minorHAnsi" w:hAnsiTheme="minorHAnsi" w:cstheme="minorHAnsi"/>
          <w:iCs/>
        </w:rPr>
      </w:pPr>
      <w:r w:rsidRPr="0044093B">
        <w:rPr>
          <w:rFonts w:asciiTheme="minorHAnsi" w:hAnsiTheme="minorHAnsi" w:cstheme="minorHAnsi"/>
          <w:iCs/>
        </w:rPr>
        <w:t xml:space="preserve">W kosztach realizacji inwestycji </w:t>
      </w:r>
      <w:r w:rsidR="00EB775C">
        <w:rPr>
          <w:rFonts w:asciiTheme="minorHAnsi" w:hAnsiTheme="minorHAnsi" w:cstheme="minorHAnsi"/>
          <w:iCs/>
        </w:rPr>
        <w:t xml:space="preserve">uczestniczą </w:t>
      </w:r>
      <w:r w:rsidRPr="0044093B">
        <w:rPr>
          <w:rFonts w:asciiTheme="minorHAnsi" w:hAnsiTheme="minorHAnsi" w:cstheme="minorHAnsi"/>
          <w:iCs/>
        </w:rPr>
        <w:t xml:space="preserve">także gestorzy poszczególnych sieci (w zakresie własnego majątku) zgodnie z wyliczeniem przedstawionym w poniższej tabeli. Gestorzy sieci współuczestniczą </w:t>
      </w:r>
      <w:r w:rsidR="007C0BCF">
        <w:rPr>
          <w:rFonts w:asciiTheme="minorHAnsi" w:hAnsiTheme="minorHAnsi" w:cstheme="minorHAnsi"/>
          <w:iCs/>
        </w:rPr>
        <w:t>również</w:t>
      </w:r>
      <w:r w:rsidRPr="0044093B">
        <w:rPr>
          <w:rFonts w:asciiTheme="minorHAnsi" w:hAnsiTheme="minorHAnsi" w:cstheme="minorHAnsi"/>
          <w:iCs/>
        </w:rPr>
        <w:t xml:space="preserve"> w pokryciu kosztów nadzoru Inżyniera Kontraktu, proporcjonalnie do</w:t>
      </w:r>
      <w:r w:rsidR="00667608">
        <w:rPr>
          <w:rFonts w:asciiTheme="minorHAnsi" w:hAnsiTheme="minorHAnsi" w:cstheme="minorHAnsi"/>
          <w:iCs/>
        </w:rPr>
        <w:t> </w:t>
      </w:r>
      <w:r w:rsidRPr="0044093B">
        <w:rPr>
          <w:rFonts w:asciiTheme="minorHAnsi" w:hAnsiTheme="minorHAnsi" w:cstheme="minorHAnsi"/>
          <w:iCs/>
        </w:rPr>
        <w:t>procentowego udziału w zadaniu</w:t>
      </w:r>
      <w:r w:rsidR="00737CCD">
        <w:rPr>
          <w:rFonts w:asciiTheme="minorHAnsi" w:hAnsiTheme="minorHAnsi" w:cstheme="minorHAnsi"/>
          <w:iCs/>
        </w:rPr>
        <w:t>,</w:t>
      </w:r>
      <w:r w:rsidRPr="0044093B">
        <w:rPr>
          <w:rFonts w:asciiTheme="minorHAnsi" w:hAnsiTheme="minorHAnsi" w:cstheme="minorHAnsi"/>
          <w:iCs/>
        </w:rPr>
        <w:t xml:space="preserve"> zgodnie z podpisaną umową.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Koszt realizacji inwestycji"/>
        <w:tblDescription w:val="Koszt prac projektowo-budowlanych i nadzoru inżyniera kontraktu dla poszczególnych jednostek."/>
      </w:tblPr>
      <w:tblGrid>
        <w:gridCol w:w="4248"/>
        <w:gridCol w:w="2835"/>
        <w:gridCol w:w="2573"/>
      </w:tblGrid>
      <w:tr w:rsidR="00B51B74" w:rsidRPr="00052BAA" w:rsidTr="00AB6844">
        <w:trPr>
          <w:trHeight w:val="665"/>
          <w:tblHeader/>
          <w:jc w:val="center"/>
        </w:trPr>
        <w:tc>
          <w:tcPr>
            <w:tcW w:w="4248" w:type="dxa"/>
            <w:vAlign w:val="center"/>
          </w:tcPr>
          <w:p w:rsidR="00B51B74" w:rsidRPr="002A13FA" w:rsidRDefault="008B01EB" w:rsidP="002A13FA">
            <w:pPr>
              <w:pStyle w:val="Nagwek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13FA"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Zamawiający</w:t>
            </w:r>
          </w:p>
        </w:tc>
        <w:tc>
          <w:tcPr>
            <w:tcW w:w="2835" w:type="dxa"/>
            <w:vAlign w:val="center"/>
          </w:tcPr>
          <w:p w:rsidR="00B51B74" w:rsidRPr="002A13FA" w:rsidRDefault="008B01EB" w:rsidP="002A13FA">
            <w:pPr>
              <w:pStyle w:val="Nagwek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13FA"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Koszt prac projektowo-budowlanych</w:t>
            </w:r>
          </w:p>
        </w:tc>
        <w:tc>
          <w:tcPr>
            <w:tcW w:w="2573" w:type="dxa"/>
            <w:vAlign w:val="center"/>
          </w:tcPr>
          <w:p w:rsidR="00B51B74" w:rsidRPr="002A13FA" w:rsidRDefault="008B01EB" w:rsidP="002A13FA">
            <w:pPr>
              <w:pStyle w:val="Nagwek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13FA">
              <w:rPr>
                <w:rFonts w:asciiTheme="minorHAnsi" w:hAnsi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Koszt nadzoru inżyniera kontraktu</w:t>
            </w:r>
          </w:p>
        </w:tc>
      </w:tr>
      <w:tr w:rsidR="00B51B74" w:rsidRPr="00052BAA" w:rsidTr="006F22D5">
        <w:trPr>
          <w:trHeight w:val="553"/>
          <w:jc w:val="center"/>
        </w:trPr>
        <w:tc>
          <w:tcPr>
            <w:tcW w:w="4248" w:type="dxa"/>
            <w:vAlign w:val="center"/>
          </w:tcPr>
          <w:p w:rsidR="00D66B08" w:rsidRDefault="00B51B74" w:rsidP="00D66B0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 xml:space="preserve">Miasto Poznań </w:t>
            </w:r>
          </w:p>
          <w:p w:rsidR="00B51B74" w:rsidRPr="00052BAA" w:rsidRDefault="00B51B74" w:rsidP="00D66B0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>B</w:t>
            </w:r>
            <w:r w:rsidR="00D66B08">
              <w:rPr>
                <w:rFonts w:asciiTheme="minorHAnsi" w:hAnsiTheme="minorHAnsi" w:cstheme="minorHAnsi"/>
              </w:rPr>
              <w:t>iuro Koordynacji Projektów i Rewitalizacji Miasta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116 425 525,80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2 544 458,58 zł</w:t>
            </w:r>
          </w:p>
        </w:tc>
      </w:tr>
      <w:tr w:rsidR="00B51B74" w:rsidRPr="00052BAA" w:rsidTr="006F22D5">
        <w:trPr>
          <w:trHeight w:val="688"/>
          <w:jc w:val="center"/>
        </w:trPr>
        <w:tc>
          <w:tcPr>
            <w:tcW w:w="4248" w:type="dxa"/>
            <w:vAlign w:val="center"/>
          </w:tcPr>
          <w:p w:rsidR="00D66B08" w:rsidRDefault="00B51B74" w:rsidP="00463C14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 xml:space="preserve">Miasto Poznań </w:t>
            </w:r>
          </w:p>
          <w:p w:rsidR="00463C14" w:rsidRDefault="00D66B08" w:rsidP="00463C14">
            <w:pPr>
              <w:pStyle w:val="Default"/>
              <w:spacing w:line="360" w:lineRule="auto"/>
              <w:jc w:val="center"/>
            </w:pPr>
            <w:r>
              <w:rPr>
                <w:rFonts w:asciiTheme="minorHAnsi" w:hAnsiTheme="minorHAnsi" w:cstheme="minorHAnsi"/>
              </w:rPr>
              <w:t>Wydział Zamówień i Obsługi Urządzeń</w:t>
            </w:r>
            <w:r w:rsidR="00B51B74" w:rsidRPr="00052BAA">
              <w:rPr>
                <w:rFonts w:asciiTheme="minorHAnsi" w:hAnsiTheme="minorHAnsi" w:cstheme="minorHAnsi"/>
              </w:rPr>
              <w:t xml:space="preserve"> </w:t>
            </w:r>
          </w:p>
          <w:p w:rsidR="00B51B74" w:rsidRPr="00052BAA" w:rsidRDefault="00AF336A" w:rsidP="00463C14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B51B74" w:rsidRPr="00052BAA">
              <w:rPr>
                <w:rFonts w:asciiTheme="minorHAnsi" w:hAnsiTheme="minorHAnsi" w:cstheme="minorHAnsi"/>
              </w:rPr>
              <w:t>budowa Wagi Miejskiej)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1 556 458,30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34 016,11 zł</w:t>
            </w:r>
          </w:p>
        </w:tc>
      </w:tr>
      <w:tr w:rsidR="00B51B74" w:rsidRPr="00052BAA" w:rsidTr="006F22D5">
        <w:trPr>
          <w:trHeight w:val="620"/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52BAA">
              <w:rPr>
                <w:rFonts w:asciiTheme="minorHAnsi" w:hAnsiTheme="minorHAnsi" w:cstheme="minorHAnsi"/>
              </w:rPr>
              <w:lastRenderedPageBreak/>
              <w:t>Aquanet</w:t>
            </w:r>
            <w:proofErr w:type="spellEnd"/>
            <w:r w:rsidRPr="00052BAA">
              <w:rPr>
                <w:rFonts w:asciiTheme="minorHAnsi" w:hAnsiTheme="minorHAnsi" w:cstheme="minorHAnsi"/>
              </w:rPr>
              <w:t xml:space="preserve"> S.A.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10 686 818,31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233 558,46 zł</w:t>
            </w:r>
          </w:p>
        </w:tc>
      </w:tr>
      <w:tr w:rsidR="00B51B74" w:rsidRPr="00052BAA" w:rsidTr="006F22D5">
        <w:trPr>
          <w:trHeight w:val="1545"/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>Polska Spółka Gazownictwa Sp. z</w:t>
            </w:r>
            <w:r w:rsidR="00052BAA" w:rsidRPr="00052BAA">
              <w:rPr>
                <w:rFonts w:asciiTheme="minorHAnsi" w:hAnsiTheme="minorHAnsi" w:cstheme="minorHAnsi"/>
              </w:rPr>
              <w:t xml:space="preserve"> </w:t>
            </w:r>
            <w:r w:rsidRPr="00052BAA">
              <w:rPr>
                <w:rFonts w:asciiTheme="minorHAnsi" w:hAnsiTheme="minorHAnsi" w:cstheme="minorHAnsi"/>
              </w:rPr>
              <w:t>o.o. (tylko koszty projektowania,</w:t>
            </w:r>
            <w:r w:rsidR="00052BAA" w:rsidRPr="00052BAA">
              <w:rPr>
                <w:rFonts w:asciiTheme="minorHAnsi" w:hAnsiTheme="minorHAnsi" w:cstheme="minorHAnsi"/>
              </w:rPr>
              <w:t xml:space="preserve"> </w:t>
            </w:r>
            <w:r w:rsidRPr="00052BAA">
              <w:rPr>
                <w:rFonts w:asciiTheme="minorHAnsi" w:hAnsiTheme="minorHAnsi" w:cstheme="minorHAnsi"/>
              </w:rPr>
              <w:t>prace budowlane poza umową z</w:t>
            </w:r>
            <w:r w:rsidR="00524171">
              <w:rPr>
                <w:rFonts w:asciiTheme="minorHAnsi" w:hAnsiTheme="minorHAnsi" w:cstheme="minorHAnsi"/>
              </w:rPr>
              <w:t> </w:t>
            </w:r>
            <w:r w:rsidRPr="00052BAA">
              <w:rPr>
                <w:rFonts w:asciiTheme="minorHAnsi" w:hAnsiTheme="minorHAnsi" w:cstheme="minorHAnsi"/>
              </w:rPr>
              <w:t>UM)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336 537,45zł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114 448,93 zł</w:t>
            </w:r>
          </w:p>
        </w:tc>
      </w:tr>
      <w:tr w:rsidR="00B51B74" w:rsidRPr="00052BAA" w:rsidTr="006F22D5">
        <w:trPr>
          <w:trHeight w:val="546"/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>Orange Polska S.A.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44 841,76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980,01 zł</w:t>
            </w:r>
          </w:p>
        </w:tc>
      </w:tr>
      <w:tr w:rsidR="00B51B74" w:rsidRPr="00052BAA" w:rsidTr="006F22D5">
        <w:trPr>
          <w:trHeight w:val="568"/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>Enea Oświetlenie Sp. z o.o.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750 785,56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16 408,28 zł</w:t>
            </w:r>
          </w:p>
        </w:tc>
      </w:tr>
      <w:tr w:rsidR="00B51B74" w:rsidRPr="00052BAA" w:rsidTr="006F22D5">
        <w:trPr>
          <w:trHeight w:val="562"/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52BAA">
              <w:rPr>
                <w:rFonts w:asciiTheme="minorHAnsi" w:hAnsiTheme="minorHAnsi" w:cstheme="minorHAnsi"/>
              </w:rPr>
              <w:t>Veolia</w:t>
            </w:r>
            <w:proofErr w:type="spellEnd"/>
            <w:r w:rsidRPr="00052BAA">
              <w:rPr>
                <w:rFonts w:asciiTheme="minorHAnsi" w:hAnsiTheme="minorHAnsi" w:cstheme="minorHAnsi"/>
              </w:rPr>
              <w:t xml:space="preserve"> Energia Poznań S.A.</w:t>
            </w: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90 580,37 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1 979,63 zł</w:t>
            </w:r>
          </w:p>
        </w:tc>
      </w:tr>
      <w:tr w:rsidR="00B51B74" w:rsidRPr="00052BAA" w:rsidTr="006F22D5">
        <w:trPr>
          <w:jc w:val="center"/>
        </w:trPr>
        <w:tc>
          <w:tcPr>
            <w:tcW w:w="4248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B51B74" w:rsidRPr="00052BAA" w:rsidRDefault="00B51B74" w:rsidP="00735FFF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52BAA">
              <w:rPr>
                <w:rFonts w:asciiTheme="minorHAnsi" w:hAnsiTheme="minorHAnsi" w:cstheme="minorHAnsi"/>
                <w:szCs w:val="24"/>
              </w:rPr>
              <w:t>129 891 547,55 zł</w:t>
            </w:r>
          </w:p>
        </w:tc>
        <w:tc>
          <w:tcPr>
            <w:tcW w:w="2573" w:type="dxa"/>
            <w:vAlign w:val="center"/>
          </w:tcPr>
          <w:p w:rsidR="00B51B74" w:rsidRPr="00052BAA" w:rsidRDefault="00B51B74" w:rsidP="00735FFF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52BAA">
              <w:rPr>
                <w:rFonts w:asciiTheme="minorHAnsi" w:hAnsiTheme="minorHAnsi" w:cstheme="minorHAnsi"/>
              </w:rPr>
              <w:t>2 945 850,00</w:t>
            </w:r>
          </w:p>
        </w:tc>
      </w:tr>
    </w:tbl>
    <w:p w:rsidR="0014484D" w:rsidRPr="00B20373" w:rsidRDefault="00D440DF" w:rsidP="00B20373">
      <w:pPr>
        <w:pStyle w:val="Nagwek1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373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5.: „Do jakich zmian może jeszcze dojść w zakresie kosztów rewaloryzacji przestrzeni płyty Starego Rynku, a także z jakich przyczyn może dojść do tych zmian?”</w:t>
      </w:r>
    </w:p>
    <w:p w:rsidR="00D440DF" w:rsidRPr="0044093B" w:rsidRDefault="00D440DF" w:rsidP="000E5749">
      <w:pPr>
        <w:rPr>
          <w:rFonts w:asciiTheme="minorHAnsi" w:hAnsiTheme="minorHAnsi" w:cstheme="minorHAnsi"/>
          <w:szCs w:val="24"/>
        </w:rPr>
      </w:pPr>
      <w:r w:rsidRPr="0044093B">
        <w:rPr>
          <w:rFonts w:asciiTheme="minorHAnsi" w:hAnsiTheme="minorHAnsi" w:cstheme="minorHAnsi"/>
          <w:szCs w:val="24"/>
        </w:rPr>
        <w:t xml:space="preserve">Przyjęta formuła realizacji inwestycji </w:t>
      </w:r>
      <w:r w:rsidR="00BE3C9D">
        <w:rPr>
          <w:rFonts w:asciiTheme="minorHAnsi" w:hAnsiTheme="minorHAnsi" w:cstheme="minorHAnsi"/>
          <w:szCs w:val="24"/>
        </w:rPr>
        <w:t>(projektuj i wybuduj)</w:t>
      </w:r>
      <w:r w:rsidRPr="0044093B">
        <w:rPr>
          <w:rFonts w:asciiTheme="minorHAnsi" w:hAnsiTheme="minorHAnsi" w:cstheme="minorHAnsi"/>
          <w:szCs w:val="24"/>
        </w:rPr>
        <w:t xml:space="preserve"> </w:t>
      </w:r>
      <w:r w:rsidR="00BE3C9D">
        <w:rPr>
          <w:rFonts w:asciiTheme="minorHAnsi" w:hAnsiTheme="minorHAnsi" w:cstheme="minorHAnsi"/>
          <w:szCs w:val="24"/>
        </w:rPr>
        <w:t>sprawia</w:t>
      </w:r>
      <w:r w:rsidRPr="0044093B">
        <w:rPr>
          <w:rFonts w:asciiTheme="minorHAnsi" w:hAnsiTheme="minorHAnsi" w:cstheme="minorHAnsi"/>
          <w:szCs w:val="24"/>
        </w:rPr>
        <w:t xml:space="preserve">, że </w:t>
      </w:r>
      <w:r w:rsidR="00BE3C9D" w:rsidRPr="0044093B">
        <w:rPr>
          <w:rFonts w:asciiTheme="minorHAnsi" w:hAnsiTheme="minorHAnsi" w:cstheme="minorHAnsi"/>
          <w:szCs w:val="24"/>
        </w:rPr>
        <w:t>wraz z postępem prac</w:t>
      </w:r>
      <w:r w:rsidR="007765CE">
        <w:rPr>
          <w:rFonts w:asciiTheme="minorHAnsi" w:hAnsiTheme="minorHAnsi" w:cstheme="minorHAnsi"/>
          <w:szCs w:val="24"/>
        </w:rPr>
        <w:t> </w:t>
      </w:r>
      <w:r w:rsidR="00BE3C9D" w:rsidRPr="0044093B">
        <w:rPr>
          <w:rFonts w:asciiTheme="minorHAnsi" w:hAnsiTheme="minorHAnsi" w:cstheme="minorHAnsi"/>
          <w:szCs w:val="24"/>
        </w:rPr>
        <w:t xml:space="preserve">projektowych </w:t>
      </w:r>
      <w:r w:rsidRPr="0044093B">
        <w:rPr>
          <w:rFonts w:asciiTheme="minorHAnsi" w:hAnsiTheme="minorHAnsi" w:cstheme="minorHAnsi"/>
          <w:szCs w:val="24"/>
        </w:rPr>
        <w:t>należy liczyć się z możliwością zmian kosztów realizacji robót i ich aktualizacją.</w:t>
      </w:r>
      <w:r w:rsidR="00F557F1">
        <w:rPr>
          <w:rFonts w:asciiTheme="minorHAnsi" w:hAnsiTheme="minorHAnsi" w:cstheme="minorHAnsi"/>
          <w:szCs w:val="24"/>
        </w:rPr>
        <w:t xml:space="preserve"> Ewentualne wystąpienie niezidentyfikowanych wcześniej zdarzeń (kolizj</w:t>
      </w:r>
      <w:r w:rsidR="004D6084">
        <w:rPr>
          <w:rFonts w:asciiTheme="minorHAnsi" w:hAnsiTheme="minorHAnsi" w:cstheme="minorHAnsi"/>
          <w:szCs w:val="24"/>
        </w:rPr>
        <w:t>e</w:t>
      </w:r>
      <w:r w:rsidR="00F557F1">
        <w:rPr>
          <w:rFonts w:asciiTheme="minorHAnsi" w:hAnsiTheme="minorHAnsi" w:cstheme="minorHAnsi"/>
          <w:szCs w:val="24"/>
        </w:rPr>
        <w:t xml:space="preserve"> sieci, kolizj</w:t>
      </w:r>
      <w:r w:rsidR="004D6084">
        <w:rPr>
          <w:rFonts w:asciiTheme="minorHAnsi" w:hAnsiTheme="minorHAnsi" w:cstheme="minorHAnsi"/>
          <w:szCs w:val="24"/>
        </w:rPr>
        <w:t>e</w:t>
      </w:r>
      <w:r w:rsidR="00F557F1">
        <w:rPr>
          <w:rFonts w:asciiTheme="minorHAnsi" w:hAnsiTheme="minorHAnsi" w:cstheme="minorHAnsi"/>
          <w:szCs w:val="24"/>
        </w:rPr>
        <w:t xml:space="preserve"> budowli z</w:t>
      </w:r>
      <w:r w:rsidR="007765CE">
        <w:rPr>
          <w:rFonts w:asciiTheme="minorHAnsi" w:hAnsiTheme="minorHAnsi" w:cstheme="minorHAnsi"/>
          <w:szCs w:val="24"/>
        </w:rPr>
        <w:t> </w:t>
      </w:r>
      <w:r w:rsidR="00F557F1">
        <w:rPr>
          <w:rFonts w:asciiTheme="minorHAnsi" w:hAnsiTheme="minorHAnsi" w:cstheme="minorHAnsi"/>
          <w:szCs w:val="24"/>
        </w:rPr>
        <w:t>elementami uzbrojenia czy zabytkami) oraz konieczność wykonania dodatkowych</w:t>
      </w:r>
      <w:r w:rsidR="00833A02" w:rsidRPr="00833A02">
        <w:rPr>
          <w:rFonts w:asciiTheme="minorHAnsi" w:hAnsiTheme="minorHAnsi" w:cstheme="minorHAnsi"/>
          <w:szCs w:val="24"/>
        </w:rPr>
        <w:t xml:space="preserve"> </w:t>
      </w:r>
      <w:r w:rsidR="00833A02">
        <w:rPr>
          <w:rFonts w:asciiTheme="minorHAnsi" w:hAnsiTheme="minorHAnsi" w:cstheme="minorHAnsi"/>
          <w:szCs w:val="24"/>
        </w:rPr>
        <w:t>robót</w:t>
      </w:r>
      <w:r w:rsidR="00F557F1">
        <w:rPr>
          <w:rFonts w:asciiTheme="minorHAnsi" w:hAnsiTheme="minorHAnsi" w:cstheme="minorHAnsi"/>
          <w:szCs w:val="24"/>
        </w:rPr>
        <w:t>, nieprzewidzianych na wcześniejszym etapie, także mogą spowodować w</w:t>
      </w:r>
      <w:r w:rsidRPr="0044093B">
        <w:rPr>
          <w:rFonts w:asciiTheme="minorHAnsi" w:hAnsiTheme="minorHAnsi" w:cstheme="minorHAnsi"/>
          <w:szCs w:val="24"/>
        </w:rPr>
        <w:t>zrost kosztów</w:t>
      </w:r>
      <w:r w:rsidR="00F557F1">
        <w:rPr>
          <w:rFonts w:asciiTheme="minorHAnsi" w:hAnsiTheme="minorHAnsi" w:cstheme="minorHAnsi"/>
          <w:szCs w:val="24"/>
        </w:rPr>
        <w:t xml:space="preserve">. </w:t>
      </w:r>
      <w:r w:rsidRPr="0044093B">
        <w:rPr>
          <w:rFonts w:asciiTheme="minorHAnsi" w:hAnsiTheme="minorHAnsi" w:cstheme="minorHAnsi"/>
          <w:szCs w:val="24"/>
        </w:rPr>
        <w:t>Ponadto,</w:t>
      </w:r>
      <w:r w:rsidR="007765CE">
        <w:rPr>
          <w:rFonts w:asciiTheme="minorHAnsi" w:hAnsiTheme="minorHAnsi" w:cstheme="minorHAnsi"/>
          <w:szCs w:val="24"/>
        </w:rPr>
        <w:t> </w:t>
      </w:r>
      <w:r w:rsidRPr="0044093B">
        <w:rPr>
          <w:rFonts w:asciiTheme="minorHAnsi" w:hAnsiTheme="minorHAnsi" w:cstheme="minorHAnsi"/>
          <w:szCs w:val="24"/>
        </w:rPr>
        <w:t>na</w:t>
      </w:r>
      <w:r w:rsidR="007765CE">
        <w:rPr>
          <w:rFonts w:asciiTheme="minorHAnsi" w:hAnsiTheme="minorHAnsi" w:cstheme="minorHAnsi"/>
          <w:szCs w:val="24"/>
        </w:rPr>
        <w:t> </w:t>
      </w:r>
      <w:r w:rsidRPr="0044093B">
        <w:rPr>
          <w:rFonts w:asciiTheme="minorHAnsi" w:hAnsiTheme="minorHAnsi" w:cstheme="minorHAnsi"/>
          <w:szCs w:val="24"/>
        </w:rPr>
        <w:t>skutek uregulowań ustawowych (</w:t>
      </w:r>
      <w:r w:rsidR="00B3653A">
        <w:rPr>
          <w:rFonts w:asciiTheme="minorHAnsi" w:hAnsiTheme="minorHAnsi" w:cstheme="minorHAnsi"/>
          <w:szCs w:val="24"/>
        </w:rPr>
        <w:t xml:space="preserve">Ustawa </w:t>
      </w:r>
      <w:r w:rsidRPr="0044093B">
        <w:rPr>
          <w:rFonts w:asciiTheme="minorHAnsi" w:hAnsiTheme="minorHAnsi" w:cstheme="minorHAnsi"/>
          <w:szCs w:val="24"/>
        </w:rPr>
        <w:t>P</w:t>
      </w:r>
      <w:r w:rsidR="00B3653A">
        <w:rPr>
          <w:rFonts w:asciiTheme="minorHAnsi" w:hAnsiTheme="minorHAnsi" w:cstheme="minorHAnsi"/>
          <w:szCs w:val="24"/>
        </w:rPr>
        <w:t>rawo zamówień publicznych</w:t>
      </w:r>
      <w:r w:rsidRPr="0044093B">
        <w:rPr>
          <w:rFonts w:asciiTheme="minorHAnsi" w:hAnsiTheme="minorHAnsi" w:cstheme="minorHAnsi"/>
          <w:szCs w:val="24"/>
        </w:rPr>
        <w:t>) możliwe są</w:t>
      </w:r>
      <w:r w:rsidR="007765CE">
        <w:rPr>
          <w:rFonts w:asciiTheme="minorHAnsi" w:hAnsiTheme="minorHAnsi" w:cstheme="minorHAnsi"/>
          <w:szCs w:val="24"/>
        </w:rPr>
        <w:t> </w:t>
      </w:r>
      <w:r w:rsidRPr="0044093B">
        <w:rPr>
          <w:rFonts w:asciiTheme="minorHAnsi" w:hAnsiTheme="minorHAnsi" w:cstheme="minorHAnsi"/>
          <w:szCs w:val="24"/>
        </w:rPr>
        <w:t>również zmiany w zakresie waloryzacji cen kontraktu.</w:t>
      </w:r>
      <w:r w:rsidR="00883D93">
        <w:rPr>
          <w:rFonts w:asciiTheme="minorHAnsi" w:hAnsiTheme="minorHAnsi" w:cstheme="minorHAnsi"/>
          <w:szCs w:val="24"/>
        </w:rPr>
        <w:t xml:space="preserve"> </w:t>
      </w:r>
      <w:r w:rsidRPr="0044093B">
        <w:rPr>
          <w:rFonts w:asciiTheme="minorHAnsi" w:hAnsiTheme="minorHAnsi" w:cstheme="minorHAnsi"/>
          <w:szCs w:val="24"/>
        </w:rPr>
        <w:t xml:space="preserve">Ostateczna wartość inwestycji możliwa będzie do przedstawienia po zakończeniu realizacji zadania. </w:t>
      </w:r>
    </w:p>
    <w:p w:rsidR="006F4075" w:rsidRDefault="008F70E3" w:rsidP="006F4075">
      <w:pPr>
        <w:spacing w:after="0"/>
        <w:ind w:left="5245"/>
        <w:jc w:val="center"/>
      </w:pPr>
      <w:r w:rsidRPr="001C3189">
        <w:t>Z wyrazami szacunku</w:t>
      </w:r>
      <w:r w:rsidR="00001BFD">
        <w:t xml:space="preserve"> </w:t>
      </w:r>
      <w:r w:rsidR="00094F56">
        <w:br/>
      </w:r>
      <w:r w:rsidR="006F4075">
        <w:t>Z up. PREZYDENTA MIASTA</w:t>
      </w:r>
    </w:p>
    <w:p w:rsidR="006F4075" w:rsidRDefault="006F4075" w:rsidP="006F4075">
      <w:pPr>
        <w:spacing w:after="0"/>
        <w:ind w:left="5245"/>
        <w:jc w:val="center"/>
      </w:pPr>
      <w:r>
        <w:t>(-) Mariusz Wiśniewski</w:t>
      </w:r>
    </w:p>
    <w:p w:rsidR="00E9439A" w:rsidRPr="001C3189" w:rsidRDefault="006F4075" w:rsidP="006F4075">
      <w:pPr>
        <w:spacing w:after="0"/>
        <w:ind w:left="5245"/>
        <w:jc w:val="center"/>
      </w:pPr>
      <w:r>
        <w:t>Z-CA PREZYDENTA MIASTA POZNANIA</w:t>
      </w:r>
      <w:bookmarkStart w:id="0" w:name="_GoBack"/>
      <w:bookmarkEnd w:id="0"/>
    </w:p>
    <w:p w:rsidR="004A214D" w:rsidRPr="004A214D" w:rsidRDefault="004A214D" w:rsidP="00824786">
      <w:pPr>
        <w:spacing w:before="480"/>
      </w:pPr>
      <w:r w:rsidRPr="004A214D">
        <w:lastRenderedPageBreak/>
        <w:t>Zał. 1</w:t>
      </w:r>
    </w:p>
    <w:p w:rsidR="008F70E3" w:rsidRPr="001C3189" w:rsidRDefault="008F70E3" w:rsidP="009732D3">
      <w:pPr>
        <w:spacing w:before="120"/>
      </w:pPr>
      <w:r w:rsidRPr="00CA19BE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 w:rsidSect="00D36FEF">
      <w:footerReference w:type="default" r:id="rId8"/>
      <w:headerReference w:type="first" r:id="rId9"/>
      <w:footerReference w:type="first" r:id="rId10"/>
      <w:type w:val="continuous"/>
      <w:pgSz w:w="11906" w:h="16838"/>
      <w:pgMar w:top="2410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54" w:rsidRDefault="00D16354">
      <w:pPr>
        <w:spacing w:after="0" w:line="240" w:lineRule="auto"/>
      </w:pPr>
      <w:r>
        <w:separator/>
      </w:r>
    </w:p>
  </w:endnote>
  <w:endnote w:type="continuationSeparator" w:id="0">
    <w:p w:rsidR="00D16354" w:rsidRDefault="00D1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C7AD2">
      <w:rPr>
        <w:rFonts w:cs="Calibri"/>
        <w:noProof/>
      </w:rPr>
      <w:t>4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54" w:rsidRDefault="00D1635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16354" w:rsidRDefault="00D1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E0D7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4" name="Obraz 4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77"/>
    <w:rsid w:val="00001BFD"/>
    <w:rsid w:val="00023C66"/>
    <w:rsid w:val="00024438"/>
    <w:rsid w:val="00026044"/>
    <w:rsid w:val="0002639F"/>
    <w:rsid w:val="00052BAA"/>
    <w:rsid w:val="000534CE"/>
    <w:rsid w:val="00056714"/>
    <w:rsid w:val="0006405F"/>
    <w:rsid w:val="0006544F"/>
    <w:rsid w:val="0006609D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474A"/>
    <w:rsid w:val="000C1818"/>
    <w:rsid w:val="000D5061"/>
    <w:rsid w:val="000D53FD"/>
    <w:rsid w:val="000D6587"/>
    <w:rsid w:val="000E2F25"/>
    <w:rsid w:val="000E5749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2619"/>
    <w:rsid w:val="00164171"/>
    <w:rsid w:val="00165DE5"/>
    <w:rsid w:val="001676A9"/>
    <w:rsid w:val="00177ED4"/>
    <w:rsid w:val="00181C27"/>
    <w:rsid w:val="00193997"/>
    <w:rsid w:val="001A0A65"/>
    <w:rsid w:val="001B14CE"/>
    <w:rsid w:val="001C00FA"/>
    <w:rsid w:val="001C3189"/>
    <w:rsid w:val="001D36F5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39A7"/>
    <w:rsid w:val="0028454A"/>
    <w:rsid w:val="00286735"/>
    <w:rsid w:val="0029418A"/>
    <w:rsid w:val="002A13FA"/>
    <w:rsid w:val="002A2CC8"/>
    <w:rsid w:val="002A34D6"/>
    <w:rsid w:val="002B4162"/>
    <w:rsid w:val="002C1820"/>
    <w:rsid w:val="002C229E"/>
    <w:rsid w:val="002C615B"/>
    <w:rsid w:val="002C69E1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0F13"/>
    <w:rsid w:val="00356512"/>
    <w:rsid w:val="003657F3"/>
    <w:rsid w:val="00371E81"/>
    <w:rsid w:val="00376694"/>
    <w:rsid w:val="00395DAE"/>
    <w:rsid w:val="003B2B68"/>
    <w:rsid w:val="003B716F"/>
    <w:rsid w:val="003D0CF8"/>
    <w:rsid w:val="003D4A04"/>
    <w:rsid w:val="003E0856"/>
    <w:rsid w:val="003E148F"/>
    <w:rsid w:val="003F3BC8"/>
    <w:rsid w:val="004100D7"/>
    <w:rsid w:val="004152E2"/>
    <w:rsid w:val="004251E8"/>
    <w:rsid w:val="00426A54"/>
    <w:rsid w:val="0043175F"/>
    <w:rsid w:val="00436716"/>
    <w:rsid w:val="00444C44"/>
    <w:rsid w:val="004464E9"/>
    <w:rsid w:val="00463C14"/>
    <w:rsid w:val="00464E58"/>
    <w:rsid w:val="00480984"/>
    <w:rsid w:val="00495636"/>
    <w:rsid w:val="004A0346"/>
    <w:rsid w:val="004A214D"/>
    <w:rsid w:val="004B6B32"/>
    <w:rsid w:val="004C7A0B"/>
    <w:rsid w:val="004D6084"/>
    <w:rsid w:val="004E2D6A"/>
    <w:rsid w:val="004F1F55"/>
    <w:rsid w:val="004F5030"/>
    <w:rsid w:val="005015EB"/>
    <w:rsid w:val="005032C8"/>
    <w:rsid w:val="005157BD"/>
    <w:rsid w:val="00524171"/>
    <w:rsid w:val="00524FC3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0B9B"/>
    <w:rsid w:val="005F2FC4"/>
    <w:rsid w:val="005F46D1"/>
    <w:rsid w:val="006044E4"/>
    <w:rsid w:val="00605A18"/>
    <w:rsid w:val="0061594F"/>
    <w:rsid w:val="00624255"/>
    <w:rsid w:val="00647DB7"/>
    <w:rsid w:val="00655A22"/>
    <w:rsid w:val="00667608"/>
    <w:rsid w:val="00671ED1"/>
    <w:rsid w:val="00672CA1"/>
    <w:rsid w:val="00681F26"/>
    <w:rsid w:val="006A2562"/>
    <w:rsid w:val="006A4468"/>
    <w:rsid w:val="006B3A61"/>
    <w:rsid w:val="006C3A8D"/>
    <w:rsid w:val="006F22D5"/>
    <w:rsid w:val="006F23BB"/>
    <w:rsid w:val="006F36C0"/>
    <w:rsid w:val="006F4075"/>
    <w:rsid w:val="00703EB1"/>
    <w:rsid w:val="00705A65"/>
    <w:rsid w:val="00712DB9"/>
    <w:rsid w:val="007242D8"/>
    <w:rsid w:val="007254DA"/>
    <w:rsid w:val="00734E81"/>
    <w:rsid w:val="00735FFF"/>
    <w:rsid w:val="00737CCD"/>
    <w:rsid w:val="007404A0"/>
    <w:rsid w:val="00740B88"/>
    <w:rsid w:val="00740F0B"/>
    <w:rsid w:val="0074574B"/>
    <w:rsid w:val="0075049D"/>
    <w:rsid w:val="007635E6"/>
    <w:rsid w:val="007765CE"/>
    <w:rsid w:val="00781EEE"/>
    <w:rsid w:val="00785D01"/>
    <w:rsid w:val="00786310"/>
    <w:rsid w:val="0078684D"/>
    <w:rsid w:val="007940BA"/>
    <w:rsid w:val="007A5017"/>
    <w:rsid w:val="007C0BCF"/>
    <w:rsid w:val="007C1BCA"/>
    <w:rsid w:val="007C239F"/>
    <w:rsid w:val="007F02C8"/>
    <w:rsid w:val="007F194F"/>
    <w:rsid w:val="007F343B"/>
    <w:rsid w:val="007F343D"/>
    <w:rsid w:val="007F4EF5"/>
    <w:rsid w:val="00820465"/>
    <w:rsid w:val="00824786"/>
    <w:rsid w:val="008263C8"/>
    <w:rsid w:val="00833A02"/>
    <w:rsid w:val="00833A95"/>
    <w:rsid w:val="008408C1"/>
    <w:rsid w:val="00860023"/>
    <w:rsid w:val="00870D5C"/>
    <w:rsid w:val="00876321"/>
    <w:rsid w:val="00881333"/>
    <w:rsid w:val="00883D93"/>
    <w:rsid w:val="00894DB7"/>
    <w:rsid w:val="008B01EB"/>
    <w:rsid w:val="008B16B0"/>
    <w:rsid w:val="008B4066"/>
    <w:rsid w:val="008D03F4"/>
    <w:rsid w:val="008D5DD2"/>
    <w:rsid w:val="008F6F6F"/>
    <w:rsid w:val="008F70E3"/>
    <w:rsid w:val="00903647"/>
    <w:rsid w:val="009044F0"/>
    <w:rsid w:val="009047D5"/>
    <w:rsid w:val="009244F6"/>
    <w:rsid w:val="0093079D"/>
    <w:rsid w:val="00930B86"/>
    <w:rsid w:val="00937C3D"/>
    <w:rsid w:val="00945449"/>
    <w:rsid w:val="00946D1C"/>
    <w:rsid w:val="00954D55"/>
    <w:rsid w:val="009575F0"/>
    <w:rsid w:val="00961AF7"/>
    <w:rsid w:val="00963C97"/>
    <w:rsid w:val="00966E6E"/>
    <w:rsid w:val="00967B34"/>
    <w:rsid w:val="009732D3"/>
    <w:rsid w:val="00993B97"/>
    <w:rsid w:val="009A7850"/>
    <w:rsid w:val="009A7CA3"/>
    <w:rsid w:val="009C1310"/>
    <w:rsid w:val="009C3D40"/>
    <w:rsid w:val="009C4CBD"/>
    <w:rsid w:val="009C7AD2"/>
    <w:rsid w:val="009E0D77"/>
    <w:rsid w:val="009E41E2"/>
    <w:rsid w:val="009F0B3E"/>
    <w:rsid w:val="009F0EAA"/>
    <w:rsid w:val="009F58BA"/>
    <w:rsid w:val="00A170D5"/>
    <w:rsid w:val="00A25216"/>
    <w:rsid w:val="00A33D2F"/>
    <w:rsid w:val="00A35258"/>
    <w:rsid w:val="00A40F0B"/>
    <w:rsid w:val="00A537E4"/>
    <w:rsid w:val="00A54ECC"/>
    <w:rsid w:val="00A624AB"/>
    <w:rsid w:val="00A6606D"/>
    <w:rsid w:val="00A74796"/>
    <w:rsid w:val="00A76EE5"/>
    <w:rsid w:val="00A904A2"/>
    <w:rsid w:val="00A92397"/>
    <w:rsid w:val="00AA08B5"/>
    <w:rsid w:val="00AA3E53"/>
    <w:rsid w:val="00AB6844"/>
    <w:rsid w:val="00AC3010"/>
    <w:rsid w:val="00AE1E38"/>
    <w:rsid w:val="00AF336A"/>
    <w:rsid w:val="00AF57E2"/>
    <w:rsid w:val="00B20373"/>
    <w:rsid w:val="00B22F09"/>
    <w:rsid w:val="00B23BF7"/>
    <w:rsid w:val="00B3653A"/>
    <w:rsid w:val="00B4032B"/>
    <w:rsid w:val="00B51B74"/>
    <w:rsid w:val="00B55925"/>
    <w:rsid w:val="00B7790F"/>
    <w:rsid w:val="00B8243C"/>
    <w:rsid w:val="00B82CEA"/>
    <w:rsid w:val="00B9078A"/>
    <w:rsid w:val="00B90F8F"/>
    <w:rsid w:val="00B95E55"/>
    <w:rsid w:val="00BA1C47"/>
    <w:rsid w:val="00BB5E37"/>
    <w:rsid w:val="00BE3C9D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A19BE"/>
    <w:rsid w:val="00CB4323"/>
    <w:rsid w:val="00CD0709"/>
    <w:rsid w:val="00D00570"/>
    <w:rsid w:val="00D13C01"/>
    <w:rsid w:val="00D16354"/>
    <w:rsid w:val="00D36FEF"/>
    <w:rsid w:val="00D40B0B"/>
    <w:rsid w:val="00D440DF"/>
    <w:rsid w:val="00D44D41"/>
    <w:rsid w:val="00D479F8"/>
    <w:rsid w:val="00D60FBE"/>
    <w:rsid w:val="00D61F98"/>
    <w:rsid w:val="00D66B08"/>
    <w:rsid w:val="00D76476"/>
    <w:rsid w:val="00D85CB2"/>
    <w:rsid w:val="00D94B2D"/>
    <w:rsid w:val="00D959C6"/>
    <w:rsid w:val="00DB01C9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33C5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B775C"/>
    <w:rsid w:val="00EC0541"/>
    <w:rsid w:val="00EC2120"/>
    <w:rsid w:val="00EC62DE"/>
    <w:rsid w:val="00EC79E6"/>
    <w:rsid w:val="00ED5774"/>
    <w:rsid w:val="00EE19D8"/>
    <w:rsid w:val="00EF5A41"/>
    <w:rsid w:val="00F17EB2"/>
    <w:rsid w:val="00F20CA4"/>
    <w:rsid w:val="00F359E6"/>
    <w:rsid w:val="00F47F27"/>
    <w:rsid w:val="00F555AC"/>
    <w:rsid w:val="00F557F1"/>
    <w:rsid w:val="00F6061F"/>
    <w:rsid w:val="00F61FD3"/>
    <w:rsid w:val="00F67871"/>
    <w:rsid w:val="00F67A69"/>
    <w:rsid w:val="00F91B3C"/>
    <w:rsid w:val="00F93AF6"/>
    <w:rsid w:val="00FA488E"/>
    <w:rsid w:val="00FA5046"/>
    <w:rsid w:val="00FB2985"/>
    <w:rsid w:val="00FC26AE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A0D56A"/>
  <w14:defaultImageDpi w14:val="0"/>
  <w15:docId w15:val="{694BB7C8-E16E-495A-9523-9BD0BE65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373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0373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20373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20373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terpelacje\3%20-%20A.%20Rataj%20-%20koszty%20rewaloryzacji%20Starego%20Rynku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C1E0-4F4D-459D-99A6-FE95B73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146</TotalTime>
  <Pages>5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3/2023 w sprawie kosztów rewitalizacji Starego Rynku</vt:lpstr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3/2023 w sprawie kosztów rewitalizacji Starego Rynku</dc:title>
  <dc:subject/>
  <dc:creator>Łukasz Wieczorek</dc:creator>
  <cp:keywords>interpelacja, Stary Rynek, odpowiedź na interpelację radnego</cp:keywords>
  <dc:description/>
  <cp:lastModifiedBy>Łukasz Wieczorek</cp:lastModifiedBy>
  <cp:revision>72</cp:revision>
  <cp:lastPrinted>2021-12-02T10:09:00Z</cp:lastPrinted>
  <dcterms:created xsi:type="dcterms:W3CDTF">2023-01-11T11:32:00Z</dcterms:created>
  <dcterms:modified xsi:type="dcterms:W3CDTF">2023-01-13T11:59:00Z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