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01DD" w:rsidRPr="000D4AC5" w:rsidRDefault="001E1D3B">
      <w:pPr>
        <w:rPr>
          <w:rFonts w:cstheme="minorHAnsi"/>
          <w:sz w:val="24"/>
          <w:szCs w:val="24"/>
        </w:rPr>
      </w:pPr>
      <w:r w:rsidRPr="000D4AC5">
        <w:rPr>
          <w:rFonts w:cstheme="minorHAnsi"/>
          <w:sz w:val="24"/>
          <w:szCs w:val="24"/>
        </w:rPr>
        <w:t>Załącznik</w:t>
      </w:r>
      <w:r w:rsidR="007815C3">
        <w:rPr>
          <w:rFonts w:cstheme="minorHAnsi"/>
          <w:sz w:val="24"/>
          <w:szCs w:val="24"/>
        </w:rPr>
        <w:t>.</w:t>
      </w:r>
      <w:r w:rsidRPr="000D4AC5">
        <w:rPr>
          <w:rFonts w:cstheme="minorHAnsi"/>
          <w:sz w:val="24"/>
          <w:szCs w:val="24"/>
        </w:rPr>
        <w:t xml:space="preserve"> </w:t>
      </w:r>
      <w:r w:rsidR="00240A2E" w:rsidRPr="000D4AC5">
        <w:rPr>
          <w:rFonts w:cstheme="minorHAnsi"/>
          <w:sz w:val="24"/>
          <w:szCs w:val="24"/>
        </w:rPr>
        <w:t xml:space="preserve">Zestawienie zasadniczych różnic pomiędzy </w:t>
      </w:r>
      <w:r w:rsidR="00240A2E" w:rsidRPr="0092460C">
        <w:rPr>
          <w:rFonts w:cstheme="minorHAnsi"/>
          <w:sz w:val="24"/>
          <w:szCs w:val="24"/>
        </w:rPr>
        <w:t>PFU</w:t>
      </w:r>
      <w:r w:rsidR="00240A2E" w:rsidRPr="000D4AC5">
        <w:rPr>
          <w:rFonts w:cstheme="minorHAnsi"/>
          <w:b/>
          <w:sz w:val="24"/>
          <w:szCs w:val="24"/>
        </w:rPr>
        <w:t xml:space="preserve"> </w:t>
      </w:r>
      <w:r w:rsidR="00240A2E" w:rsidRPr="000D4AC5">
        <w:rPr>
          <w:rFonts w:cstheme="minorHAnsi"/>
          <w:sz w:val="24"/>
          <w:szCs w:val="24"/>
        </w:rPr>
        <w:t>z roku 2017 i 2020</w:t>
      </w:r>
      <w:r w:rsidR="00820F2C" w:rsidRPr="000D4AC5">
        <w:rPr>
          <w:rFonts w:cstheme="minorHAnsi"/>
          <w:sz w:val="24"/>
          <w:szCs w:val="24"/>
        </w:rPr>
        <w:t xml:space="preserve"> oraz</w:t>
      </w:r>
      <w:r w:rsidR="00302AB2" w:rsidRPr="000D4AC5">
        <w:rPr>
          <w:rFonts w:cstheme="minorHAnsi"/>
          <w:sz w:val="24"/>
          <w:szCs w:val="24"/>
        </w:rPr>
        <w:t xml:space="preserve"> uzasadnienie zmian</w:t>
      </w:r>
      <w:r w:rsidR="00240A2E" w:rsidRPr="000D4AC5">
        <w:rPr>
          <w:rFonts w:cstheme="minorHAnsi"/>
          <w:sz w:val="24"/>
          <w:szCs w:val="24"/>
        </w:rPr>
        <w:t>.</w:t>
      </w:r>
    </w:p>
    <w:tbl>
      <w:tblPr>
        <w:tblStyle w:val="Tabela-Siatka"/>
        <w:tblW w:w="14454" w:type="dxa"/>
        <w:jc w:val="center"/>
        <w:tblLook w:val="04A0" w:firstRow="1" w:lastRow="0" w:firstColumn="1" w:lastColumn="0" w:noHBand="0" w:noVBand="1"/>
      </w:tblPr>
      <w:tblGrid>
        <w:gridCol w:w="3397"/>
        <w:gridCol w:w="3261"/>
        <w:gridCol w:w="7796"/>
      </w:tblGrid>
      <w:tr w:rsidR="005E178D" w:rsidRPr="000D4AC5" w:rsidTr="00A41D78">
        <w:trPr>
          <w:tblHeader/>
          <w:jc w:val="center"/>
        </w:trPr>
        <w:tc>
          <w:tcPr>
            <w:tcW w:w="3397" w:type="dxa"/>
            <w:vAlign w:val="center"/>
          </w:tcPr>
          <w:p w:rsidR="005E178D" w:rsidRPr="000D4AC5" w:rsidRDefault="005E178D" w:rsidP="00240A2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D4AC5">
              <w:rPr>
                <w:rFonts w:cstheme="minorHAnsi"/>
                <w:sz w:val="24"/>
                <w:szCs w:val="24"/>
              </w:rPr>
              <w:t>ELEMENT</w:t>
            </w:r>
          </w:p>
        </w:tc>
        <w:tc>
          <w:tcPr>
            <w:tcW w:w="3261" w:type="dxa"/>
            <w:vAlign w:val="center"/>
          </w:tcPr>
          <w:p w:rsidR="005E178D" w:rsidRPr="000D4AC5" w:rsidRDefault="005E178D" w:rsidP="00240A2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D4AC5">
              <w:rPr>
                <w:rFonts w:cstheme="minorHAnsi"/>
                <w:sz w:val="24"/>
                <w:szCs w:val="24"/>
              </w:rPr>
              <w:t>PFU Demiurg 2017</w:t>
            </w:r>
            <w:r w:rsidR="000D4AC5">
              <w:rPr>
                <w:rFonts w:cstheme="minorHAnsi"/>
                <w:sz w:val="24"/>
                <w:szCs w:val="24"/>
              </w:rPr>
              <w:t xml:space="preserve"> </w:t>
            </w:r>
            <w:r w:rsidRPr="000D4AC5">
              <w:rPr>
                <w:rFonts w:cstheme="minorHAnsi"/>
                <w:sz w:val="24"/>
                <w:szCs w:val="24"/>
              </w:rPr>
              <w:t>r</w:t>
            </w:r>
            <w:r w:rsidR="000D4AC5">
              <w:rPr>
                <w:rFonts w:cstheme="minorHAnsi"/>
                <w:sz w:val="24"/>
                <w:szCs w:val="24"/>
              </w:rPr>
              <w:t>.</w:t>
            </w:r>
            <w:r w:rsidRPr="000D4AC5">
              <w:rPr>
                <w:rFonts w:cstheme="minorHAnsi"/>
                <w:sz w:val="24"/>
                <w:szCs w:val="24"/>
              </w:rPr>
              <w:t xml:space="preserve">, </w:t>
            </w:r>
          </w:p>
          <w:p w:rsidR="005E178D" w:rsidRPr="000D4AC5" w:rsidRDefault="005E178D" w:rsidP="000D4AC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D4AC5">
              <w:rPr>
                <w:rFonts w:cstheme="minorHAnsi"/>
                <w:sz w:val="24"/>
                <w:szCs w:val="24"/>
              </w:rPr>
              <w:t>Koncepcja nawierzchni Demiurg 2017</w:t>
            </w:r>
            <w:r w:rsidR="000D4AC5">
              <w:rPr>
                <w:rFonts w:cstheme="minorHAnsi"/>
                <w:sz w:val="24"/>
                <w:szCs w:val="24"/>
              </w:rPr>
              <w:t xml:space="preserve"> </w:t>
            </w:r>
            <w:r w:rsidRPr="000D4AC5">
              <w:rPr>
                <w:rFonts w:cstheme="minorHAnsi"/>
                <w:sz w:val="24"/>
                <w:szCs w:val="24"/>
              </w:rPr>
              <w:t>r</w:t>
            </w:r>
            <w:r w:rsidR="000D4AC5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7796" w:type="dxa"/>
            <w:vAlign w:val="center"/>
          </w:tcPr>
          <w:p w:rsidR="005E178D" w:rsidRPr="000D4AC5" w:rsidRDefault="005E178D" w:rsidP="00240A2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D4AC5">
              <w:rPr>
                <w:rFonts w:cstheme="minorHAnsi"/>
                <w:sz w:val="24"/>
                <w:szCs w:val="24"/>
              </w:rPr>
              <w:t xml:space="preserve">PFU </w:t>
            </w:r>
            <w:proofErr w:type="spellStart"/>
            <w:r w:rsidRPr="000D4AC5">
              <w:rPr>
                <w:rFonts w:cstheme="minorHAnsi"/>
                <w:sz w:val="24"/>
                <w:szCs w:val="24"/>
              </w:rPr>
              <w:t>Graphit</w:t>
            </w:r>
            <w:proofErr w:type="spellEnd"/>
            <w:r w:rsidRPr="000D4AC5">
              <w:rPr>
                <w:rFonts w:cstheme="minorHAnsi"/>
                <w:sz w:val="24"/>
                <w:szCs w:val="24"/>
              </w:rPr>
              <w:t xml:space="preserve"> 2020</w:t>
            </w:r>
            <w:r w:rsidR="00FF32D2">
              <w:rPr>
                <w:rFonts w:cstheme="minorHAnsi"/>
                <w:sz w:val="24"/>
                <w:szCs w:val="24"/>
              </w:rPr>
              <w:t xml:space="preserve"> </w:t>
            </w:r>
            <w:r w:rsidRPr="000D4AC5">
              <w:rPr>
                <w:rFonts w:cstheme="minorHAnsi"/>
                <w:sz w:val="24"/>
                <w:szCs w:val="24"/>
              </w:rPr>
              <w:t>r.,</w:t>
            </w:r>
          </w:p>
          <w:p w:rsidR="005E178D" w:rsidRPr="000D4AC5" w:rsidRDefault="005E178D" w:rsidP="00FF32D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D4AC5">
              <w:rPr>
                <w:rFonts w:cstheme="minorHAnsi"/>
                <w:sz w:val="24"/>
                <w:szCs w:val="24"/>
              </w:rPr>
              <w:t xml:space="preserve"> Koncepcja nawierzchni J.</w:t>
            </w:r>
            <w:r w:rsidR="00D22874">
              <w:rPr>
                <w:rFonts w:cstheme="minorHAnsi"/>
                <w:sz w:val="24"/>
                <w:szCs w:val="24"/>
              </w:rPr>
              <w:t xml:space="preserve"> </w:t>
            </w:r>
            <w:r w:rsidRPr="000D4AC5">
              <w:rPr>
                <w:rFonts w:cstheme="minorHAnsi"/>
                <w:sz w:val="24"/>
                <w:szCs w:val="24"/>
              </w:rPr>
              <w:t>Bułat 2020</w:t>
            </w:r>
            <w:r w:rsidR="00FF32D2">
              <w:rPr>
                <w:rFonts w:cstheme="minorHAnsi"/>
                <w:sz w:val="24"/>
                <w:szCs w:val="24"/>
              </w:rPr>
              <w:t xml:space="preserve"> </w:t>
            </w:r>
            <w:r w:rsidRPr="000D4AC5">
              <w:rPr>
                <w:rFonts w:cstheme="minorHAnsi"/>
                <w:sz w:val="24"/>
                <w:szCs w:val="24"/>
              </w:rPr>
              <w:t>r</w:t>
            </w:r>
            <w:r w:rsidR="00FF32D2">
              <w:rPr>
                <w:rFonts w:cstheme="minorHAnsi"/>
                <w:sz w:val="24"/>
                <w:szCs w:val="24"/>
              </w:rPr>
              <w:t>.</w:t>
            </w:r>
          </w:p>
        </w:tc>
      </w:tr>
      <w:tr w:rsidR="005E178D" w:rsidRPr="000D4AC5" w:rsidTr="00A41D78">
        <w:trPr>
          <w:jc w:val="center"/>
        </w:trPr>
        <w:tc>
          <w:tcPr>
            <w:tcW w:w="3397" w:type="dxa"/>
            <w:vAlign w:val="center"/>
          </w:tcPr>
          <w:p w:rsidR="005E178D" w:rsidRPr="000D4AC5" w:rsidRDefault="005157D2" w:rsidP="00E92C25">
            <w:pPr>
              <w:rPr>
                <w:rFonts w:cstheme="minorHAnsi"/>
                <w:sz w:val="24"/>
                <w:szCs w:val="24"/>
              </w:rPr>
            </w:pPr>
            <w:r w:rsidRPr="000D4AC5">
              <w:rPr>
                <w:rFonts w:cstheme="minorHAnsi"/>
                <w:sz w:val="24"/>
                <w:szCs w:val="24"/>
              </w:rPr>
              <w:t>NAWIERZCHNIA – MATERIAŁ I</w:t>
            </w:r>
            <w:r w:rsidR="00E92C25">
              <w:rPr>
                <w:rFonts w:cstheme="minorHAnsi"/>
                <w:sz w:val="24"/>
                <w:szCs w:val="24"/>
              </w:rPr>
              <w:t> </w:t>
            </w:r>
            <w:r w:rsidRPr="000D4AC5">
              <w:rPr>
                <w:rFonts w:cstheme="minorHAnsi"/>
                <w:sz w:val="24"/>
                <w:szCs w:val="24"/>
              </w:rPr>
              <w:t xml:space="preserve">KONSTRUKCJA </w:t>
            </w:r>
          </w:p>
        </w:tc>
        <w:tc>
          <w:tcPr>
            <w:tcW w:w="3261" w:type="dxa"/>
          </w:tcPr>
          <w:p w:rsidR="005E178D" w:rsidRPr="000D4AC5" w:rsidRDefault="005E178D" w:rsidP="00051316">
            <w:pPr>
              <w:rPr>
                <w:rFonts w:cstheme="minorHAnsi"/>
                <w:sz w:val="24"/>
                <w:szCs w:val="24"/>
              </w:rPr>
            </w:pPr>
            <w:r w:rsidRPr="000D4AC5">
              <w:rPr>
                <w:rFonts w:cstheme="minorHAnsi"/>
                <w:sz w:val="24"/>
                <w:szCs w:val="24"/>
              </w:rPr>
              <w:t xml:space="preserve">Zakładano użycie wyłącznie materiału </w:t>
            </w:r>
            <w:proofErr w:type="spellStart"/>
            <w:r w:rsidR="00051316">
              <w:rPr>
                <w:rFonts w:cstheme="minorHAnsi"/>
                <w:sz w:val="24"/>
                <w:szCs w:val="24"/>
              </w:rPr>
              <w:t>s</w:t>
            </w:r>
            <w:r w:rsidRPr="000D4AC5">
              <w:rPr>
                <w:rFonts w:cstheme="minorHAnsi"/>
                <w:sz w:val="24"/>
                <w:szCs w:val="24"/>
              </w:rPr>
              <w:t>taroużytecznego</w:t>
            </w:r>
            <w:proofErr w:type="spellEnd"/>
            <w:r w:rsidRPr="000D4AC5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7796" w:type="dxa"/>
          </w:tcPr>
          <w:p w:rsidR="005E178D" w:rsidRPr="000D4AC5" w:rsidRDefault="005E178D" w:rsidP="0092460C">
            <w:pPr>
              <w:spacing w:after="240"/>
              <w:rPr>
                <w:rFonts w:cstheme="minorHAnsi"/>
                <w:sz w:val="24"/>
                <w:szCs w:val="24"/>
              </w:rPr>
            </w:pPr>
            <w:r w:rsidRPr="000D4AC5">
              <w:rPr>
                <w:rFonts w:cstheme="minorHAnsi"/>
                <w:sz w:val="24"/>
                <w:szCs w:val="24"/>
              </w:rPr>
              <w:t>Wprowadz</w:t>
            </w:r>
            <w:r w:rsidR="00932E41" w:rsidRPr="000D4AC5">
              <w:rPr>
                <w:rFonts w:cstheme="minorHAnsi"/>
                <w:sz w:val="24"/>
                <w:szCs w:val="24"/>
              </w:rPr>
              <w:t>ono zmiany do pierwotnych założ</w:t>
            </w:r>
            <w:r w:rsidRPr="000D4AC5">
              <w:rPr>
                <w:rFonts w:cstheme="minorHAnsi"/>
                <w:sz w:val="24"/>
                <w:szCs w:val="24"/>
              </w:rPr>
              <w:t>eń. Ze względu na</w:t>
            </w:r>
            <w:r w:rsidR="00FF32D2">
              <w:rPr>
                <w:rFonts w:cstheme="minorHAnsi"/>
                <w:sz w:val="24"/>
                <w:szCs w:val="24"/>
              </w:rPr>
              <w:t xml:space="preserve"> </w:t>
            </w:r>
            <w:r w:rsidRPr="000D4AC5">
              <w:rPr>
                <w:rFonts w:cstheme="minorHAnsi"/>
                <w:sz w:val="24"/>
                <w:szCs w:val="24"/>
              </w:rPr>
              <w:t xml:space="preserve">ograniczoną ilość materiału </w:t>
            </w:r>
            <w:proofErr w:type="spellStart"/>
            <w:r w:rsidRPr="000D4AC5">
              <w:rPr>
                <w:rFonts w:cstheme="minorHAnsi"/>
                <w:sz w:val="24"/>
                <w:szCs w:val="24"/>
              </w:rPr>
              <w:t>staroużytecznego</w:t>
            </w:r>
            <w:proofErr w:type="spellEnd"/>
            <w:r w:rsidRPr="000D4AC5">
              <w:rPr>
                <w:rFonts w:cstheme="minorHAnsi"/>
                <w:sz w:val="24"/>
                <w:szCs w:val="24"/>
              </w:rPr>
              <w:t xml:space="preserve"> w</w:t>
            </w:r>
            <w:r w:rsidR="00FF32D2">
              <w:rPr>
                <w:rFonts w:cstheme="minorHAnsi"/>
                <w:sz w:val="24"/>
                <w:szCs w:val="24"/>
              </w:rPr>
              <w:t xml:space="preserve"> </w:t>
            </w:r>
            <w:r w:rsidRPr="000D4AC5">
              <w:rPr>
                <w:rFonts w:cstheme="minorHAnsi"/>
                <w:sz w:val="24"/>
                <w:szCs w:val="24"/>
              </w:rPr>
              <w:t>stanie pozwalającym na</w:t>
            </w:r>
            <w:r w:rsidR="00D16916" w:rsidRPr="000D4AC5">
              <w:rPr>
                <w:rFonts w:cstheme="minorHAnsi"/>
                <w:sz w:val="24"/>
                <w:szCs w:val="24"/>
              </w:rPr>
              <w:t xml:space="preserve"> ponowne</w:t>
            </w:r>
            <w:r w:rsidRPr="000D4AC5">
              <w:rPr>
                <w:rFonts w:cstheme="minorHAnsi"/>
                <w:sz w:val="24"/>
                <w:szCs w:val="24"/>
              </w:rPr>
              <w:t xml:space="preserve"> wykorzystanie oraz przez wzgląd na</w:t>
            </w:r>
            <w:r w:rsidR="00FF32D2">
              <w:rPr>
                <w:rFonts w:cstheme="minorHAnsi"/>
                <w:sz w:val="24"/>
                <w:szCs w:val="24"/>
              </w:rPr>
              <w:t xml:space="preserve"> </w:t>
            </w:r>
            <w:r w:rsidRPr="000D4AC5">
              <w:rPr>
                <w:rFonts w:cstheme="minorHAnsi"/>
                <w:sz w:val="24"/>
                <w:szCs w:val="24"/>
              </w:rPr>
              <w:t>konieczność zachowania dostępności i</w:t>
            </w:r>
            <w:r w:rsidR="00FF32D2">
              <w:rPr>
                <w:rFonts w:cstheme="minorHAnsi"/>
                <w:sz w:val="24"/>
                <w:szCs w:val="24"/>
              </w:rPr>
              <w:t> </w:t>
            </w:r>
            <w:r w:rsidRPr="000D4AC5">
              <w:rPr>
                <w:rFonts w:cstheme="minorHAnsi"/>
                <w:sz w:val="24"/>
                <w:szCs w:val="24"/>
              </w:rPr>
              <w:t>równości nawierzchni zaproponowano dodanie nowego materiału kamiennego.</w:t>
            </w:r>
          </w:p>
          <w:p w:rsidR="005E178D" w:rsidRPr="000D4AC5" w:rsidRDefault="005E178D" w:rsidP="00051316">
            <w:pPr>
              <w:rPr>
                <w:rFonts w:cstheme="minorHAnsi"/>
                <w:sz w:val="24"/>
                <w:szCs w:val="24"/>
              </w:rPr>
            </w:pPr>
            <w:r w:rsidRPr="000D4AC5">
              <w:rPr>
                <w:rFonts w:cstheme="minorHAnsi"/>
                <w:sz w:val="24"/>
                <w:szCs w:val="24"/>
              </w:rPr>
              <w:t>W zapro</w:t>
            </w:r>
            <w:r w:rsidR="00D16916" w:rsidRPr="000D4AC5">
              <w:rPr>
                <w:rFonts w:cstheme="minorHAnsi"/>
                <w:sz w:val="24"/>
                <w:szCs w:val="24"/>
              </w:rPr>
              <w:t>jektowanym</w:t>
            </w:r>
            <w:r w:rsidRPr="000D4AC5">
              <w:rPr>
                <w:rFonts w:cstheme="minorHAnsi"/>
                <w:sz w:val="24"/>
                <w:szCs w:val="24"/>
              </w:rPr>
              <w:t xml:space="preserve"> rozwiązaniu materiał </w:t>
            </w:r>
            <w:proofErr w:type="spellStart"/>
            <w:r w:rsidRPr="000D4AC5">
              <w:rPr>
                <w:rFonts w:cstheme="minorHAnsi"/>
                <w:sz w:val="24"/>
                <w:szCs w:val="24"/>
              </w:rPr>
              <w:t>staroużyteczny</w:t>
            </w:r>
            <w:proofErr w:type="spellEnd"/>
            <w:r w:rsidRPr="000D4AC5">
              <w:rPr>
                <w:rFonts w:cstheme="minorHAnsi"/>
                <w:sz w:val="24"/>
                <w:szCs w:val="24"/>
              </w:rPr>
              <w:t xml:space="preserve"> zostanie wbudowany w</w:t>
            </w:r>
            <w:r w:rsidR="00051316">
              <w:rPr>
                <w:rFonts w:cstheme="minorHAnsi"/>
                <w:sz w:val="24"/>
                <w:szCs w:val="24"/>
              </w:rPr>
              <w:t xml:space="preserve"> </w:t>
            </w:r>
            <w:r w:rsidRPr="000D4AC5">
              <w:rPr>
                <w:rFonts w:cstheme="minorHAnsi"/>
                <w:sz w:val="24"/>
                <w:szCs w:val="24"/>
              </w:rPr>
              <w:t xml:space="preserve">bloku </w:t>
            </w:r>
            <w:proofErr w:type="spellStart"/>
            <w:r w:rsidRPr="000D4AC5">
              <w:rPr>
                <w:rFonts w:cstheme="minorHAnsi"/>
                <w:sz w:val="24"/>
                <w:szCs w:val="24"/>
              </w:rPr>
              <w:t>śródrynkowym</w:t>
            </w:r>
            <w:proofErr w:type="spellEnd"/>
            <w:r w:rsidRPr="000D4AC5">
              <w:rPr>
                <w:rFonts w:cstheme="minorHAnsi"/>
                <w:sz w:val="24"/>
                <w:szCs w:val="24"/>
              </w:rPr>
              <w:t>. Nowa kostka kamienna, wielobarwna, stanowiąca mozaikę kolorystycznie zbliżoną do</w:t>
            </w:r>
            <w:r w:rsidR="00051316">
              <w:rPr>
                <w:rFonts w:cstheme="minorHAnsi"/>
                <w:sz w:val="24"/>
                <w:szCs w:val="24"/>
              </w:rPr>
              <w:t> </w:t>
            </w:r>
            <w:r w:rsidRPr="000D4AC5">
              <w:rPr>
                <w:rFonts w:cstheme="minorHAnsi"/>
                <w:sz w:val="24"/>
                <w:szCs w:val="24"/>
              </w:rPr>
              <w:t xml:space="preserve">materiału </w:t>
            </w:r>
            <w:proofErr w:type="spellStart"/>
            <w:r w:rsidRPr="000D4AC5">
              <w:rPr>
                <w:rFonts w:cstheme="minorHAnsi"/>
                <w:sz w:val="24"/>
                <w:szCs w:val="24"/>
              </w:rPr>
              <w:t>staroużytecznego</w:t>
            </w:r>
            <w:proofErr w:type="spellEnd"/>
            <w:r w:rsidRPr="000D4AC5">
              <w:rPr>
                <w:rFonts w:cstheme="minorHAnsi"/>
                <w:sz w:val="24"/>
                <w:szCs w:val="24"/>
              </w:rPr>
              <w:t xml:space="preserve">, wbudowana zostanie na pozostałym obszarze płyty. </w:t>
            </w:r>
            <w:r w:rsidR="00D16916" w:rsidRPr="000D4AC5">
              <w:rPr>
                <w:rFonts w:cstheme="minorHAnsi"/>
                <w:sz w:val="24"/>
                <w:szCs w:val="24"/>
              </w:rPr>
              <w:t>Na chodnikach,</w:t>
            </w:r>
            <w:r w:rsidRPr="000D4AC5">
              <w:rPr>
                <w:rFonts w:cstheme="minorHAnsi"/>
                <w:sz w:val="24"/>
                <w:szCs w:val="24"/>
              </w:rPr>
              <w:t xml:space="preserve"> przy</w:t>
            </w:r>
            <w:r w:rsidR="003C3342">
              <w:rPr>
                <w:rFonts w:cstheme="minorHAnsi"/>
                <w:sz w:val="24"/>
                <w:szCs w:val="24"/>
              </w:rPr>
              <w:t> </w:t>
            </w:r>
            <w:r w:rsidRPr="000D4AC5">
              <w:rPr>
                <w:rFonts w:cstheme="minorHAnsi"/>
                <w:sz w:val="24"/>
                <w:szCs w:val="24"/>
              </w:rPr>
              <w:t>elewacjach zastosowano nowe płyty granitowe.</w:t>
            </w:r>
          </w:p>
          <w:p w:rsidR="005E178D" w:rsidRPr="000D4AC5" w:rsidRDefault="005E178D" w:rsidP="00051316">
            <w:pPr>
              <w:rPr>
                <w:rFonts w:cstheme="minorHAnsi"/>
                <w:sz w:val="24"/>
                <w:szCs w:val="24"/>
              </w:rPr>
            </w:pPr>
            <w:r w:rsidRPr="000D4AC5">
              <w:rPr>
                <w:rFonts w:cstheme="minorHAnsi"/>
                <w:sz w:val="24"/>
                <w:szCs w:val="24"/>
              </w:rPr>
              <w:t>W pasach kompensacyjnych dodano najbardziej cenny materiał porfirowy.</w:t>
            </w:r>
          </w:p>
          <w:p w:rsidR="005E178D" w:rsidRPr="000D4AC5" w:rsidRDefault="005E178D" w:rsidP="0092460C">
            <w:pPr>
              <w:spacing w:after="240"/>
              <w:rPr>
                <w:rFonts w:cstheme="minorHAnsi"/>
                <w:sz w:val="24"/>
                <w:szCs w:val="24"/>
              </w:rPr>
            </w:pPr>
            <w:r w:rsidRPr="000D4AC5">
              <w:rPr>
                <w:rFonts w:cstheme="minorHAnsi"/>
                <w:sz w:val="24"/>
                <w:szCs w:val="24"/>
              </w:rPr>
              <w:t>Zmiany te były przedmiotem licznych analiz i prób materiałowych. Zatwierdzone zostały przez zespół ekspercki składający się m.in.</w:t>
            </w:r>
            <w:r w:rsidR="00051316">
              <w:rPr>
                <w:rFonts w:cstheme="minorHAnsi"/>
                <w:sz w:val="24"/>
                <w:szCs w:val="24"/>
              </w:rPr>
              <w:t> </w:t>
            </w:r>
            <w:r w:rsidRPr="000D4AC5">
              <w:rPr>
                <w:rFonts w:cstheme="minorHAnsi"/>
                <w:sz w:val="24"/>
                <w:szCs w:val="24"/>
              </w:rPr>
              <w:t>z Miejskiego Konserwatora Zabytków i</w:t>
            </w:r>
            <w:r w:rsidR="00FF32D2">
              <w:rPr>
                <w:rFonts w:cstheme="minorHAnsi"/>
                <w:sz w:val="24"/>
                <w:szCs w:val="24"/>
              </w:rPr>
              <w:t xml:space="preserve"> </w:t>
            </w:r>
            <w:r w:rsidRPr="000D4AC5">
              <w:rPr>
                <w:rFonts w:cstheme="minorHAnsi"/>
                <w:sz w:val="24"/>
                <w:szCs w:val="24"/>
              </w:rPr>
              <w:t>ZDM.</w:t>
            </w:r>
          </w:p>
          <w:p w:rsidR="00E35DDE" w:rsidRPr="000D4AC5" w:rsidRDefault="00D16916" w:rsidP="0092460C">
            <w:pPr>
              <w:rPr>
                <w:rFonts w:cstheme="minorHAnsi"/>
                <w:sz w:val="24"/>
                <w:szCs w:val="24"/>
              </w:rPr>
            </w:pPr>
            <w:r w:rsidRPr="000D4AC5">
              <w:rPr>
                <w:rFonts w:cstheme="minorHAnsi"/>
                <w:sz w:val="24"/>
                <w:szCs w:val="24"/>
              </w:rPr>
              <w:t>Zmieniono także konstrukcję</w:t>
            </w:r>
            <w:r w:rsidR="005E178D" w:rsidRPr="000D4AC5">
              <w:rPr>
                <w:rFonts w:cstheme="minorHAnsi"/>
                <w:sz w:val="24"/>
                <w:szCs w:val="24"/>
              </w:rPr>
              <w:t xml:space="preserve"> n</w:t>
            </w:r>
            <w:bookmarkStart w:id="0" w:name="_GoBack"/>
            <w:bookmarkEnd w:id="0"/>
            <w:r w:rsidR="005E178D" w:rsidRPr="000D4AC5">
              <w:rPr>
                <w:rFonts w:cstheme="minorHAnsi"/>
                <w:sz w:val="24"/>
                <w:szCs w:val="24"/>
              </w:rPr>
              <w:t xml:space="preserve">awierzchni. </w:t>
            </w:r>
            <w:r w:rsidR="005E178D" w:rsidRPr="000D4AC5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Po wykonaniu uzupełniających badań geotechnicznych gruntu </w:t>
            </w:r>
            <w:r w:rsidR="008B625B" w:rsidRPr="000D4AC5">
              <w:rPr>
                <w:rFonts w:eastAsia="Times New Roman" w:cstheme="minorHAnsi"/>
                <w:sz w:val="24"/>
                <w:szCs w:val="24"/>
                <w:lang w:eastAsia="pl-PL"/>
              </w:rPr>
              <w:t>– m.in.</w:t>
            </w:r>
            <w:r w:rsidR="005E178D" w:rsidRPr="000D4AC5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sondowania metodą Panda - zdecydowano o</w:t>
            </w:r>
            <w:r w:rsidR="00FF32D2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</w:t>
            </w:r>
            <w:r w:rsidR="005E178D" w:rsidRPr="000D4AC5">
              <w:rPr>
                <w:rFonts w:eastAsia="Times New Roman" w:cstheme="minorHAnsi"/>
                <w:sz w:val="24"/>
                <w:szCs w:val="24"/>
                <w:lang w:eastAsia="pl-PL"/>
              </w:rPr>
              <w:t>kon</w:t>
            </w:r>
            <w:r w:rsidR="008B625B" w:rsidRPr="000D4AC5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ieczności wzmocnienia podłoża </w:t>
            </w:r>
            <w:r w:rsidR="005E178D" w:rsidRPr="000D4AC5">
              <w:rPr>
                <w:rFonts w:eastAsia="Times New Roman" w:cstheme="minorHAnsi"/>
                <w:sz w:val="24"/>
                <w:szCs w:val="24"/>
                <w:lang w:eastAsia="pl-PL"/>
              </w:rPr>
              <w:t>i</w:t>
            </w:r>
            <w:r w:rsidR="00FF32D2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</w:t>
            </w:r>
            <w:r w:rsidR="00EF0438" w:rsidRPr="000D4AC5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potrzebie wykonania dodatkowych, grubszych </w:t>
            </w:r>
            <w:r w:rsidR="005E178D" w:rsidRPr="000D4AC5">
              <w:rPr>
                <w:rFonts w:eastAsia="Times New Roman" w:cstheme="minorHAnsi"/>
                <w:sz w:val="24"/>
                <w:szCs w:val="24"/>
                <w:lang w:eastAsia="pl-PL"/>
              </w:rPr>
              <w:t>podbudów</w:t>
            </w:r>
            <w:r w:rsidRPr="000D4AC5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pod nawierzchnią</w:t>
            </w:r>
            <w:r w:rsidR="005E178D" w:rsidRPr="000D4AC5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pł</w:t>
            </w:r>
            <w:r w:rsidRPr="000D4AC5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yty rynku i ulic </w:t>
            </w:r>
            <w:r w:rsidR="005E178D" w:rsidRPr="000D4AC5">
              <w:rPr>
                <w:rFonts w:eastAsia="Times New Roman" w:cstheme="minorHAnsi"/>
                <w:sz w:val="24"/>
                <w:szCs w:val="24"/>
                <w:lang w:eastAsia="pl-PL"/>
              </w:rPr>
              <w:t>dochodzących – celem zwiększenia nośności konstrukcji.</w:t>
            </w:r>
          </w:p>
        </w:tc>
      </w:tr>
      <w:tr w:rsidR="005157D2" w:rsidRPr="000D4AC5" w:rsidTr="00A41D78">
        <w:trPr>
          <w:trHeight w:val="1687"/>
          <w:jc w:val="center"/>
        </w:trPr>
        <w:tc>
          <w:tcPr>
            <w:tcW w:w="3397" w:type="dxa"/>
            <w:vAlign w:val="center"/>
          </w:tcPr>
          <w:p w:rsidR="005157D2" w:rsidRPr="000D4AC5" w:rsidRDefault="005157D2" w:rsidP="005157D2">
            <w:pPr>
              <w:jc w:val="both"/>
              <w:rPr>
                <w:rFonts w:cstheme="minorHAnsi"/>
                <w:sz w:val="24"/>
                <w:szCs w:val="24"/>
              </w:rPr>
            </w:pPr>
            <w:r w:rsidRPr="000D4AC5">
              <w:rPr>
                <w:rFonts w:cstheme="minorHAnsi"/>
                <w:sz w:val="24"/>
                <w:szCs w:val="24"/>
              </w:rPr>
              <w:lastRenderedPageBreak/>
              <w:t>KANAŁ TECHNOLOGICZNY</w:t>
            </w:r>
          </w:p>
        </w:tc>
        <w:tc>
          <w:tcPr>
            <w:tcW w:w="3261" w:type="dxa"/>
          </w:tcPr>
          <w:p w:rsidR="005157D2" w:rsidRPr="000D4AC5" w:rsidRDefault="005157D2" w:rsidP="00051316">
            <w:pPr>
              <w:rPr>
                <w:rFonts w:cstheme="minorHAnsi"/>
                <w:sz w:val="24"/>
                <w:szCs w:val="24"/>
              </w:rPr>
            </w:pPr>
            <w:r w:rsidRPr="000D4AC5">
              <w:rPr>
                <w:rFonts w:cstheme="minorHAnsi"/>
                <w:sz w:val="24"/>
                <w:szCs w:val="24"/>
              </w:rPr>
              <w:t xml:space="preserve">Brak takiego rozwiązania. </w:t>
            </w:r>
          </w:p>
        </w:tc>
        <w:tc>
          <w:tcPr>
            <w:tcW w:w="7796" w:type="dxa"/>
          </w:tcPr>
          <w:p w:rsidR="005157D2" w:rsidRPr="000D4AC5" w:rsidRDefault="005157D2" w:rsidP="007F3457">
            <w:pPr>
              <w:rPr>
                <w:rFonts w:cstheme="minorHAnsi"/>
                <w:sz w:val="24"/>
                <w:szCs w:val="24"/>
              </w:rPr>
            </w:pPr>
            <w:r w:rsidRPr="000D4AC5">
              <w:rPr>
                <w:rFonts w:cstheme="minorHAnsi"/>
                <w:sz w:val="24"/>
                <w:szCs w:val="24"/>
              </w:rPr>
              <w:t>Po dokonaniu szczegółowych analiz przestrzennych rozmieszczenia sieci podziemnych oraz uzupełniających badań geotechnicznych podłoża gruntowego zaprojektowano w ulicy Ratuszowej i</w:t>
            </w:r>
            <w:r w:rsidR="00FF32D2">
              <w:rPr>
                <w:rFonts w:cstheme="minorHAnsi"/>
                <w:sz w:val="24"/>
                <w:szCs w:val="24"/>
              </w:rPr>
              <w:t xml:space="preserve"> </w:t>
            </w:r>
            <w:r w:rsidRPr="000D4AC5">
              <w:rPr>
                <w:rFonts w:cstheme="minorHAnsi"/>
                <w:sz w:val="24"/>
                <w:szCs w:val="24"/>
              </w:rPr>
              <w:t>Różany Targ zbiorczy kanał technologiczny. Tunel ten umożliwia zlokalizowanie w nim wszystkich sieci podziemnych. Ze względu na</w:t>
            </w:r>
            <w:r w:rsidR="00051316">
              <w:rPr>
                <w:rFonts w:cstheme="minorHAnsi"/>
                <w:sz w:val="24"/>
                <w:szCs w:val="24"/>
              </w:rPr>
              <w:t> </w:t>
            </w:r>
            <w:r w:rsidRPr="000D4AC5">
              <w:rPr>
                <w:rFonts w:cstheme="minorHAnsi"/>
                <w:sz w:val="24"/>
                <w:szCs w:val="24"/>
              </w:rPr>
              <w:t>zagęszczenie istniejących oraz nowoprojektowanych sieci, zastosowanie kanału zbiorczego ma uzasadnienie nie tylko ekonomiczne ale też stanowi jedyne możliwe rozwiązanie techniczne. Takie rozwiązanie ułatwi także prowadzenie prac serwisowych w</w:t>
            </w:r>
            <w:r w:rsidR="007F3457">
              <w:rPr>
                <w:rFonts w:cstheme="minorHAnsi"/>
                <w:sz w:val="24"/>
                <w:szCs w:val="24"/>
              </w:rPr>
              <w:t> </w:t>
            </w:r>
            <w:r w:rsidRPr="000D4AC5">
              <w:rPr>
                <w:rFonts w:cstheme="minorHAnsi"/>
                <w:sz w:val="24"/>
                <w:szCs w:val="24"/>
              </w:rPr>
              <w:t>ramach zlokalizowanej w kanale infrastruktury. Jego</w:t>
            </w:r>
            <w:r w:rsidR="00051316">
              <w:rPr>
                <w:rFonts w:cstheme="minorHAnsi"/>
                <w:sz w:val="24"/>
                <w:szCs w:val="24"/>
              </w:rPr>
              <w:t> </w:t>
            </w:r>
            <w:r w:rsidRPr="000D4AC5">
              <w:rPr>
                <w:rFonts w:cstheme="minorHAnsi"/>
                <w:sz w:val="24"/>
                <w:szCs w:val="24"/>
              </w:rPr>
              <w:t>wymiary oraz lokalizację doprecyzowano w projekcie wykonawczym.</w:t>
            </w:r>
          </w:p>
        </w:tc>
      </w:tr>
      <w:tr w:rsidR="005157D2" w:rsidRPr="000D4AC5" w:rsidTr="00A41D78">
        <w:trPr>
          <w:trHeight w:val="2745"/>
          <w:jc w:val="center"/>
        </w:trPr>
        <w:tc>
          <w:tcPr>
            <w:tcW w:w="3397" w:type="dxa"/>
            <w:vAlign w:val="center"/>
          </w:tcPr>
          <w:p w:rsidR="005157D2" w:rsidRPr="000D4AC5" w:rsidRDefault="005157D2" w:rsidP="00AA486F">
            <w:pPr>
              <w:rPr>
                <w:rFonts w:cstheme="minorHAnsi"/>
                <w:sz w:val="24"/>
                <w:szCs w:val="24"/>
              </w:rPr>
            </w:pPr>
            <w:r w:rsidRPr="000D4AC5">
              <w:rPr>
                <w:rFonts w:cstheme="minorHAnsi"/>
                <w:sz w:val="24"/>
                <w:szCs w:val="24"/>
              </w:rPr>
              <w:t>ZMIANA LOKALIZACJI I</w:t>
            </w:r>
            <w:r w:rsidR="00821B4C">
              <w:rPr>
                <w:rFonts w:cstheme="minorHAnsi"/>
                <w:sz w:val="24"/>
                <w:szCs w:val="24"/>
              </w:rPr>
              <w:t> </w:t>
            </w:r>
            <w:r w:rsidRPr="000D4AC5">
              <w:rPr>
                <w:rFonts w:cstheme="minorHAnsi"/>
                <w:sz w:val="24"/>
                <w:szCs w:val="24"/>
              </w:rPr>
              <w:t>WIELKOŚCI ZBIORNIKÓW RETENCYJNYCH</w:t>
            </w:r>
          </w:p>
        </w:tc>
        <w:tc>
          <w:tcPr>
            <w:tcW w:w="3261" w:type="dxa"/>
          </w:tcPr>
          <w:p w:rsidR="005157D2" w:rsidRPr="000D4AC5" w:rsidRDefault="005157D2" w:rsidP="003614BD">
            <w:pPr>
              <w:rPr>
                <w:rFonts w:cstheme="minorHAnsi"/>
                <w:sz w:val="24"/>
                <w:szCs w:val="24"/>
              </w:rPr>
            </w:pPr>
            <w:r w:rsidRPr="000D4AC5">
              <w:rPr>
                <w:rFonts w:cstheme="minorHAnsi"/>
                <w:sz w:val="24"/>
                <w:szCs w:val="24"/>
              </w:rPr>
              <w:t>Wskazano bardzo ogólną, wstępną lokalizację dwóch zbiorników retencyjnych. W</w:t>
            </w:r>
            <w:r w:rsidR="00051316">
              <w:rPr>
                <w:rFonts w:cstheme="minorHAnsi"/>
                <w:sz w:val="24"/>
                <w:szCs w:val="24"/>
              </w:rPr>
              <w:t> </w:t>
            </w:r>
            <w:r w:rsidRPr="000D4AC5">
              <w:rPr>
                <w:rFonts w:cstheme="minorHAnsi"/>
                <w:sz w:val="24"/>
                <w:szCs w:val="24"/>
              </w:rPr>
              <w:t>przypadku dwóch (mniejszych) zbiorników wykorzystywanych do</w:t>
            </w:r>
            <w:r w:rsidR="003614BD">
              <w:rPr>
                <w:rFonts w:cstheme="minorHAnsi"/>
                <w:sz w:val="24"/>
                <w:szCs w:val="24"/>
              </w:rPr>
              <w:t> </w:t>
            </w:r>
            <w:r w:rsidRPr="000D4AC5">
              <w:rPr>
                <w:rFonts w:cstheme="minorHAnsi"/>
                <w:sz w:val="24"/>
                <w:szCs w:val="24"/>
              </w:rPr>
              <w:t>podlewania zieleni określono jedynie konieczność ich budowy.</w:t>
            </w:r>
          </w:p>
        </w:tc>
        <w:tc>
          <w:tcPr>
            <w:tcW w:w="7796" w:type="dxa"/>
          </w:tcPr>
          <w:p w:rsidR="005157D2" w:rsidRPr="000D4AC5" w:rsidRDefault="005157D2" w:rsidP="00051316">
            <w:pPr>
              <w:rPr>
                <w:rFonts w:cstheme="minorHAnsi"/>
                <w:sz w:val="24"/>
                <w:szCs w:val="24"/>
              </w:rPr>
            </w:pPr>
            <w:r w:rsidRPr="000D4AC5">
              <w:rPr>
                <w:rFonts w:cstheme="minorHAnsi"/>
                <w:sz w:val="24"/>
                <w:szCs w:val="24"/>
              </w:rPr>
              <w:t>Rozpoznanie szczegółowe układu istniejącej infrastruktury podziemnej oraz</w:t>
            </w:r>
            <w:r w:rsidR="00A128A6">
              <w:rPr>
                <w:rFonts w:cstheme="minorHAnsi"/>
                <w:sz w:val="24"/>
                <w:szCs w:val="24"/>
              </w:rPr>
              <w:t> </w:t>
            </w:r>
            <w:r w:rsidRPr="000D4AC5">
              <w:rPr>
                <w:rFonts w:cstheme="minorHAnsi"/>
                <w:sz w:val="24"/>
                <w:szCs w:val="24"/>
              </w:rPr>
              <w:t>zaprojektowane nowe elementy wymusiły zmianę lokalizacji zbiorników retencyjnych w stosunku do</w:t>
            </w:r>
            <w:r w:rsidR="00FF32D2">
              <w:rPr>
                <w:rFonts w:cstheme="minorHAnsi"/>
                <w:sz w:val="24"/>
                <w:szCs w:val="24"/>
              </w:rPr>
              <w:t xml:space="preserve"> </w:t>
            </w:r>
            <w:r w:rsidRPr="000D4AC5">
              <w:rPr>
                <w:rFonts w:cstheme="minorHAnsi"/>
                <w:sz w:val="24"/>
                <w:szCs w:val="24"/>
              </w:rPr>
              <w:t>koncepcji pierwotnej.</w:t>
            </w:r>
          </w:p>
          <w:p w:rsidR="00E35DDE" w:rsidRPr="000D4AC5" w:rsidRDefault="005157D2" w:rsidP="00BC5A0A">
            <w:pPr>
              <w:rPr>
                <w:rFonts w:cstheme="minorHAnsi"/>
                <w:sz w:val="24"/>
                <w:szCs w:val="24"/>
              </w:rPr>
            </w:pPr>
            <w:r w:rsidRPr="000D4AC5">
              <w:rPr>
                <w:rFonts w:cstheme="minorHAnsi"/>
                <w:sz w:val="24"/>
                <w:szCs w:val="24"/>
              </w:rPr>
              <w:t>Na skutek uszczegółowienia projektu zmieniono lokalizację zbiorników</w:t>
            </w:r>
            <w:r w:rsidR="00A128A6">
              <w:rPr>
                <w:rFonts w:cstheme="minorHAnsi"/>
                <w:sz w:val="24"/>
                <w:szCs w:val="24"/>
              </w:rPr>
              <w:t> </w:t>
            </w:r>
            <w:r w:rsidRPr="000D4AC5">
              <w:rPr>
                <w:rFonts w:cstheme="minorHAnsi"/>
                <w:sz w:val="24"/>
                <w:szCs w:val="24"/>
              </w:rPr>
              <w:t>retencyjnych w stosunku do koncepcji pierwotnej.  Doprecyzowano też lokalizację dwóch zbiorników do retencjonowania wody wykorzystywanej do</w:t>
            </w:r>
            <w:r w:rsidR="003C3342">
              <w:rPr>
                <w:rFonts w:cstheme="minorHAnsi"/>
                <w:sz w:val="24"/>
                <w:szCs w:val="24"/>
              </w:rPr>
              <w:t> </w:t>
            </w:r>
            <w:r w:rsidRPr="000D4AC5">
              <w:rPr>
                <w:rFonts w:cstheme="minorHAnsi"/>
                <w:sz w:val="24"/>
                <w:szCs w:val="24"/>
              </w:rPr>
              <w:t>podlewania zieleni.</w:t>
            </w:r>
          </w:p>
        </w:tc>
      </w:tr>
      <w:tr w:rsidR="005157D2" w:rsidRPr="000D4AC5" w:rsidTr="00A41D78">
        <w:trPr>
          <w:trHeight w:val="2553"/>
          <w:jc w:val="center"/>
        </w:trPr>
        <w:tc>
          <w:tcPr>
            <w:tcW w:w="3397" w:type="dxa"/>
            <w:vAlign w:val="center"/>
          </w:tcPr>
          <w:p w:rsidR="005157D2" w:rsidRPr="000D4AC5" w:rsidRDefault="00E35DDE" w:rsidP="005157D2">
            <w:pPr>
              <w:rPr>
                <w:rFonts w:cstheme="minorHAnsi"/>
                <w:sz w:val="24"/>
                <w:szCs w:val="24"/>
              </w:rPr>
            </w:pPr>
            <w:r w:rsidRPr="000D4AC5">
              <w:rPr>
                <w:rFonts w:cstheme="minorHAnsi"/>
                <w:sz w:val="24"/>
                <w:szCs w:val="24"/>
              </w:rPr>
              <w:lastRenderedPageBreak/>
              <w:t>TOALETA PODZIEMNA</w:t>
            </w:r>
          </w:p>
        </w:tc>
        <w:tc>
          <w:tcPr>
            <w:tcW w:w="3261" w:type="dxa"/>
          </w:tcPr>
          <w:p w:rsidR="005157D2" w:rsidRPr="000D4AC5" w:rsidRDefault="005157D2" w:rsidP="00051316">
            <w:pPr>
              <w:rPr>
                <w:rFonts w:cstheme="minorHAnsi"/>
                <w:sz w:val="24"/>
                <w:szCs w:val="24"/>
              </w:rPr>
            </w:pPr>
            <w:r w:rsidRPr="000D4AC5">
              <w:rPr>
                <w:rFonts w:cstheme="minorHAnsi"/>
                <w:sz w:val="24"/>
                <w:szCs w:val="24"/>
              </w:rPr>
              <w:t>W pierwo</w:t>
            </w:r>
            <w:r w:rsidR="00EF0438" w:rsidRPr="000D4AC5">
              <w:rPr>
                <w:rFonts w:cstheme="minorHAnsi"/>
                <w:sz w:val="24"/>
                <w:szCs w:val="24"/>
              </w:rPr>
              <w:t>tnym PFU przewidziano toalety określając ogólnie ich</w:t>
            </w:r>
            <w:r w:rsidRPr="000D4AC5">
              <w:rPr>
                <w:rFonts w:cstheme="minorHAnsi"/>
                <w:sz w:val="24"/>
                <w:szCs w:val="24"/>
              </w:rPr>
              <w:t xml:space="preserve"> parametry.</w:t>
            </w:r>
          </w:p>
        </w:tc>
        <w:tc>
          <w:tcPr>
            <w:tcW w:w="7796" w:type="dxa"/>
          </w:tcPr>
          <w:p w:rsidR="005157D2" w:rsidRPr="000D4AC5" w:rsidRDefault="005157D2" w:rsidP="000F7609">
            <w:pPr>
              <w:rPr>
                <w:rFonts w:cstheme="minorHAnsi"/>
                <w:sz w:val="24"/>
                <w:szCs w:val="24"/>
              </w:rPr>
            </w:pPr>
            <w:r w:rsidRPr="000D4AC5">
              <w:rPr>
                <w:rFonts w:cstheme="minorHAnsi"/>
                <w:sz w:val="24"/>
                <w:szCs w:val="24"/>
              </w:rPr>
              <w:t>Na etapie opracowania uszczegółowiającego PFU w 2020 r., określono szczegółowe rozwiązania w zakresie toalet. Jednakże dopiero rozpoczęcie robót budowlanych umożliwiło dokładną lokalizację i identyfikację zabytku, który pozostaje w kolizji z</w:t>
            </w:r>
            <w:r w:rsidR="00FF32D2">
              <w:rPr>
                <w:rFonts w:cstheme="minorHAnsi"/>
                <w:sz w:val="24"/>
                <w:szCs w:val="24"/>
              </w:rPr>
              <w:t xml:space="preserve"> </w:t>
            </w:r>
            <w:r w:rsidRPr="000D4AC5">
              <w:rPr>
                <w:rFonts w:cstheme="minorHAnsi"/>
                <w:sz w:val="24"/>
                <w:szCs w:val="24"/>
              </w:rPr>
              <w:t xml:space="preserve">zaprojektowaną wstępnie toaletą. Zaproponowano </w:t>
            </w:r>
            <w:r w:rsidR="00EF0438" w:rsidRPr="000D4AC5">
              <w:rPr>
                <w:rFonts w:cstheme="minorHAnsi"/>
                <w:sz w:val="24"/>
                <w:szCs w:val="24"/>
              </w:rPr>
              <w:t xml:space="preserve">więc </w:t>
            </w:r>
            <w:r w:rsidRPr="000D4AC5">
              <w:rPr>
                <w:rFonts w:cstheme="minorHAnsi"/>
                <w:sz w:val="24"/>
                <w:szCs w:val="24"/>
              </w:rPr>
              <w:t>rozbudowę istniejących pomieszczeń</w:t>
            </w:r>
            <w:r w:rsidR="00EF0438" w:rsidRPr="000D4AC5">
              <w:rPr>
                <w:rFonts w:cstheme="minorHAnsi"/>
                <w:sz w:val="24"/>
                <w:szCs w:val="24"/>
              </w:rPr>
              <w:t xml:space="preserve"> toalet</w:t>
            </w:r>
            <w:r w:rsidRPr="000D4AC5">
              <w:rPr>
                <w:rFonts w:cstheme="minorHAnsi"/>
                <w:sz w:val="24"/>
                <w:szCs w:val="24"/>
              </w:rPr>
              <w:t xml:space="preserve"> na potrzeby funkcji sanitarnych oraz zaplanowano lokalizację pomieszczeń technicznych, niezbędnych dla celów związanych m.i</w:t>
            </w:r>
            <w:r w:rsidR="00EF0438" w:rsidRPr="000D4AC5">
              <w:rPr>
                <w:rFonts w:cstheme="minorHAnsi"/>
                <w:sz w:val="24"/>
                <w:szCs w:val="24"/>
              </w:rPr>
              <w:t>n. ze sterowaniem oświetleniem oraz</w:t>
            </w:r>
            <w:r w:rsidR="000F7609">
              <w:rPr>
                <w:rFonts w:cstheme="minorHAnsi"/>
                <w:sz w:val="24"/>
                <w:szCs w:val="24"/>
              </w:rPr>
              <w:t> </w:t>
            </w:r>
            <w:r w:rsidR="00EF0438" w:rsidRPr="000D4AC5">
              <w:rPr>
                <w:rFonts w:cstheme="minorHAnsi"/>
                <w:sz w:val="24"/>
                <w:szCs w:val="24"/>
              </w:rPr>
              <w:t>obsługa techniczną infrastruktury rynku.</w:t>
            </w:r>
          </w:p>
        </w:tc>
      </w:tr>
      <w:tr w:rsidR="005157D2" w:rsidRPr="000D4AC5" w:rsidTr="00A41D78">
        <w:trPr>
          <w:trHeight w:val="978"/>
          <w:jc w:val="center"/>
        </w:trPr>
        <w:tc>
          <w:tcPr>
            <w:tcW w:w="3397" w:type="dxa"/>
            <w:vAlign w:val="center"/>
          </w:tcPr>
          <w:p w:rsidR="005157D2" w:rsidRPr="000D4AC5" w:rsidRDefault="00E35DDE" w:rsidP="005157D2">
            <w:pPr>
              <w:rPr>
                <w:rFonts w:cstheme="minorHAnsi"/>
                <w:sz w:val="24"/>
                <w:szCs w:val="24"/>
              </w:rPr>
            </w:pPr>
            <w:r w:rsidRPr="000D4AC5">
              <w:rPr>
                <w:rFonts w:cstheme="minorHAnsi"/>
                <w:sz w:val="24"/>
                <w:szCs w:val="24"/>
              </w:rPr>
              <w:t>ŚMIETNIKI PODZIEMNE</w:t>
            </w:r>
          </w:p>
        </w:tc>
        <w:tc>
          <w:tcPr>
            <w:tcW w:w="3261" w:type="dxa"/>
          </w:tcPr>
          <w:p w:rsidR="005157D2" w:rsidRPr="000D4AC5" w:rsidRDefault="005157D2" w:rsidP="00051316">
            <w:pPr>
              <w:rPr>
                <w:rFonts w:cstheme="minorHAnsi"/>
                <w:sz w:val="24"/>
                <w:szCs w:val="24"/>
              </w:rPr>
            </w:pPr>
            <w:r w:rsidRPr="000D4AC5">
              <w:rPr>
                <w:rFonts w:cstheme="minorHAnsi"/>
                <w:sz w:val="24"/>
                <w:szCs w:val="24"/>
              </w:rPr>
              <w:t xml:space="preserve">Zaproponowano wstępną lokalizację śmietników. </w:t>
            </w:r>
          </w:p>
        </w:tc>
        <w:tc>
          <w:tcPr>
            <w:tcW w:w="7796" w:type="dxa"/>
          </w:tcPr>
          <w:p w:rsidR="005157D2" w:rsidRPr="000D4AC5" w:rsidRDefault="005157D2" w:rsidP="005A3F3C">
            <w:pPr>
              <w:rPr>
                <w:rFonts w:cstheme="minorHAnsi"/>
                <w:sz w:val="24"/>
                <w:szCs w:val="24"/>
              </w:rPr>
            </w:pPr>
            <w:r w:rsidRPr="000D4AC5">
              <w:rPr>
                <w:rFonts w:cstheme="minorHAnsi"/>
                <w:sz w:val="24"/>
                <w:szCs w:val="24"/>
              </w:rPr>
              <w:t xml:space="preserve">Doprecyzowano lokalizację podziemnych śmietników </w:t>
            </w:r>
            <w:r w:rsidR="00051316">
              <w:rPr>
                <w:rFonts w:cstheme="minorHAnsi"/>
                <w:sz w:val="24"/>
                <w:szCs w:val="24"/>
              </w:rPr>
              <w:t>–</w:t>
            </w:r>
            <w:r w:rsidRPr="000D4AC5">
              <w:rPr>
                <w:rFonts w:cstheme="minorHAnsi"/>
                <w:sz w:val="24"/>
                <w:szCs w:val="24"/>
              </w:rPr>
              <w:t xml:space="preserve"> pomiędzy</w:t>
            </w:r>
            <w:r w:rsidR="00FF32D2">
              <w:rPr>
                <w:rFonts w:cstheme="minorHAnsi"/>
                <w:sz w:val="24"/>
                <w:szCs w:val="24"/>
              </w:rPr>
              <w:t xml:space="preserve"> </w:t>
            </w:r>
            <w:r w:rsidRPr="000D4AC5">
              <w:rPr>
                <w:rFonts w:cstheme="minorHAnsi"/>
                <w:sz w:val="24"/>
                <w:szCs w:val="24"/>
              </w:rPr>
              <w:t>budynkami Arsenału i Odwachu. Ponadto zweryfikowano możliwości formalne i</w:t>
            </w:r>
            <w:r w:rsidR="005A3F3C">
              <w:rPr>
                <w:rFonts w:cstheme="minorHAnsi"/>
                <w:sz w:val="24"/>
                <w:szCs w:val="24"/>
              </w:rPr>
              <w:t> </w:t>
            </w:r>
            <w:r w:rsidRPr="000D4AC5">
              <w:rPr>
                <w:rFonts w:cstheme="minorHAnsi"/>
                <w:sz w:val="24"/>
                <w:szCs w:val="24"/>
              </w:rPr>
              <w:t xml:space="preserve">techniczne dla powyższej lokalizacji. </w:t>
            </w:r>
          </w:p>
        </w:tc>
      </w:tr>
      <w:tr w:rsidR="005157D2" w:rsidRPr="000D4AC5" w:rsidTr="00A41D78">
        <w:trPr>
          <w:jc w:val="center"/>
        </w:trPr>
        <w:tc>
          <w:tcPr>
            <w:tcW w:w="3397" w:type="dxa"/>
            <w:vAlign w:val="center"/>
          </w:tcPr>
          <w:p w:rsidR="005157D2" w:rsidRPr="000D4AC5" w:rsidRDefault="005157D2" w:rsidP="002C7A29">
            <w:pPr>
              <w:rPr>
                <w:rFonts w:cstheme="minorHAnsi"/>
                <w:sz w:val="24"/>
                <w:szCs w:val="24"/>
              </w:rPr>
            </w:pPr>
            <w:r w:rsidRPr="000D4AC5">
              <w:rPr>
                <w:rFonts w:cstheme="minorHAnsi"/>
                <w:sz w:val="24"/>
                <w:szCs w:val="24"/>
              </w:rPr>
              <w:t xml:space="preserve">GESTORZY – </w:t>
            </w:r>
            <w:r w:rsidR="00E35DDE" w:rsidRPr="000D4AC5">
              <w:rPr>
                <w:rFonts w:cstheme="minorHAnsi"/>
                <w:sz w:val="24"/>
                <w:szCs w:val="24"/>
              </w:rPr>
              <w:t>KOLIZJE I</w:t>
            </w:r>
            <w:r w:rsidR="002C7A29">
              <w:rPr>
                <w:rFonts w:cstheme="minorHAnsi"/>
                <w:sz w:val="24"/>
                <w:szCs w:val="24"/>
              </w:rPr>
              <w:t> </w:t>
            </w:r>
            <w:r w:rsidR="00E35DDE" w:rsidRPr="000D4AC5">
              <w:rPr>
                <w:rFonts w:cstheme="minorHAnsi"/>
                <w:sz w:val="24"/>
                <w:szCs w:val="24"/>
              </w:rPr>
              <w:t>WSPÓŁPRACA</w:t>
            </w:r>
          </w:p>
        </w:tc>
        <w:tc>
          <w:tcPr>
            <w:tcW w:w="3261" w:type="dxa"/>
          </w:tcPr>
          <w:p w:rsidR="005157D2" w:rsidRPr="000D4AC5" w:rsidRDefault="005157D2" w:rsidP="00051316">
            <w:pPr>
              <w:rPr>
                <w:rFonts w:cstheme="minorHAnsi"/>
                <w:sz w:val="24"/>
                <w:szCs w:val="24"/>
              </w:rPr>
            </w:pPr>
            <w:r w:rsidRPr="000D4AC5">
              <w:rPr>
                <w:rFonts w:cstheme="minorHAnsi"/>
                <w:sz w:val="24"/>
                <w:szCs w:val="24"/>
              </w:rPr>
              <w:t>Na etapie PFU</w:t>
            </w:r>
            <w:r w:rsidR="000E635A">
              <w:rPr>
                <w:rFonts w:cstheme="minorHAnsi"/>
                <w:sz w:val="24"/>
                <w:szCs w:val="24"/>
              </w:rPr>
              <w:t xml:space="preserve"> z </w:t>
            </w:r>
            <w:r w:rsidRPr="000D4AC5">
              <w:rPr>
                <w:rFonts w:cstheme="minorHAnsi"/>
                <w:sz w:val="24"/>
                <w:szCs w:val="24"/>
              </w:rPr>
              <w:t xml:space="preserve">2017 r. uzyskano i uwzględniono jedynie wstępne warunki </w:t>
            </w:r>
            <w:r w:rsidR="00EF0438" w:rsidRPr="000D4AC5">
              <w:rPr>
                <w:rFonts w:cstheme="minorHAnsi"/>
                <w:sz w:val="24"/>
                <w:szCs w:val="24"/>
              </w:rPr>
              <w:t>g</w:t>
            </w:r>
            <w:r w:rsidRPr="000D4AC5">
              <w:rPr>
                <w:rFonts w:cstheme="minorHAnsi"/>
                <w:sz w:val="24"/>
                <w:szCs w:val="24"/>
              </w:rPr>
              <w:t>estorów sieci.</w:t>
            </w:r>
          </w:p>
        </w:tc>
        <w:tc>
          <w:tcPr>
            <w:tcW w:w="7796" w:type="dxa"/>
          </w:tcPr>
          <w:p w:rsidR="005157D2" w:rsidRPr="000D4AC5" w:rsidRDefault="005157D2" w:rsidP="001F41D9">
            <w:pPr>
              <w:spacing w:after="120"/>
              <w:rPr>
                <w:rFonts w:cstheme="minorHAnsi"/>
                <w:sz w:val="24"/>
                <w:szCs w:val="24"/>
              </w:rPr>
            </w:pPr>
            <w:r w:rsidRPr="000D4AC5">
              <w:rPr>
                <w:rFonts w:cstheme="minorHAnsi"/>
                <w:sz w:val="24"/>
                <w:szCs w:val="24"/>
              </w:rPr>
              <w:t>Na etapie PFU z 2020 r. nastąpiło ze</w:t>
            </w:r>
            <w:r w:rsidR="00EF0438" w:rsidRPr="000D4AC5">
              <w:rPr>
                <w:rFonts w:cstheme="minorHAnsi"/>
                <w:sz w:val="24"/>
                <w:szCs w:val="24"/>
              </w:rPr>
              <w:t xml:space="preserve"> strony g</w:t>
            </w:r>
            <w:r w:rsidRPr="000D4AC5">
              <w:rPr>
                <w:rFonts w:cstheme="minorHAnsi"/>
                <w:sz w:val="24"/>
                <w:szCs w:val="24"/>
              </w:rPr>
              <w:t>estorów sieci – doprecyzowanie i uszczegółowienie wstępnie wydanych warunków. Skutkiem tego była rozbudowa sieci uzbrojenia oraz powstanie nowych elementów infrastruktury.</w:t>
            </w:r>
          </w:p>
          <w:p w:rsidR="005157D2" w:rsidRPr="000D4AC5" w:rsidRDefault="005157D2" w:rsidP="00AA486F">
            <w:pPr>
              <w:rPr>
                <w:rFonts w:cstheme="minorHAnsi"/>
                <w:sz w:val="24"/>
                <w:szCs w:val="24"/>
              </w:rPr>
            </w:pPr>
            <w:r w:rsidRPr="000D4AC5">
              <w:rPr>
                <w:rFonts w:cstheme="minorHAnsi"/>
                <w:sz w:val="24"/>
                <w:szCs w:val="24"/>
              </w:rPr>
              <w:t>Miasto we współpracy z gestorami sieci podziemnych, celem usprawnienia procesu projektowego i realizacji inwestycji postanowiło o</w:t>
            </w:r>
            <w:r w:rsidR="00FF32D2">
              <w:rPr>
                <w:rFonts w:cstheme="minorHAnsi"/>
                <w:sz w:val="24"/>
                <w:szCs w:val="24"/>
              </w:rPr>
              <w:t xml:space="preserve"> </w:t>
            </w:r>
            <w:r w:rsidRPr="000D4AC5">
              <w:rPr>
                <w:rFonts w:cstheme="minorHAnsi"/>
                <w:sz w:val="24"/>
                <w:szCs w:val="24"/>
              </w:rPr>
              <w:t>potrzebie prowadzenia wszystkich, niezbędnych działań związanych z</w:t>
            </w:r>
            <w:r w:rsidR="00FF32D2">
              <w:rPr>
                <w:rFonts w:cstheme="minorHAnsi"/>
                <w:sz w:val="24"/>
                <w:szCs w:val="24"/>
              </w:rPr>
              <w:t xml:space="preserve"> </w:t>
            </w:r>
            <w:r w:rsidRPr="000D4AC5">
              <w:rPr>
                <w:rFonts w:cstheme="minorHAnsi"/>
                <w:sz w:val="24"/>
                <w:szCs w:val="24"/>
              </w:rPr>
              <w:t>pracami projektowymi oraz wykonawczymi  - razem – w ramach wspólnego kontraktu. Ponadto, dopiero opracowanie dokumentacji projektowej pozwoliło na</w:t>
            </w:r>
            <w:r w:rsidR="00FF32D2">
              <w:rPr>
                <w:rFonts w:cstheme="minorHAnsi"/>
                <w:sz w:val="24"/>
                <w:szCs w:val="24"/>
              </w:rPr>
              <w:t> </w:t>
            </w:r>
            <w:r w:rsidRPr="000D4AC5">
              <w:rPr>
                <w:rFonts w:cstheme="minorHAnsi"/>
                <w:sz w:val="24"/>
                <w:szCs w:val="24"/>
              </w:rPr>
              <w:t xml:space="preserve">precyzyjne określenie występujących kolizji między sieciami uzbrojenia podziemnego. </w:t>
            </w:r>
          </w:p>
        </w:tc>
      </w:tr>
    </w:tbl>
    <w:p w:rsidR="007201DD" w:rsidRPr="000D4AC5" w:rsidRDefault="007201DD" w:rsidP="00AA486F">
      <w:pPr>
        <w:rPr>
          <w:rFonts w:cstheme="minorHAnsi"/>
          <w:sz w:val="24"/>
          <w:szCs w:val="24"/>
        </w:rPr>
      </w:pPr>
    </w:p>
    <w:sectPr w:rsidR="007201DD" w:rsidRPr="000D4AC5" w:rsidSect="00A6354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B388D"/>
    <w:multiLevelType w:val="hybridMultilevel"/>
    <w:tmpl w:val="80D25D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F85CCA"/>
    <w:multiLevelType w:val="hybridMultilevel"/>
    <w:tmpl w:val="7820EA7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1DD"/>
    <w:rsid w:val="00051316"/>
    <w:rsid w:val="000A6657"/>
    <w:rsid w:val="000D4AC5"/>
    <w:rsid w:val="000E635A"/>
    <w:rsid w:val="000F7609"/>
    <w:rsid w:val="00114A6F"/>
    <w:rsid w:val="00153BDF"/>
    <w:rsid w:val="00164679"/>
    <w:rsid w:val="001A43DC"/>
    <w:rsid w:val="001A6E03"/>
    <w:rsid w:val="001E1D3B"/>
    <w:rsid w:val="001E44B1"/>
    <w:rsid w:val="001F41D5"/>
    <w:rsid w:val="001F41D9"/>
    <w:rsid w:val="002041BB"/>
    <w:rsid w:val="002260F1"/>
    <w:rsid w:val="00240A2E"/>
    <w:rsid w:val="002649BD"/>
    <w:rsid w:val="002A1B42"/>
    <w:rsid w:val="002C7A29"/>
    <w:rsid w:val="002F5DEE"/>
    <w:rsid w:val="00302AB2"/>
    <w:rsid w:val="003614BD"/>
    <w:rsid w:val="00364A6E"/>
    <w:rsid w:val="003660CB"/>
    <w:rsid w:val="00395266"/>
    <w:rsid w:val="003C3342"/>
    <w:rsid w:val="003C6EDC"/>
    <w:rsid w:val="00427542"/>
    <w:rsid w:val="004766CE"/>
    <w:rsid w:val="004F51C8"/>
    <w:rsid w:val="005157D2"/>
    <w:rsid w:val="005166E3"/>
    <w:rsid w:val="005A3F3C"/>
    <w:rsid w:val="005E178D"/>
    <w:rsid w:val="006F370A"/>
    <w:rsid w:val="007201DD"/>
    <w:rsid w:val="00744B51"/>
    <w:rsid w:val="007815C3"/>
    <w:rsid w:val="007F3457"/>
    <w:rsid w:val="00820F2C"/>
    <w:rsid w:val="00821B4C"/>
    <w:rsid w:val="00837CD0"/>
    <w:rsid w:val="008B625B"/>
    <w:rsid w:val="009104EF"/>
    <w:rsid w:val="0092460C"/>
    <w:rsid w:val="00932E41"/>
    <w:rsid w:val="0097349C"/>
    <w:rsid w:val="00A128A6"/>
    <w:rsid w:val="00A41D78"/>
    <w:rsid w:val="00A6354E"/>
    <w:rsid w:val="00AA486F"/>
    <w:rsid w:val="00AB720F"/>
    <w:rsid w:val="00BA04A9"/>
    <w:rsid w:val="00BC5A0A"/>
    <w:rsid w:val="00C91795"/>
    <w:rsid w:val="00D16916"/>
    <w:rsid w:val="00D22874"/>
    <w:rsid w:val="00D442B5"/>
    <w:rsid w:val="00E0560F"/>
    <w:rsid w:val="00E35DDE"/>
    <w:rsid w:val="00E92C25"/>
    <w:rsid w:val="00ED617D"/>
    <w:rsid w:val="00EE6499"/>
    <w:rsid w:val="00EF0438"/>
    <w:rsid w:val="00F333F0"/>
    <w:rsid w:val="00F740F1"/>
    <w:rsid w:val="00FA30AF"/>
    <w:rsid w:val="00FF3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3F1E9F-DAE6-4138-841D-713C61CC0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9526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201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260F1"/>
    <w:pPr>
      <w:spacing w:line="256" w:lineRule="auto"/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F04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04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645</Words>
  <Characters>3870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Bolimowska</dc:creator>
  <cp:keywords/>
  <dc:description/>
  <cp:lastModifiedBy>Łukasz Wieczorek</cp:lastModifiedBy>
  <cp:revision>26</cp:revision>
  <cp:lastPrinted>2023-01-11T08:54:00Z</cp:lastPrinted>
  <dcterms:created xsi:type="dcterms:W3CDTF">2023-01-11T08:52:00Z</dcterms:created>
  <dcterms:modified xsi:type="dcterms:W3CDTF">2023-01-13T07:46:00Z</dcterms:modified>
</cp:coreProperties>
</file>