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DD" w:rsidRPr="000D4AC5" w:rsidRDefault="001E1D3B">
      <w:pPr>
        <w:rPr>
          <w:rFonts w:cstheme="minorHAnsi"/>
          <w:sz w:val="24"/>
          <w:szCs w:val="24"/>
        </w:rPr>
      </w:pPr>
      <w:r w:rsidRPr="000D4AC5">
        <w:rPr>
          <w:rFonts w:cstheme="minorHAnsi"/>
          <w:sz w:val="24"/>
          <w:szCs w:val="24"/>
        </w:rPr>
        <w:t>Załącznik</w:t>
      </w:r>
      <w:r w:rsidR="007815C3">
        <w:rPr>
          <w:rFonts w:cstheme="minorHAnsi"/>
          <w:sz w:val="24"/>
          <w:szCs w:val="24"/>
        </w:rPr>
        <w:t>.</w:t>
      </w:r>
      <w:r w:rsidRPr="000D4AC5">
        <w:rPr>
          <w:rFonts w:cstheme="minorHAnsi"/>
          <w:sz w:val="24"/>
          <w:szCs w:val="24"/>
        </w:rPr>
        <w:t xml:space="preserve"> </w:t>
      </w:r>
      <w:r w:rsidR="00240A2E" w:rsidRPr="000D4AC5">
        <w:rPr>
          <w:rFonts w:cstheme="minorHAnsi"/>
          <w:sz w:val="24"/>
          <w:szCs w:val="24"/>
        </w:rPr>
        <w:t xml:space="preserve">Zestawienie zasadniczych różnic pomiędzy </w:t>
      </w:r>
      <w:r w:rsidR="00240A2E" w:rsidRPr="0092460C">
        <w:rPr>
          <w:rFonts w:cstheme="minorHAnsi"/>
          <w:sz w:val="24"/>
          <w:szCs w:val="24"/>
        </w:rPr>
        <w:t>PFU</w:t>
      </w:r>
      <w:r w:rsidR="00240A2E" w:rsidRPr="000D4AC5">
        <w:rPr>
          <w:rFonts w:cstheme="minorHAnsi"/>
          <w:b/>
          <w:sz w:val="24"/>
          <w:szCs w:val="24"/>
        </w:rPr>
        <w:t xml:space="preserve"> </w:t>
      </w:r>
      <w:r w:rsidR="00240A2E" w:rsidRPr="000D4AC5">
        <w:rPr>
          <w:rFonts w:cstheme="minorHAnsi"/>
          <w:sz w:val="24"/>
          <w:szCs w:val="24"/>
        </w:rPr>
        <w:t>z roku 2017 i 2020</w:t>
      </w:r>
      <w:r w:rsidR="00820F2C" w:rsidRPr="000D4AC5">
        <w:rPr>
          <w:rFonts w:cstheme="minorHAnsi"/>
          <w:sz w:val="24"/>
          <w:szCs w:val="24"/>
        </w:rPr>
        <w:t xml:space="preserve"> oraz</w:t>
      </w:r>
      <w:r w:rsidR="00302AB2" w:rsidRPr="000D4AC5">
        <w:rPr>
          <w:rFonts w:cstheme="minorHAnsi"/>
          <w:sz w:val="24"/>
          <w:szCs w:val="24"/>
        </w:rPr>
        <w:t xml:space="preserve"> uzasadnienie zmian</w:t>
      </w:r>
      <w:r w:rsidR="00240A2E" w:rsidRPr="000D4AC5">
        <w:rPr>
          <w:rFonts w:cstheme="minorHAnsi"/>
          <w:sz w:val="24"/>
          <w:szCs w:val="24"/>
        </w:rPr>
        <w:t>.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7796"/>
      </w:tblGrid>
      <w:tr w:rsidR="005E178D" w:rsidRPr="000D4AC5" w:rsidTr="00A41D78">
        <w:trPr>
          <w:tblHeader/>
          <w:jc w:val="center"/>
        </w:trPr>
        <w:tc>
          <w:tcPr>
            <w:tcW w:w="3397" w:type="dxa"/>
            <w:vAlign w:val="center"/>
          </w:tcPr>
          <w:p w:rsidR="005E178D" w:rsidRPr="000D4AC5" w:rsidRDefault="005E178D" w:rsidP="00240A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ELEMENT</w:t>
            </w:r>
          </w:p>
        </w:tc>
        <w:tc>
          <w:tcPr>
            <w:tcW w:w="3261" w:type="dxa"/>
            <w:vAlign w:val="center"/>
          </w:tcPr>
          <w:p w:rsidR="005E178D" w:rsidRPr="000D4AC5" w:rsidRDefault="005E178D" w:rsidP="00240A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PFU Demiurg 2017</w:t>
            </w:r>
            <w:r w:rsidR="000D4AC5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r</w:t>
            </w:r>
            <w:r w:rsidR="000D4AC5">
              <w:rPr>
                <w:rFonts w:cstheme="minorHAnsi"/>
                <w:sz w:val="24"/>
                <w:szCs w:val="24"/>
              </w:rPr>
              <w:t>.</w:t>
            </w:r>
            <w:r w:rsidRPr="000D4AC5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5E178D" w:rsidRPr="000D4AC5" w:rsidRDefault="005E178D" w:rsidP="000D4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Koncepcja nawierzchni Demiurg 2017</w:t>
            </w:r>
            <w:r w:rsidR="000D4AC5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r</w:t>
            </w:r>
            <w:r w:rsidR="000D4A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:rsidR="005E178D" w:rsidRPr="000D4AC5" w:rsidRDefault="005E178D" w:rsidP="00240A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 xml:space="preserve">PFU </w:t>
            </w:r>
            <w:proofErr w:type="spellStart"/>
            <w:r w:rsidRPr="000D4AC5">
              <w:rPr>
                <w:rFonts w:cstheme="minorHAnsi"/>
                <w:sz w:val="24"/>
                <w:szCs w:val="24"/>
              </w:rPr>
              <w:t>Graphit</w:t>
            </w:r>
            <w:proofErr w:type="spellEnd"/>
            <w:r w:rsidRPr="000D4AC5">
              <w:rPr>
                <w:rFonts w:cstheme="minorHAnsi"/>
                <w:sz w:val="24"/>
                <w:szCs w:val="24"/>
              </w:rPr>
              <w:t xml:space="preserve"> 2020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r.,</w:t>
            </w:r>
          </w:p>
          <w:p w:rsidR="005E178D" w:rsidRPr="000D4AC5" w:rsidRDefault="005E178D" w:rsidP="00FF3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 xml:space="preserve"> Koncepcja nawierzchni J.</w:t>
            </w:r>
            <w:r w:rsidR="00D22874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Bułat 2020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r</w:t>
            </w:r>
            <w:r w:rsidR="00FF32D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E178D" w:rsidRPr="000D4AC5" w:rsidTr="00A41D78">
        <w:trPr>
          <w:jc w:val="center"/>
        </w:trPr>
        <w:tc>
          <w:tcPr>
            <w:tcW w:w="3397" w:type="dxa"/>
            <w:vAlign w:val="center"/>
          </w:tcPr>
          <w:p w:rsidR="005E178D" w:rsidRPr="000D4AC5" w:rsidRDefault="005157D2" w:rsidP="00E92C25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NAWIERZCHNIA – MATERIAŁ I</w:t>
            </w:r>
            <w:r w:rsidR="00E92C25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 xml:space="preserve">KONSTRUKCJA </w:t>
            </w:r>
          </w:p>
        </w:tc>
        <w:tc>
          <w:tcPr>
            <w:tcW w:w="3261" w:type="dxa"/>
          </w:tcPr>
          <w:p w:rsidR="005E178D" w:rsidRPr="000D4AC5" w:rsidRDefault="005E178D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 xml:space="preserve">Zakładano użycie wyłącznie materiału </w:t>
            </w:r>
            <w:proofErr w:type="spellStart"/>
            <w:r w:rsidR="00051316">
              <w:rPr>
                <w:rFonts w:cstheme="minorHAnsi"/>
                <w:sz w:val="24"/>
                <w:szCs w:val="24"/>
              </w:rPr>
              <w:t>s</w:t>
            </w:r>
            <w:r w:rsidRPr="000D4AC5">
              <w:rPr>
                <w:rFonts w:cstheme="minorHAnsi"/>
                <w:sz w:val="24"/>
                <w:szCs w:val="24"/>
              </w:rPr>
              <w:t>taroużytecznego</w:t>
            </w:r>
            <w:proofErr w:type="spellEnd"/>
            <w:r w:rsidRPr="000D4A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E178D" w:rsidRPr="000D4AC5" w:rsidRDefault="005E178D" w:rsidP="0092460C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Wprowadz</w:t>
            </w:r>
            <w:r w:rsidR="00932E41" w:rsidRPr="000D4AC5">
              <w:rPr>
                <w:rFonts w:cstheme="minorHAnsi"/>
                <w:sz w:val="24"/>
                <w:szCs w:val="24"/>
              </w:rPr>
              <w:t>ono zmiany do pierwotnych założ</w:t>
            </w:r>
            <w:r w:rsidRPr="000D4AC5">
              <w:rPr>
                <w:rFonts w:cstheme="minorHAnsi"/>
                <w:sz w:val="24"/>
                <w:szCs w:val="24"/>
              </w:rPr>
              <w:t>eń. Ze względu na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 xml:space="preserve">ograniczoną ilość materiału </w:t>
            </w:r>
            <w:proofErr w:type="spellStart"/>
            <w:r w:rsidRPr="000D4AC5">
              <w:rPr>
                <w:rFonts w:cstheme="minorHAnsi"/>
                <w:sz w:val="24"/>
                <w:szCs w:val="24"/>
              </w:rPr>
              <w:t>staroużytecznego</w:t>
            </w:r>
            <w:proofErr w:type="spellEnd"/>
            <w:r w:rsidRPr="000D4AC5">
              <w:rPr>
                <w:rFonts w:cstheme="minorHAnsi"/>
                <w:sz w:val="24"/>
                <w:szCs w:val="24"/>
              </w:rPr>
              <w:t xml:space="preserve"> w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stanie pozwalającym na</w:t>
            </w:r>
            <w:r w:rsidR="00D16916" w:rsidRPr="000D4AC5">
              <w:rPr>
                <w:rFonts w:cstheme="minorHAnsi"/>
                <w:sz w:val="24"/>
                <w:szCs w:val="24"/>
              </w:rPr>
              <w:t xml:space="preserve"> ponowne</w:t>
            </w:r>
            <w:r w:rsidRPr="000D4AC5">
              <w:rPr>
                <w:rFonts w:cstheme="minorHAnsi"/>
                <w:sz w:val="24"/>
                <w:szCs w:val="24"/>
              </w:rPr>
              <w:t xml:space="preserve"> wykorzystanie oraz przez wzgląd na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konieczność zachowania dostępności i</w:t>
            </w:r>
            <w:r w:rsidR="00FF32D2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równości nawierzchni zaproponowano dodanie nowego materiału kamiennego.</w:t>
            </w:r>
          </w:p>
          <w:p w:rsidR="005E178D" w:rsidRPr="000D4AC5" w:rsidRDefault="005E178D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W zapro</w:t>
            </w:r>
            <w:r w:rsidR="00D16916" w:rsidRPr="000D4AC5">
              <w:rPr>
                <w:rFonts w:cstheme="minorHAnsi"/>
                <w:sz w:val="24"/>
                <w:szCs w:val="24"/>
              </w:rPr>
              <w:t>jektowanym</w:t>
            </w:r>
            <w:r w:rsidRPr="000D4AC5">
              <w:rPr>
                <w:rFonts w:cstheme="minorHAnsi"/>
                <w:sz w:val="24"/>
                <w:szCs w:val="24"/>
              </w:rPr>
              <w:t xml:space="preserve"> rozwiązaniu materiał </w:t>
            </w:r>
            <w:proofErr w:type="spellStart"/>
            <w:r w:rsidRPr="000D4AC5">
              <w:rPr>
                <w:rFonts w:cstheme="minorHAnsi"/>
                <w:sz w:val="24"/>
                <w:szCs w:val="24"/>
              </w:rPr>
              <w:t>staroużyteczny</w:t>
            </w:r>
            <w:proofErr w:type="spellEnd"/>
            <w:r w:rsidRPr="000D4AC5">
              <w:rPr>
                <w:rFonts w:cstheme="minorHAnsi"/>
                <w:sz w:val="24"/>
                <w:szCs w:val="24"/>
              </w:rPr>
              <w:t xml:space="preserve"> zostanie wbudowany w</w:t>
            </w:r>
            <w:r w:rsidR="00051316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 xml:space="preserve">bloku </w:t>
            </w:r>
            <w:proofErr w:type="spellStart"/>
            <w:r w:rsidRPr="000D4AC5">
              <w:rPr>
                <w:rFonts w:cstheme="minorHAnsi"/>
                <w:sz w:val="24"/>
                <w:szCs w:val="24"/>
              </w:rPr>
              <w:t>śródrynkowym</w:t>
            </w:r>
            <w:proofErr w:type="spellEnd"/>
            <w:r w:rsidRPr="000D4AC5">
              <w:rPr>
                <w:rFonts w:cstheme="minorHAnsi"/>
                <w:sz w:val="24"/>
                <w:szCs w:val="24"/>
              </w:rPr>
              <w:t>. Nowa kostka kamienna, wielobarwna, stanowiąca mozaikę kolorystycznie zbliżoną do</w:t>
            </w:r>
            <w:r w:rsidR="00051316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 xml:space="preserve">materiału </w:t>
            </w:r>
            <w:proofErr w:type="spellStart"/>
            <w:r w:rsidRPr="000D4AC5">
              <w:rPr>
                <w:rFonts w:cstheme="minorHAnsi"/>
                <w:sz w:val="24"/>
                <w:szCs w:val="24"/>
              </w:rPr>
              <w:t>staroużytecznego</w:t>
            </w:r>
            <w:proofErr w:type="spellEnd"/>
            <w:r w:rsidRPr="000D4AC5">
              <w:rPr>
                <w:rFonts w:cstheme="minorHAnsi"/>
                <w:sz w:val="24"/>
                <w:szCs w:val="24"/>
              </w:rPr>
              <w:t xml:space="preserve">, wbudowana zostanie na pozostałym obszarze płyty. </w:t>
            </w:r>
            <w:r w:rsidR="00D16916" w:rsidRPr="000D4AC5">
              <w:rPr>
                <w:rFonts w:cstheme="minorHAnsi"/>
                <w:sz w:val="24"/>
                <w:szCs w:val="24"/>
              </w:rPr>
              <w:t>Na chodnikach,</w:t>
            </w:r>
            <w:r w:rsidRPr="000D4AC5">
              <w:rPr>
                <w:rFonts w:cstheme="minorHAnsi"/>
                <w:sz w:val="24"/>
                <w:szCs w:val="24"/>
              </w:rPr>
              <w:t xml:space="preserve"> przy</w:t>
            </w:r>
            <w:r w:rsidR="003C3342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elewacjach zastosowano nowe płyty granitowe.</w:t>
            </w:r>
          </w:p>
          <w:p w:rsidR="005E178D" w:rsidRPr="000D4AC5" w:rsidRDefault="005E178D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W pasach kompensacyjnych dodano najbardziej cenny materiał porfirowy.</w:t>
            </w:r>
          </w:p>
          <w:p w:rsidR="005E178D" w:rsidRPr="000D4AC5" w:rsidRDefault="005E178D" w:rsidP="0092460C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Zmiany te były przedmiotem licznych analiz i prób materiałowych. Zatwierdzone zostały przez zespół ekspercki składający się m.in.</w:t>
            </w:r>
            <w:r w:rsidR="00051316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z Miejskiego Konserwatora Zabytków i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ZDM.</w:t>
            </w:r>
          </w:p>
          <w:p w:rsidR="00E35DDE" w:rsidRPr="000D4AC5" w:rsidRDefault="00D16916" w:rsidP="0092460C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Zmieniono także konstrukcję</w:t>
            </w:r>
            <w:r w:rsidR="005E178D" w:rsidRPr="000D4AC5">
              <w:rPr>
                <w:rFonts w:cstheme="minorHAnsi"/>
                <w:sz w:val="24"/>
                <w:szCs w:val="24"/>
              </w:rPr>
              <w:t xml:space="preserve"> n</w:t>
            </w:r>
            <w:bookmarkStart w:id="0" w:name="_GoBack"/>
            <w:bookmarkEnd w:id="0"/>
            <w:r w:rsidR="005E178D" w:rsidRPr="000D4AC5">
              <w:rPr>
                <w:rFonts w:cstheme="minorHAnsi"/>
                <w:sz w:val="24"/>
                <w:szCs w:val="24"/>
              </w:rPr>
              <w:t xml:space="preserve">awierzchni. </w:t>
            </w:r>
            <w:r w:rsidR="005E178D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 wykonaniu uzupełniających badań geotechnicznych gruntu </w:t>
            </w:r>
            <w:r w:rsidR="008B625B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>– m.in.</w:t>
            </w:r>
            <w:r w:rsidR="005E178D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sondowania metodą Panda - zdecydowano o</w:t>
            </w:r>
            <w:r w:rsidR="00FF32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5E178D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>kon</w:t>
            </w:r>
            <w:r w:rsidR="008B625B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ieczności wzmocnienia podłoża </w:t>
            </w:r>
            <w:r w:rsidR="005E178D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 w:rsidR="00FF32D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EF0438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potrzebie wykonania dodatkowych, grubszych </w:t>
            </w:r>
            <w:r w:rsidR="005E178D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>podbudów</w:t>
            </w:r>
            <w:r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 nawierzchnią</w:t>
            </w:r>
            <w:r w:rsidR="005E178D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pł</w:t>
            </w:r>
            <w:r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yty rynku i ulic </w:t>
            </w:r>
            <w:r w:rsidR="005E178D" w:rsidRPr="000D4AC5">
              <w:rPr>
                <w:rFonts w:eastAsia="Times New Roman" w:cstheme="minorHAnsi"/>
                <w:sz w:val="24"/>
                <w:szCs w:val="24"/>
                <w:lang w:eastAsia="pl-PL"/>
              </w:rPr>
              <w:t>dochodzących – celem zwiększenia nośności konstrukcji.</w:t>
            </w:r>
          </w:p>
        </w:tc>
      </w:tr>
      <w:tr w:rsidR="005157D2" w:rsidRPr="000D4AC5" w:rsidTr="00A41D78">
        <w:trPr>
          <w:trHeight w:val="1687"/>
          <w:jc w:val="center"/>
        </w:trPr>
        <w:tc>
          <w:tcPr>
            <w:tcW w:w="3397" w:type="dxa"/>
            <w:vAlign w:val="center"/>
          </w:tcPr>
          <w:p w:rsidR="005157D2" w:rsidRPr="000D4AC5" w:rsidRDefault="005157D2" w:rsidP="005157D2">
            <w:pPr>
              <w:jc w:val="both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lastRenderedPageBreak/>
              <w:t>KANAŁ TECHNOLOGICZNY</w:t>
            </w:r>
          </w:p>
        </w:tc>
        <w:tc>
          <w:tcPr>
            <w:tcW w:w="3261" w:type="dxa"/>
          </w:tcPr>
          <w:p w:rsidR="005157D2" w:rsidRPr="000D4AC5" w:rsidRDefault="005157D2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 xml:space="preserve">Brak takiego rozwiązania. </w:t>
            </w:r>
          </w:p>
        </w:tc>
        <w:tc>
          <w:tcPr>
            <w:tcW w:w="7796" w:type="dxa"/>
          </w:tcPr>
          <w:p w:rsidR="005157D2" w:rsidRPr="000D4AC5" w:rsidRDefault="005157D2" w:rsidP="007F3457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Po dokonaniu szczegółowych analiz przestrzennych rozmieszczenia sieci podziemnych oraz uzupełniających badań geotechnicznych podłoża gruntowego zaprojektowano w ulicy Ratuszowej i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Różany Targ zbiorczy kanał technologiczny. Tunel ten umożliwia zlokalizowanie w nim wszystkich sieci podziemnych. Ze względu na</w:t>
            </w:r>
            <w:r w:rsidR="00051316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zagęszczenie istniejących oraz nowoprojektowanych sieci, zastosowanie kanału zbiorczego ma uzasadnienie nie tylko ekonomiczne ale też stanowi jedyne możliwe rozwiązanie techniczne. Takie rozwiązanie ułatwi także prowadzenie prac serwisowych w</w:t>
            </w:r>
            <w:r w:rsidR="007F3457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ramach zlokalizowanej w kanale infrastruktury. Jego</w:t>
            </w:r>
            <w:r w:rsidR="00051316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wymiary oraz lokalizację doprecyzowano w projekcie wykonawczym.</w:t>
            </w:r>
          </w:p>
        </w:tc>
      </w:tr>
      <w:tr w:rsidR="005157D2" w:rsidRPr="000D4AC5" w:rsidTr="00A41D78">
        <w:trPr>
          <w:trHeight w:val="2745"/>
          <w:jc w:val="center"/>
        </w:trPr>
        <w:tc>
          <w:tcPr>
            <w:tcW w:w="3397" w:type="dxa"/>
            <w:vAlign w:val="center"/>
          </w:tcPr>
          <w:p w:rsidR="005157D2" w:rsidRPr="000D4AC5" w:rsidRDefault="005157D2" w:rsidP="00AA486F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ZMIANA LOKALIZACJI I</w:t>
            </w:r>
            <w:r w:rsidR="00821B4C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WIELKOŚCI ZBIORNIKÓW RETENCYJNYCH</w:t>
            </w:r>
          </w:p>
        </w:tc>
        <w:tc>
          <w:tcPr>
            <w:tcW w:w="3261" w:type="dxa"/>
          </w:tcPr>
          <w:p w:rsidR="005157D2" w:rsidRPr="000D4AC5" w:rsidRDefault="005157D2" w:rsidP="003614BD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Wskazano bardzo ogólną, wstępną lokalizację dwóch zbiorników retencyjnych. W</w:t>
            </w:r>
            <w:r w:rsidR="00051316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przypadku dwóch (mniejszych) zbiorników wykorzystywanych do</w:t>
            </w:r>
            <w:r w:rsidR="003614BD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podlewania zieleni określono jedynie konieczność ich budowy.</w:t>
            </w:r>
          </w:p>
        </w:tc>
        <w:tc>
          <w:tcPr>
            <w:tcW w:w="7796" w:type="dxa"/>
          </w:tcPr>
          <w:p w:rsidR="005157D2" w:rsidRPr="000D4AC5" w:rsidRDefault="005157D2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Rozpoznanie szczegółowe układu istniejącej infrastruktury podziemnej oraz</w:t>
            </w:r>
            <w:r w:rsidR="00A128A6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zaprojektowane nowe elementy wymusiły zmianę lokalizacji zbiorników retencyjnych w stosunku do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koncepcji pierwotnej.</w:t>
            </w:r>
          </w:p>
          <w:p w:rsidR="00E35DDE" w:rsidRPr="000D4AC5" w:rsidRDefault="005157D2" w:rsidP="00BC5A0A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Na skutek uszczegółowienia projektu zmieniono lokalizację zbiorników</w:t>
            </w:r>
            <w:r w:rsidR="00A128A6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retencyjnych w stosunku do koncepcji pierwotnej.  Doprecyzowano też lokalizację dwóch zbiorników do retencjonowania wody wykorzystywanej do</w:t>
            </w:r>
            <w:r w:rsidR="003C3342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>podlewania zieleni.</w:t>
            </w:r>
          </w:p>
        </w:tc>
      </w:tr>
      <w:tr w:rsidR="005157D2" w:rsidRPr="000D4AC5" w:rsidTr="00A41D78">
        <w:trPr>
          <w:trHeight w:val="2553"/>
          <w:jc w:val="center"/>
        </w:trPr>
        <w:tc>
          <w:tcPr>
            <w:tcW w:w="3397" w:type="dxa"/>
            <w:vAlign w:val="center"/>
          </w:tcPr>
          <w:p w:rsidR="005157D2" w:rsidRPr="000D4AC5" w:rsidRDefault="00E35DDE" w:rsidP="005157D2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lastRenderedPageBreak/>
              <w:t>TOALETA PODZIEMNA</w:t>
            </w:r>
          </w:p>
        </w:tc>
        <w:tc>
          <w:tcPr>
            <w:tcW w:w="3261" w:type="dxa"/>
          </w:tcPr>
          <w:p w:rsidR="005157D2" w:rsidRPr="000D4AC5" w:rsidRDefault="005157D2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W pierwo</w:t>
            </w:r>
            <w:r w:rsidR="00EF0438" w:rsidRPr="000D4AC5">
              <w:rPr>
                <w:rFonts w:cstheme="minorHAnsi"/>
                <w:sz w:val="24"/>
                <w:szCs w:val="24"/>
              </w:rPr>
              <w:t>tnym PFU przewidziano toalety określając ogólnie ich</w:t>
            </w:r>
            <w:r w:rsidRPr="000D4AC5">
              <w:rPr>
                <w:rFonts w:cstheme="minorHAnsi"/>
                <w:sz w:val="24"/>
                <w:szCs w:val="24"/>
              </w:rPr>
              <w:t xml:space="preserve"> parametry.</w:t>
            </w:r>
          </w:p>
        </w:tc>
        <w:tc>
          <w:tcPr>
            <w:tcW w:w="7796" w:type="dxa"/>
          </w:tcPr>
          <w:p w:rsidR="005157D2" w:rsidRPr="000D4AC5" w:rsidRDefault="005157D2" w:rsidP="000F7609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Na etapie opracowania uszczegółowiającego PFU w 2020 r., określono szczegółowe rozwiązania w zakresie toalet. Jednakże dopiero rozpoczęcie robót budowlanych umożliwiło dokładną lokalizację i identyfikację zabytku, który pozostaje w kolizji z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 xml:space="preserve">zaprojektowaną wstępnie toaletą. Zaproponowano </w:t>
            </w:r>
            <w:r w:rsidR="00EF0438" w:rsidRPr="000D4AC5">
              <w:rPr>
                <w:rFonts w:cstheme="minorHAnsi"/>
                <w:sz w:val="24"/>
                <w:szCs w:val="24"/>
              </w:rPr>
              <w:t xml:space="preserve">więc </w:t>
            </w:r>
            <w:r w:rsidRPr="000D4AC5">
              <w:rPr>
                <w:rFonts w:cstheme="minorHAnsi"/>
                <w:sz w:val="24"/>
                <w:szCs w:val="24"/>
              </w:rPr>
              <w:t>rozbudowę istniejących pomieszczeń</w:t>
            </w:r>
            <w:r w:rsidR="00EF0438" w:rsidRPr="000D4AC5">
              <w:rPr>
                <w:rFonts w:cstheme="minorHAnsi"/>
                <w:sz w:val="24"/>
                <w:szCs w:val="24"/>
              </w:rPr>
              <w:t xml:space="preserve"> toalet</w:t>
            </w:r>
            <w:r w:rsidRPr="000D4AC5">
              <w:rPr>
                <w:rFonts w:cstheme="minorHAnsi"/>
                <w:sz w:val="24"/>
                <w:szCs w:val="24"/>
              </w:rPr>
              <w:t xml:space="preserve"> na potrzeby funkcji sanitarnych oraz zaplanowano lokalizację pomieszczeń technicznych, niezbędnych dla celów związanych m.i</w:t>
            </w:r>
            <w:r w:rsidR="00EF0438" w:rsidRPr="000D4AC5">
              <w:rPr>
                <w:rFonts w:cstheme="minorHAnsi"/>
                <w:sz w:val="24"/>
                <w:szCs w:val="24"/>
              </w:rPr>
              <w:t>n. ze sterowaniem oświetleniem oraz</w:t>
            </w:r>
            <w:r w:rsidR="000F7609">
              <w:rPr>
                <w:rFonts w:cstheme="minorHAnsi"/>
                <w:sz w:val="24"/>
                <w:szCs w:val="24"/>
              </w:rPr>
              <w:t> </w:t>
            </w:r>
            <w:r w:rsidR="00EF0438" w:rsidRPr="000D4AC5">
              <w:rPr>
                <w:rFonts w:cstheme="minorHAnsi"/>
                <w:sz w:val="24"/>
                <w:szCs w:val="24"/>
              </w:rPr>
              <w:t>obsługa techniczną infrastruktury rynku.</w:t>
            </w:r>
          </w:p>
        </w:tc>
      </w:tr>
      <w:tr w:rsidR="005157D2" w:rsidRPr="000D4AC5" w:rsidTr="00A41D78">
        <w:trPr>
          <w:trHeight w:val="978"/>
          <w:jc w:val="center"/>
        </w:trPr>
        <w:tc>
          <w:tcPr>
            <w:tcW w:w="3397" w:type="dxa"/>
            <w:vAlign w:val="center"/>
          </w:tcPr>
          <w:p w:rsidR="005157D2" w:rsidRPr="000D4AC5" w:rsidRDefault="00E35DDE" w:rsidP="005157D2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ŚMIETNIKI PODZIEMNE</w:t>
            </w:r>
          </w:p>
        </w:tc>
        <w:tc>
          <w:tcPr>
            <w:tcW w:w="3261" w:type="dxa"/>
          </w:tcPr>
          <w:p w:rsidR="005157D2" w:rsidRPr="000D4AC5" w:rsidRDefault="005157D2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 xml:space="preserve">Zaproponowano wstępną lokalizację śmietników. </w:t>
            </w:r>
          </w:p>
        </w:tc>
        <w:tc>
          <w:tcPr>
            <w:tcW w:w="7796" w:type="dxa"/>
          </w:tcPr>
          <w:p w:rsidR="005157D2" w:rsidRPr="000D4AC5" w:rsidRDefault="005157D2" w:rsidP="005A3F3C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 xml:space="preserve">Doprecyzowano lokalizację podziemnych śmietników </w:t>
            </w:r>
            <w:r w:rsidR="00051316">
              <w:rPr>
                <w:rFonts w:cstheme="minorHAnsi"/>
                <w:sz w:val="24"/>
                <w:szCs w:val="24"/>
              </w:rPr>
              <w:t>–</w:t>
            </w:r>
            <w:r w:rsidRPr="000D4AC5">
              <w:rPr>
                <w:rFonts w:cstheme="minorHAnsi"/>
                <w:sz w:val="24"/>
                <w:szCs w:val="24"/>
              </w:rPr>
              <w:t xml:space="preserve"> pomiędzy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budynkami Arsenału i Odwachu. Ponadto zweryfikowano możliwości formalne i</w:t>
            </w:r>
            <w:r w:rsidR="005A3F3C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 xml:space="preserve">techniczne dla powyższej lokalizacji. </w:t>
            </w:r>
          </w:p>
        </w:tc>
      </w:tr>
      <w:tr w:rsidR="005157D2" w:rsidRPr="000D4AC5" w:rsidTr="00A41D78">
        <w:trPr>
          <w:jc w:val="center"/>
        </w:trPr>
        <w:tc>
          <w:tcPr>
            <w:tcW w:w="3397" w:type="dxa"/>
            <w:vAlign w:val="center"/>
          </w:tcPr>
          <w:p w:rsidR="005157D2" w:rsidRPr="000D4AC5" w:rsidRDefault="005157D2" w:rsidP="002C7A29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 xml:space="preserve">GESTORZY – </w:t>
            </w:r>
            <w:r w:rsidR="00E35DDE" w:rsidRPr="000D4AC5">
              <w:rPr>
                <w:rFonts w:cstheme="minorHAnsi"/>
                <w:sz w:val="24"/>
                <w:szCs w:val="24"/>
              </w:rPr>
              <w:t>KOLIZJE I</w:t>
            </w:r>
            <w:r w:rsidR="002C7A29">
              <w:rPr>
                <w:rFonts w:cstheme="minorHAnsi"/>
                <w:sz w:val="24"/>
                <w:szCs w:val="24"/>
              </w:rPr>
              <w:t> </w:t>
            </w:r>
            <w:r w:rsidR="00E35DDE" w:rsidRPr="000D4AC5">
              <w:rPr>
                <w:rFonts w:cstheme="minorHAnsi"/>
                <w:sz w:val="24"/>
                <w:szCs w:val="24"/>
              </w:rPr>
              <w:t>WSPÓŁPRACA</w:t>
            </w:r>
          </w:p>
        </w:tc>
        <w:tc>
          <w:tcPr>
            <w:tcW w:w="3261" w:type="dxa"/>
          </w:tcPr>
          <w:p w:rsidR="005157D2" w:rsidRPr="000D4AC5" w:rsidRDefault="005157D2" w:rsidP="00051316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Na etapie PFU</w:t>
            </w:r>
            <w:r w:rsidR="000E635A">
              <w:rPr>
                <w:rFonts w:cstheme="minorHAnsi"/>
                <w:sz w:val="24"/>
                <w:szCs w:val="24"/>
              </w:rPr>
              <w:t xml:space="preserve"> z </w:t>
            </w:r>
            <w:r w:rsidRPr="000D4AC5">
              <w:rPr>
                <w:rFonts w:cstheme="minorHAnsi"/>
                <w:sz w:val="24"/>
                <w:szCs w:val="24"/>
              </w:rPr>
              <w:t xml:space="preserve">2017 r. uzyskano i uwzględniono jedynie wstępne warunki </w:t>
            </w:r>
            <w:r w:rsidR="00EF0438" w:rsidRPr="000D4AC5">
              <w:rPr>
                <w:rFonts w:cstheme="minorHAnsi"/>
                <w:sz w:val="24"/>
                <w:szCs w:val="24"/>
              </w:rPr>
              <w:t>g</w:t>
            </w:r>
            <w:r w:rsidRPr="000D4AC5">
              <w:rPr>
                <w:rFonts w:cstheme="minorHAnsi"/>
                <w:sz w:val="24"/>
                <w:szCs w:val="24"/>
              </w:rPr>
              <w:t>estorów sieci.</w:t>
            </w:r>
          </w:p>
        </w:tc>
        <w:tc>
          <w:tcPr>
            <w:tcW w:w="7796" w:type="dxa"/>
          </w:tcPr>
          <w:p w:rsidR="005157D2" w:rsidRPr="000D4AC5" w:rsidRDefault="005157D2" w:rsidP="001F41D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Na etapie PFU z 2020 r. nastąpiło ze</w:t>
            </w:r>
            <w:r w:rsidR="00EF0438" w:rsidRPr="000D4AC5">
              <w:rPr>
                <w:rFonts w:cstheme="minorHAnsi"/>
                <w:sz w:val="24"/>
                <w:szCs w:val="24"/>
              </w:rPr>
              <w:t xml:space="preserve"> strony g</w:t>
            </w:r>
            <w:r w:rsidRPr="000D4AC5">
              <w:rPr>
                <w:rFonts w:cstheme="minorHAnsi"/>
                <w:sz w:val="24"/>
                <w:szCs w:val="24"/>
              </w:rPr>
              <w:t>estorów sieci – doprecyzowanie i uszczegółowienie wstępnie wydanych warunków. Skutkiem tego była rozbudowa sieci uzbrojenia oraz powstanie nowych elementów infrastruktury.</w:t>
            </w:r>
          </w:p>
          <w:p w:rsidR="005157D2" w:rsidRPr="000D4AC5" w:rsidRDefault="005157D2" w:rsidP="00AA486F">
            <w:pPr>
              <w:rPr>
                <w:rFonts w:cstheme="minorHAnsi"/>
                <w:sz w:val="24"/>
                <w:szCs w:val="24"/>
              </w:rPr>
            </w:pPr>
            <w:r w:rsidRPr="000D4AC5">
              <w:rPr>
                <w:rFonts w:cstheme="minorHAnsi"/>
                <w:sz w:val="24"/>
                <w:szCs w:val="24"/>
              </w:rPr>
              <w:t>Miasto we współpracy z gestorami sieci podziemnych, celem usprawnienia procesu projektowego i realizacji inwestycji postanowiło o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potrzebie prowadzenia wszystkich, niezbędnych działań związanych z</w:t>
            </w:r>
            <w:r w:rsidR="00FF32D2">
              <w:rPr>
                <w:rFonts w:cstheme="minorHAnsi"/>
                <w:sz w:val="24"/>
                <w:szCs w:val="24"/>
              </w:rPr>
              <w:t xml:space="preserve"> </w:t>
            </w:r>
            <w:r w:rsidRPr="000D4AC5">
              <w:rPr>
                <w:rFonts w:cstheme="minorHAnsi"/>
                <w:sz w:val="24"/>
                <w:szCs w:val="24"/>
              </w:rPr>
              <w:t>pracami projektowymi oraz wykonawczymi  - razem – w ramach wspólnego kontraktu. Ponadto, dopiero opracowanie dokumentacji projektowej pozwoliło na</w:t>
            </w:r>
            <w:r w:rsidR="00FF32D2">
              <w:rPr>
                <w:rFonts w:cstheme="minorHAnsi"/>
                <w:sz w:val="24"/>
                <w:szCs w:val="24"/>
              </w:rPr>
              <w:t> </w:t>
            </w:r>
            <w:r w:rsidRPr="000D4AC5">
              <w:rPr>
                <w:rFonts w:cstheme="minorHAnsi"/>
                <w:sz w:val="24"/>
                <w:szCs w:val="24"/>
              </w:rPr>
              <w:t xml:space="preserve">precyzyjne określenie występujących kolizji między sieciami uzbrojenia podziemnego. </w:t>
            </w:r>
          </w:p>
        </w:tc>
      </w:tr>
    </w:tbl>
    <w:p w:rsidR="007201DD" w:rsidRPr="000D4AC5" w:rsidRDefault="007201DD" w:rsidP="00AA486F">
      <w:pPr>
        <w:rPr>
          <w:rFonts w:cstheme="minorHAnsi"/>
          <w:sz w:val="24"/>
          <w:szCs w:val="24"/>
        </w:rPr>
      </w:pPr>
    </w:p>
    <w:sectPr w:rsidR="007201DD" w:rsidRPr="000D4AC5" w:rsidSect="00A63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8D"/>
    <w:multiLevelType w:val="hybridMultilevel"/>
    <w:tmpl w:val="80D25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5CCA"/>
    <w:multiLevelType w:val="hybridMultilevel"/>
    <w:tmpl w:val="7820E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DD"/>
    <w:rsid w:val="00051316"/>
    <w:rsid w:val="000A6657"/>
    <w:rsid w:val="000D4AC5"/>
    <w:rsid w:val="000E635A"/>
    <w:rsid w:val="000F7609"/>
    <w:rsid w:val="00114A6F"/>
    <w:rsid w:val="00153BDF"/>
    <w:rsid w:val="00164679"/>
    <w:rsid w:val="001A43DC"/>
    <w:rsid w:val="001A6E03"/>
    <w:rsid w:val="001E1D3B"/>
    <w:rsid w:val="001E44B1"/>
    <w:rsid w:val="001F41D5"/>
    <w:rsid w:val="001F41D9"/>
    <w:rsid w:val="002041BB"/>
    <w:rsid w:val="002260F1"/>
    <w:rsid w:val="00240A2E"/>
    <w:rsid w:val="002649BD"/>
    <w:rsid w:val="002A1B42"/>
    <w:rsid w:val="002C7A29"/>
    <w:rsid w:val="002F5DEE"/>
    <w:rsid w:val="00302AB2"/>
    <w:rsid w:val="003614BD"/>
    <w:rsid w:val="00364A6E"/>
    <w:rsid w:val="003660CB"/>
    <w:rsid w:val="00395266"/>
    <w:rsid w:val="003C3342"/>
    <w:rsid w:val="003C6EDC"/>
    <w:rsid w:val="00427542"/>
    <w:rsid w:val="004766CE"/>
    <w:rsid w:val="004F51C8"/>
    <w:rsid w:val="005157D2"/>
    <w:rsid w:val="005166E3"/>
    <w:rsid w:val="005A3F3C"/>
    <w:rsid w:val="005E178D"/>
    <w:rsid w:val="006F370A"/>
    <w:rsid w:val="007201DD"/>
    <w:rsid w:val="00744B51"/>
    <w:rsid w:val="007815C3"/>
    <w:rsid w:val="007F3457"/>
    <w:rsid w:val="00820F2C"/>
    <w:rsid w:val="00821B4C"/>
    <w:rsid w:val="00837CD0"/>
    <w:rsid w:val="008B625B"/>
    <w:rsid w:val="009104EF"/>
    <w:rsid w:val="0092460C"/>
    <w:rsid w:val="00932E41"/>
    <w:rsid w:val="0097349C"/>
    <w:rsid w:val="00A128A6"/>
    <w:rsid w:val="00A41D78"/>
    <w:rsid w:val="00A6354E"/>
    <w:rsid w:val="00AA486F"/>
    <w:rsid w:val="00AB720F"/>
    <w:rsid w:val="00BA04A9"/>
    <w:rsid w:val="00BC5A0A"/>
    <w:rsid w:val="00C91795"/>
    <w:rsid w:val="00D16916"/>
    <w:rsid w:val="00D22874"/>
    <w:rsid w:val="00D442B5"/>
    <w:rsid w:val="00E0560F"/>
    <w:rsid w:val="00E35DDE"/>
    <w:rsid w:val="00E92C25"/>
    <w:rsid w:val="00ED617D"/>
    <w:rsid w:val="00EE6499"/>
    <w:rsid w:val="00EF0438"/>
    <w:rsid w:val="00F333F0"/>
    <w:rsid w:val="00F740F1"/>
    <w:rsid w:val="00FA30AF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1E9F-DAE6-4138-841D-713C61CC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60F1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Bolimowska</dc:creator>
  <cp:keywords/>
  <dc:description/>
  <cp:lastModifiedBy>Łukasz Wieczorek</cp:lastModifiedBy>
  <cp:revision>26</cp:revision>
  <cp:lastPrinted>2023-01-11T08:54:00Z</cp:lastPrinted>
  <dcterms:created xsi:type="dcterms:W3CDTF">2023-01-11T08:52:00Z</dcterms:created>
  <dcterms:modified xsi:type="dcterms:W3CDTF">2023-01-13T07:46:00Z</dcterms:modified>
</cp:coreProperties>
</file>