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bookmarkStart w:id="0" w:name="_GoBack"/>
      <w:bookmarkEnd w:id="0"/>
      <w:r w:rsidRPr="00001BFD">
        <w:t>Poznań</w:t>
      </w:r>
      <w:r w:rsidR="00346642" w:rsidRPr="00001BFD">
        <w:t xml:space="preserve">, </w:t>
      </w:r>
      <w:r w:rsidR="00724F2D">
        <w:t>15.02</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724F2D">
        <w:t>0003.1.6.2023</w:t>
      </w:r>
    </w:p>
    <w:p w:rsidR="00094F56" w:rsidRDefault="00127D66" w:rsidP="00001BFD">
      <w:r w:rsidRPr="001C3189">
        <w:t>Nr rej.:</w:t>
      </w:r>
      <w:r w:rsidR="00327C40" w:rsidRPr="001C3189">
        <w:t xml:space="preserve"> </w:t>
      </w:r>
      <w:r w:rsidR="00724F2D">
        <w:t>150223-2694</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724F2D">
        <w:t>Andrzej Rataj</w:t>
      </w:r>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724F2D" w:rsidRPr="00724F2D" w:rsidRDefault="00127D66" w:rsidP="00724F2D">
      <w:pPr>
        <w:spacing w:after="120"/>
      </w:pPr>
      <w:r w:rsidRPr="001C3189">
        <w:t xml:space="preserve">odpowiadając </w:t>
      </w:r>
      <w:r w:rsidR="00724F2D" w:rsidRPr="00724F2D">
        <w:t>na otrzymaną za pośrednictwem Przewodniczącego Rady Miasta Poznania pismem z dnia 9 stycznia 2023 r. i przekazaną mi przez Prezydenta Miasta Poznania do rozpatrzenia interpelację Pana Radnego w sprawie organizacji i finansowania interwencji i działań sankcyjnych dotyczących tablic reklamowych umieszczonych na obszarze Poznania bez zezwolenia, uprzejmie informuję:</w:t>
      </w:r>
    </w:p>
    <w:p w:rsidR="00724F2D" w:rsidRPr="00724F2D" w:rsidRDefault="00724F2D" w:rsidP="00724F2D">
      <w:pPr>
        <w:pStyle w:val="Nagwek1"/>
        <w:spacing w:before="120"/>
      </w:pPr>
      <w:r w:rsidRPr="00724F2D">
        <w:t>Ad. 1) „Która jednostka albo jednostki w strukturze Miasta Poznania podejmowały w ostatnich 10 latach i podejmują obecnie interwencje i działania sankcyjne dotyczące tablic reklamowych i urządzeń reklamowych umieszczonych na obszarze Poznania bez zezwolenia, z przekroczeniem terminu zajęcia określonego w zezwoleniu lub o powierzchni większej niż określona w zezwoleniu?”</w:t>
      </w:r>
    </w:p>
    <w:p w:rsidR="00724F2D" w:rsidRPr="00724F2D" w:rsidRDefault="00724F2D" w:rsidP="00724F2D">
      <w:pPr>
        <w:spacing w:after="120"/>
      </w:pPr>
      <w:r w:rsidRPr="00724F2D">
        <w:t xml:space="preserve">W ostatnich dziesięciu latach interwencje i działania sankcyjne dotyczące tablic reklamowych i urządzeń reklamowych umieszczonych na obszarze Poznania bez zezwolenia, z przekroczeniem terminu zajęcia określonego w zezwoleniu lub o powierzchni większej niż określona w zezwoleniu podejmowały i nadal podejmują: Wydział Gospodarki Nieruchomościami, Wydział Urbanistyki </w:t>
      </w:r>
      <w:r w:rsidRPr="00724F2D">
        <w:lastRenderedPageBreak/>
        <w:t>i Architektury, Biuro Miejskiego Konserwatora Zabytków, Zarząd Dróg Miejskich, Zakład Lasów Poznańskich, Zarząd Zieleni Miejskiej oraz Zarząd Komunalnych Zasobów Lokalowych.</w:t>
      </w:r>
    </w:p>
    <w:p w:rsidR="00724F2D" w:rsidRPr="00724F2D" w:rsidRDefault="00724F2D" w:rsidP="00724F2D">
      <w:pPr>
        <w:pStyle w:val="Nagwek1"/>
        <w:spacing w:before="120"/>
      </w:pPr>
      <w:r w:rsidRPr="00724F2D">
        <w:t>Ad. 2) „Jaki był w ostatnich 10 latach i jaki jest obecnie zakres zaangażowania pracowników struktur miejskich w interwencje i działania sankcyjne dotyczące tablic reklamowych i urządzeń reklamowych umieszczonych na obszarze Poznania bez zezwolenia, z przekroczeniem terminu zajęcia określonego w zezwoleniu lub o powierzchni większej niż określona w zezwoleniu, w tym jaka była i jaka jest liczba etatów dedykowanych do tych zadań?”</w:t>
      </w:r>
    </w:p>
    <w:p w:rsidR="00724F2D" w:rsidRPr="00724F2D" w:rsidRDefault="00724F2D" w:rsidP="00724F2D">
      <w:r w:rsidRPr="00724F2D">
        <w:t xml:space="preserve">W przypadku Wydziału Gospodarki Nieruchomościami Urzędu Miasta Poznania, sprawami dotyczącymi bezumownego korzystania z nieruchomości, wśród których analizowane są te związane z nośnikami reklamowymi, zajmowało się kilka różnych oddziałów. Obecnie w oddziale Rozliczania Nieruchomości funkcjonuje siedem stanowisk. Jednakże, do kompetencji wspomnianego oddziału należą także: ustanawianie ograniczonych praw rzeczowych, tj. służebności gruntowych i użytkowania, oraz koordynowanie postępowań w zakresie zasiedzenia nieruchomości. Postępowania dotyczące bezumownego korzystania z nieruchomości inicjowane na podstawie zawiadomień traktowane są według tej samej wagi oraz realizowane sukcesywnie, niezależnie od celu na jaki nieruchomość została zajęta. Warto jednak nadmienić, że postępowania dotyczące nośników reklamowych charakteryzują się skomplikowanym charakterem i czasochłonnością. </w:t>
      </w:r>
    </w:p>
    <w:p w:rsidR="00724F2D" w:rsidRPr="00724F2D" w:rsidRDefault="00724F2D" w:rsidP="00724F2D">
      <w:r w:rsidRPr="00724F2D">
        <w:t xml:space="preserve">Podobnie, w Biurze Miejskiego Konserwatora Zabytków, sprawami związanymi z interwencjami, prowadzeniem kontroli oraz sankcjonowaniem w zakresie tablic i urządzeń reklamowych, a także innych nośników, podejmują pracownicy merytoryczni Biura, odpowiedzialni jednocześnie za wydawanie pozwoleń konserwatorskich, uzgadnianie decyzji o warunkach zabudowy, wydawanie wytycznych, nadzór nad prowadzonymi robotami budowlanymi, pracami restauratorskimi i konserwatorskimi. W Biurze nie ma żadnego stanowiska odpowiedzialnego wyłącznie za zadania, których dotyczy interpelacja. </w:t>
      </w:r>
    </w:p>
    <w:p w:rsidR="00724F2D" w:rsidRPr="00724F2D" w:rsidRDefault="00724F2D" w:rsidP="00724F2D">
      <w:r w:rsidRPr="00724F2D">
        <w:t xml:space="preserve">Przykładem działań podejmowanych przez Wydział Urbanistyki i Architektury Urzędu Miasta Poznania jest prowadzenie czynności z zakresu administracyjnego postępowania egzekucyjnego, </w:t>
      </w:r>
      <w:r w:rsidRPr="00724F2D">
        <w:lastRenderedPageBreak/>
        <w:t>uregulowanego w ustawie z dnia 17 czerwca 1966 r. o postępowaniu egzekucyjnym w administracji</w:t>
      </w:r>
      <w:r w:rsidRPr="00724F2D">
        <w:rPr>
          <w:vertAlign w:val="superscript"/>
        </w:rPr>
        <w:footnoteReference w:id="1"/>
      </w:r>
      <w:r w:rsidRPr="00724F2D">
        <w:t>, co do obowiązków rozbiórki bądź demontażu tablic i urządzeń reklamowych, które wynikają z dokonanych zgłoszeń oraz decyzji o pozwolenia na budowę, zawierających termin rozbiórki takiego urządzenia reklamowego. Należy wskazać, że część tablic i urządzeń reklamowych powstawała jako tymczasowe obiekty budowlane, a więc obiekty, o których mowa w art. 3 pkt 5 Prawa budowlanego</w:t>
      </w:r>
      <w:r w:rsidRPr="00724F2D">
        <w:rPr>
          <w:vertAlign w:val="superscript"/>
        </w:rPr>
        <w:footnoteReference w:id="2"/>
      </w:r>
      <w:r w:rsidRPr="00724F2D">
        <w:t xml:space="preserve">, tj. przeznaczone do czasowego użytkowania w okresie krótszym od ich trwałości technicznej, przewidziane do przeniesienia w inne miejsce lub rozbiórki. Inwestycje te były realizowane na podstawie zgłoszenia, w treści którego należało określić termin rozbiórki/usunięcia takiego urządzenia reklamowego, co wynika wprost z art. 29 ust. 1 pkt 7 Prawa budowlanego. </w:t>
      </w:r>
    </w:p>
    <w:p w:rsidR="00724F2D" w:rsidRPr="00724F2D" w:rsidRDefault="00724F2D" w:rsidP="00724F2D">
      <w:r w:rsidRPr="00724F2D">
        <w:t xml:space="preserve">W przypadku gdy termin upłynął, a inwestor nie usunął dobrowolnie nośnika reklamowego, organem uprawionym do przeprowadzenia administracyjnego postępowania jest Prezydent Miasta Poznania, działający za pośrednictwem Wydziału Urbanistyki i Architektury. Analogicznie przestawia się sytuacja decyzji o pozwoleniu na budowę urządzenia reklamowego, która zawiera termin jego rozbiórki, o którym mowa w art. 36 pkt 3 lit. b Prawa budowlanego. W przypadku gdy inwestor nie wykona dobrowolnie obowiązku rozbiórki wynikającego wprost z udzielonego pozwolenia na budowę, organem uprawnionym do prowadzenia postępowania egzekucyjnego w tym przedmiocie jest Prezydent Miasta Poznania. </w:t>
      </w:r>
    </w:p>
    <w:p w:rsidR="00724F2D" w:rsidRPr="00724F2D" w:rsidRDefault="00724F2D" w:rsidP="00724F2D">
      <w:r w:rsidRPr="00724F2D">
        <w:t xml:space="preserve">Scharakteryzowane wyżej postępowania egzekucyjne są niewątpliwie działaniami sankcyjnymi, bowiem prowadzą do powstania po stronie podmiotów zobowiązanych do wykonania obowiązków określonych dolegliwości finansowych w postaci konieczności uiszczenia grzywien w celu przymuszenia oraz kosztów egzekucyjnych. Maksymalna kwota grzywny w stosunku do osoby </w:t>
      </w:r>
      <w:r w:rsidRPr="00724F2D">
        <w:lastRenderedPageBreak/>
        <w:t xml:space="preserve">fizycznej to 10.000 zł, a wobec jednostek organizacyjnych to 50.000 zł, co wynika z art. 121 § 2 ustawy egzekucyjnej. W postępowaniach tych może być także stosowany środek egzekucyjny pn. wykonanie zastępcze, który polega na wykonaniu egzekwowanego obowiązku rozbiórki/demontażu za zobowiązanego przez podmiot zewnętrzny, jednakże na jego koszt i niebezpieczeństwo. Należy wskazać, iż uregulowana ustawą z dnia 17 czerwca 1966 r. o postępowaniu egzekucyjnym w administracji procedura jest jak dotąd jedynym prawnym narzędziem reagowania na zjawisko niewykonywania przez ich adresatów obowiązków administracyjnoprawnych. </w:t>
      </w:r>
    </w:p>
    <w:p w:rsidR="00724F2D" w:rsidRPr="00724F2D" w:rsidRDefault="00724F2D" w:rsidP="00724F2D">
      <w:r w:rsidRPr="00724F2D">
        <w:t xml:space="preserve">Od dnia 2 maja ubiegłego roku w Wydziale Urbanistyki i Architektury UMP został zatrudniony radca prawny, który w całości przejął prowadzone dotąd przez wielu pracowników </w:t>
      </w:r>
      <w:proofErr w:type="spellStart"/>
      <w:r w:rsidRPr="00724F2D">
        <w:t>WUiA</w:t>
      </w:r>
      <w:proofErr w:type="spellEnd"/>
      <w:r w:rsidRPr="00724F2D">
        <w:t xml:space="preserve"> UMP postępowania egzekucyjne i obecnie zajmuje się ich prowadzeniem. Od dnia 1 stycznia 2023 r., w ramach przekształceń struktury organizacyjnej Wydziału utworzono odrębną jednostkę organizacyjną - Oddział Uchwały Krajobrazowej i Egzekucji, który przejął kompetencje do kontynuowania i prowadzenia nowych postępowań egzekucyjnych.  </w:t>
      </w:r>
    </w:p>
    <w:p w:rsidR="00724F2D" w:rsidRPr="00724F2D" w:rsidRDefault="00724F2D" w:rsidP="00724F2D">
      <w:r w:rsidRPr="00724F2D">
        <w:t xml:space="preserve">Innym aspektem działań sankcyjnych podejmowanych w Wydziale, Urbanistyki i Architektury, zmierzających do uporządkowania przestrzeni z nielegalnych tablic i urządzeń reklamowych jest prowadzenie postępowań (inicjowanych z urzędu lub częściej na podstawie kierowanych do WUIA zapytań ze strony różnych osób i organizacji) wyjaśniających legalność powstania konkretnych urządzeń reklamowych oraz odpowiednie reagowanie w przypadku wykrycia samowoli budowlanej. Jak wyżej wskazano Prezydent Miasta Poznania, działający za pośrednictwem Wydziału, przyjmując zgłoszenia zamiaru wykonania urządzeń reklamowych i wydając pozwolenia na ich realizację, jest organem właściwym dla wyjaśnienia czy dany nośnik reklamowych powstał legalnie lub nie. W przypadku ustalenia, że brak jest wymaganej dokumentacji dla urządzenia reklamowego prowadzona jest dalsza analiza sprawy (badana jest np. data budowy reklamy jak i zgodność jej istnienia z przepisami obowiązujących miejscowych planów zagospodarowania przestrzennego). Na tej podstawie kierowane są pisma do inwestorów (właścicieli reklamy) z wezwaniem do złożenia wyjaśnień oraz ustosunkowaniem się do przyjętych ustaleń. Nierzadko rezultatem takiego pisma jest decyzja podmiotu związanego z danym urządzeniem reklamowym </w:t>
      </w:r>
      <w:r w:rsidRPr="00724F2D">
        <w:lastRenderedPageBreak/>
        <w:t xml:space="preserve">o wycofaniu się ze stanu samowoli budowlanej i dokonanie rozbiórki urządzenia reklamowego. Sporządzenie zatem opisanego wyżej pisma spotyka się z sankcją w postaci usunięcia nośnika. W przypadku gdy na pismo to nie ma odpowiedzi, pojawia się kolejna sankcja, a mianowicie sprawa kierowana jest do Powiatowego Inspektoratu Nadzoru Budowlanego dla Miasta Poznania oraz Miejskiego Konserwatora Zabytków w Poznaniu (w przypadku nieruchomości objętych ochroną konserwatorską). Organy te posiadają własne kompetencje do podjęcia dalszych działań sankcyjnych. Podkreślenia wymaga, że pracownicy Wydziału, tworzący obecnie kadrę Oddziału Uchwały Krajobrazowej i Egzekucji, niezależenie od kierowanych przez podmioty zewnętrzne zapytań o legalność reklam, dokonali w ubiegłym roku systemowych kontroli określonych rejonów miasta (fragmenty ulic), które poskutkowały nie tylko zinwentaryzowaniem istniejących nośników reklamowych, ale przede wszystkim decyzją inwestorów o likwidacji samowolnych urządzeń reklamowych.  </w:t>
      </w:r>
    </w:p>
    <w:p w:rsidR="00724F2D" w:rsidRPr="00724F2D" w:rsidRDefault="00724F2D" w:rsidP="00724F2D">
      <w:r w:rsidRPr="00724F2D">
        <w:t xml:space="preserve">Jak wskazano powyżej, pracownicy Wydziału Urbanistyki i Architektury UMP zaangażowani byli przede wszystkim w prowadzenie postępowań egzekucyjnych, zmierzających do wykonania obowiązków rozbiórki/demontażu urządzeń reklamowych, wynikających z przyjętych zgłoszeń oraz wydanych decyzji o pozwoleniu na budowę. Ponadto monitorowali także upływ terminów, zawartych w ww. zgłoszeniach i pozwoleniach, a także prowadzili działania zmierzające do wyjaśnienia legalności konkretnych nośników reklamowych, reagując tym samym na podania składane przez podmioty zewnętrzne lub czyniąc to z urzędu. Zakres działań ograniczony był koniecznością realizowania pozostałych zadań Wydziału (przede wszystkim prowadzenia powstępowań w przedmiocie udzielenia pozwolenia na budowę oraz przyjęcia zgłoszenia, prowadzenia postępowań w sprawie wydania decyzji o warunkach zabudowy). Od dnia 2 maja 2022r. utworzono w </w:t>
      </w:r>
      <w:proofErr w:type="spellStart"/>
      <w:r w:rsidRPr="00724F2D">
        <w:t>WUiA</w:t>
      </w:r>
      <w:proofErr w:type="spellEnd"/>
      <w:r w:rsidRPr="00724F2D">
        <w:t xml:space="preserve"> UMP konkretne stanowisko służbowe - zatrudniono radcę prawnego, któremu powierzono realizację ww. zadań, a od dnia 1 stycznia 2023 r. powołano oddział Uchwały Krajobrazowej i Egzekucji. W oddziale tym, poza radcą prawnym, pracują jeszcze cztery osoby (stan osobowy na dzień 17 stycznia br.).</w:t>
      </w:r>
    </w:p>
    <w:p w:rsidR="00724F2D" w:rsidRPr="00724F2D" w:rsidRDefault="00724F2D" w:rsidP="00724F2D">
      <w:r w:rsidRPr="00724F2D">
        <w:lastRenderedPageBreak/>
        <w:t>Zarząd Dróg Miejskich podejmuje działania w postaci postępowań z urzędu i na wniosek, związane z umieszczeniem urządzeń i tablic reklamowych bez zgody zarządcy drogi, w oparciu o przepisy ustawy z dnia 21 marca 1985 r. o drogach publicznych</w:t>
      </w:r>
      <w:r w:rsidRPr="00724F2D">
        <w:rPr>
          <w:vertAlign w:val="superscript"/>
        </w:rPr>
        <w:footnoteReference w:id="3"/>
      </w:r>
      <w:r w:rsidRPr="00724F2D">
        <w:t xml:space="preserve">. Do realizacji zadań z zakresu prowadzenia spraw związanych z zajęciem pasa drogowego bez zezwolenia oddelegowanych jest dwóch pracowników (dwa pełne etaty): jeden pracownik w zakresie prowadzenia robót i umieszczania urządzeń, drugi w zakresie obiektów reklamowych i handlowych. </w:t>
      </w:r>
    </w:p>
    <w:p w:rsidR="00724F2D" w:rsidRPr="00724F2D" w:rsidRDefault="00724F2D" w:rsidP="00724F2D">
      <w:r w:rsidRPr="00724F2D">
        <w:t xml:space="preserve">Działania podejmowane przez Zakład Lasów Poznańskich dotyczące tablic reklamowych umieszczonych bez zezwolenia polegały na interwencjach właściwego terytorialnie leśniczego, który o fakcie istnienia tablic informował specjalistę ds. gospodarki leśnej. Na podstawie tych zgłoszeń przygotowywano pisma do podmiotów stawiających tablice reklamowe, z żądaniem ich usunięcia bądź przedstawienia dokumentacji poświadczającej pozwolenie na ich umieszczenie. W ostatnich dziesięciu latach podjęto łącznie osiem interwencji, w sześciu przypadkach tablice zostały niezwłocznie usunięcie, a w dwóch pozostałych opłacane są kary pieniężne za bezumowne korzystanie z terenu znajdującego się w administracji ZLP. </w:t>
      </w:r>
    </w:p>
    <w:p w:rsidR="00724F2D" w:rsidRPr="00724F2D" w:rsidRDefault="00724F2D" w:rsidP="00724F2D">
      <w:r w:rsidRPr="00724F2D">
        <w:t xml:space="preserve">Również Zarząd Zieleni Miejskiej podejmuje na administrowanym przez siebie terenie interwencje wobec podmiotów umieszczających bez zgody Zarządu tablice i urządzenia reklamowe. Pracownicy ZZM po stwierdzeniu umieszczenia nielegalnego nośnika reklamowego wszczynają procedurę wyjaśniającą, czy wydano pozwolenie na lokalizację tego typu obiektu, a następnie naliczają opłaty za bezumowne korzystanie z gruntu i wzywają do wydania nieruchomości. Sprawy związane z nośnikami reklamowymi prowadzi dwóch pracowników o szerokim zakresie obowiązków terenowo – prawnych, nieograniczających się wyłącznie do kwestii tablic i urządzeń reklamowych. </w:t>
      </w:r>
    </w:p>
    <w:p w:rsidR="00724F2D" w:rsidRPr="00724F2D" w:rsidRDefault="00724F2D" w:rsidP="00724F2D">
      <w:r w:rsidRPr="00724F2D">
        <w:t xml:space="preserve">Zarząd Komunalnych Zasobów Lokalowych od kilku lat we wszystkich umowach najmu (oraz aneksach) zawieranych z Najemcami stosuje zapis zobowiązujący Najemców do uzyskania zgody </w:t>
      </w:r>
      <w:r w:rsidRPr="00724F2D">
        <w:lastRenderedPageBreak/>
        <w:t xml:space="preserve">odpowiednich wydziałów Urzędu Miasta Poznania na umieszczenie reklam i innych nośników reklamowych. Zapisy umów najmu zawierają też informację, że projekt szyldu lub innego nośnika powinien być wykonany zgodnie z Zarządzeniem Nr 196/2012/P Prezydenta Miasta Poznania w sprawie zasad umieszczania urządzeń reklamowych lub szyldów na nieruchomościach Miasta Poznania oraz wytycznymi Miejskiego Konserwatora Zabytków, mającymi na celu ujednolicenie oraz uporządkowanie estetyki szyldów i innych nośników na budynkach oraz gruntach, a w przypadku budynku zlokalizowanego na terenie „Parku Kulturowego Stare Miasto” zgodnie z Uchwałą nr LXII/1151/VII/2018 Rady Miasta Poznania w sprawie utworzenia „Parku Kulturowego Stare Miasto” w Poznaniu z dnia 27 lutego 2018 r. </w:t>
      </w:r>
    </w:p>
    <w:p w:rsidR="00724F2D" w:rsidRPr="00724F2D" w:rsidRDefault="00724F2D" w:rsidP="00724F2D">
      <w:r w:rsidRPr="00724F2D">
        <w:t xml:space="preserve">Spółka egzekwuje od Najemców przestrzeganie ww. warunków umowy, a nadzór nad tym sprawują w ramach swoich obowiązków pracownicy Spółki, w tym administratorzy budynków (pracownicy terenowi). Na bieżąco monitorowane i aktualizowane są stawki czynszu najmu za powierzchnie reklamowe. Z uwagi na zmianę warunków finansowych tylko kilkoro najemców podjęło decyzję o zakończeniu umów najmu i zdemontowało nośniki reklamowe. </w:t>
      </w:r>
    </w:p>
    <w:p w:rsidR="00724F2D" w:rsidRPr="00724F2D" w:rsidRDefault="00724F2D" w:rsidP="00724F2D">
      <w:r w:rsidRPr="00724F2D">
        <w:t>W ostatnich latach pracownicy Spółki wspólnie z najemcami lokali użytkowych w budynkach NZOZ przeprowadzili inwentaryzację nośników reklamowych usytuowanych na terenie nieruchomości. W wyniku inwentaryzacji oraz wprowadzeniu w umowach najmu dodatkowych zapisów ograniczających liczbę i powierzchnię reklam wewnątrz budynków, zlikwidowanych lub objętych odpłatnymi umowami zostało łącznie kilkadziesiąt tego typu nośników, w tym między innymi:</w:t>
      </w:r>
    </w:p>
    <w:p w:rsidR="00724F2D" w:rsidRPr="00724F2D" w:rsidRDefault="00724F2D" w:rsidP="00724F2D">
      <w:pPr>
        <w:spacing w:after="120"/>
      </w:pPr>
      <w:r w:rsidRPr="00724F2D">
        <w:t>•</w:t>
      </w:r>
      <w:r w:rsidRPr="00724F2D">
        <w:tab/>
        <w:t>ul. Szczepankowo 72 d - rozwiązanie umowy najmu i usunięcie reklamy z elewacji budynku,</w:t>
      </w:r>
    </w:p>
    <w:p w:rsidR="00724F2D" w:rsidRPr="00724F2D" w:rsidRDefault="00724F2D" w:rsidP="00724F2D">
      <w:pPr>
        <w:spacing w:after="120"/>
      </w:pPr>
      <w:r w:rsidRPr="00724F2D">
        <w:t>•</w:t>
      </w:r>
      <w:r w:rsidRPr="00724F2D">
        <w:tab/>
        <w:t xml:space="preserve">ul. Kasprzaka 16 – po inwentaryzacji nośników reklamowych i wezwaniu najemców do uporządkowania terenu nieruchomości, usunięto 19 nośników reklamowych, </w:t>
      </w:r>
    </w:p>
    <w:p w:rsidR="00724F2D" w:rsidRPr="00724F2D" w:rsidRDefault="00724F2D" w:rsidP="00724F2D">
      <w:pPr>
        <w:spacing w:after="120"/>
      </w:pPr>
      <w:r w:rsidRPr="00724F2D">
        <w:t>•</w:t>
      </w:r>
      <w:r w:rsidRPr="00724F2D">
        <w:tab/>
        <w:t xml:space="preserve">osiedle Marysieńki 25 – usunięcie z terenu nieruchomości 2 nośników reklamowych. </w:t>
      </w:r>
    </w:p>
    <w:p w:rsidR="00724F2D" w:rsidRPr="00724F2D" w:rsidRDefault="00724F2D" w:rsidP="00724F2D">
      <w:pPr>
        <w:spacing w:after="120"/>
      </w:pPr>
      <w:r w:rsidRPr="00724F2D">
        <w:t xml:space="preserve">ZKZL nie zatrudnia pracowników, których zakres kompetencji ogranicza się wyłącznie do zadań związanych z podejmowaniem interwencji w sprawach związanych z nośnikami reklamowymi. </w:t>
      </w:r>
    </w:p>
    <w:p w:rsidR="00724F2D" w:rsidRPr="00724F2D" w:rsidRDefault="00724F2D" w:rsidP="00724F2D">
      <w:pPr>
        <w:pStyle w:val="Nagwek1"/>
        <w:spacing w:before="120" w:after="120"/>
      </w:pPr>
      <w:r w:rsidRPr="00724F2D">
        <w:lastRenderedPageBreak/>
        <w:t xml:space="preserve">Ad. 3) „Jakie były w ostatnich 10 latach i jakie są obecnie kwoty wydatków z budżetu miejskiego na interwencje i działania sankcyjne dotyczące tablic reklamowych i urządzeń reklamowych umieszczonych na obszarze Poznania bez zezwolenia, z przekroczeniem terminu zajęcia określonego w zezwoleniu lub o powierzchni większej niż określona w zezwoleniu, w tym jaka kwota została przeznaczona na te zadania w budżecie miejskim na 2023 rok?” </w:t>
      </w:r>
    </w:p>
    <w:p w:rsidR="00724F2D" w:rsidRPr="00724F2D" w:rsidRDefault="00724F2D" w:rsidP="00724F2D">
      <w:pPr>
        <w:spacing w:before="120"/>
      </w:pPr>
      <w:r w:rsidRPr="00724F2D">
        <w:t xml:space="preserve">Postępowania w sprawie tablic i urządzeń reklamowych umieszczonych na obszarze Poznania bez zezwolenia, z przekroczeniem terminu zajęcia określonego w zezwoleniu lub o powierzchni większej niż określona, zazwyczaj nie wymagają wydatkowania dodatkowych środków z budżetu miejskiego. Prowadzone są przez pracowników wydziałów i jednostek, w ramach wykonywanych przez nich obowiązków służbowych, których zakres obejmuje także inne sprawy. W związku z tym, że postępowania dotyczące wyłącznie nośników reklamowych stanowią niewielki procent ogółu spraw, nie prowadzono dotąd analiz wydatków na ten cel. Obliczenia utrudniać może także fakt, że postępowania dotyczą często przypadków mieszanych – np. ogrodzenie bez zezwolenia nieruchomości komunalnej, a na ogrodzeniu umieszczenie banerów reklamowych. </w:t>
      </w:r>
    </w:p>
    <w:p w:rsidR="00724F2D" w:rsidRPr="00724F2D" w:rsidRDefault="00724F2D" w:rsidP="00724F2D">
      <w:r w:rsidRPr="00724F2D">
        <w:t>Wydatki budżetowe w tym zakresie to głównie koszty osobowe, kwoty wydatkowane na zlecenie czynności niezbędnych do skutecznego przeprowadzenia postępowania administracyjnego (np. pozyskanie opinii uprawnionego geodety, wyceny nieruchomości) oraz koszty ewentualnych postępowań sądowych. Jednak z uwagi na to, że postępowania są prowadzone przez wiele komórek organizacyjnych, zarówno w ramach wydziałów, jak i jednostek miejskich, w ramach różnych zadań budżetowych, ich precyzyjne określenie nie jest możliwe.</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724F2D">
        <w:t xml:space="preserve">Bartosz </w:t>
      </w:r>
      <w:proofErr w:type="spellStart"/>
      <w:r w:rsidR="00724F2D">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lastRenderedPageBreak/>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F69" w:rsidRDefault="003F1F69">
      <w:pPr>
        <w:spacing w:after="0" w:line="240" w:lineRule="auto"/>
      </w:pPr>
      <w:r>
        <w:separator/>
      </w:r>
    </w:p>
  </w:endnote>
  <w:endnote w:type="continuationSeparator" w:id="0">
    <w:p w:rsidR="003F1F69" w:rsidRDefault="003F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F69" w:rsidRDefault="003F1F69">
      <w:r w:rsidRPr="001C3189">
        <w:rPr>
          <w:rFonts w:ascii="Liberation Serif"/>
          <w:color w:val="auto"/>
          <w:kern w:val="0"/>
          <w:szCs w:val="24"/>
          <w:lang w:bidi="ar-SA"/>
        </w:rPr>
        <w:separator/>
      </w:r>
    </w:p>
  </w:footnote>
  <w:footnote w:type="continuationSeparator" w:id="0">
    <w:p w:rsidR="003F1F69" w:rsidRDefault="003F1F69">
      <w:pPr>
        <w:spacing w:after="0" w:line="240" w:lineRule="auto"/>
      </w:pPr>
      <w:r>
        <w:continuationSeparator/>
      </w:r>
    </w:p>
  </w:footnote>
  <w:footnote w:id="1">
    <w:p w:rsidR="00724F2D" w:rsidRPr="00724F2D" w:rsidRDefault="00724F2D" w:rsidP="00724F2D">
      <w:pPr>
        <w:pStyle w:val="Tekstprzypisudolnego"/>
        <w:rPr>
          <w:sz w:val="24"/>
        </w:rPr>
      </w:pPr>
      <w:r w:rsidRPr="00724F2D">
        <w:rPr>
          <w:rStyle w:val="Odwoanieprzypisudolnego"/>
          <w:rFonts w:cs="Calibri"/>
          <w:sz w:val="24"/>
        </w:rPr>
        <w:footnoteRef/>
      </w:r>
      <w:r w:rsidRPr="00724F2D">
        <w:rPr>
          <w:rFonts w:cs="Calibri"/>
          <w:sz w:val="24"/>
        </w:rPr>
        <w:t xml:space="preserve"> Dz.U. z 2022 r. poz. 479 ze zm.</w:t>
      </w:r>
    </w:p>
  </w:footnote>
  <w:footnote w:id="2">
    <w:p w:rsidR="00724F2D" w:rsidRDefault="00724F2D" w:rsidP="00724F2D">
      <w:pPr>
        <w:pStyle w:val="Tekstprzypisudolnego"/>
      </w:pPr>
      <w:r w:rsidRPr="00724F2D">
        <w:rPr>
          <w:rStyle w:val="Odwoanieprzypisudolnego"/>
          <w:rFonts w:cs="Calibri"/>
          <w:sz w:val="24"/>
        </w:rPr>
        <w:footnoteRef/>
      </w:r>
      <w:r w:rsidRPr="00724F2D">
        <w:rPr>
          <w:rFonts w:cs="Calibri"/>
          <w:sz w:val="24"/>
        </w:rPr>
        <w:t xml:space="preserve"> Dz.U. z 2021 r. poz. 2351 ze zm.</w:t>
      </w:r>
    </w:p>
  </w:footnote>
  <w:footnote w:id="3">
    <w:p w:rsidR="00724F2D" w:rsidRDefault="00724F2D" w:rsidP="00724F2D">
      <w:pPr>
        <w:pStyle w:val="Tekstprzypisudolnego"/>
      </w:pPr>
      <w:r w:rsidRPr="00724F2D">
        <w:rPr>
          <w:rStyle w:val="Odwoanieprzypisudolnego"/>
          <w:rFonts w:cs="Calibri"/>
          <w:sz w:val="24"/>
        </w:rPr>
        <w:footnoteRef/>
      </w:r>
      <w:r w:rsidRPr="00724F2D">
        <w:rPr>
          <w:rFonts w:cs="Calibri"/>
          <w:sz w:val="24"/>
        </w:rPr>
        <w:t xml:space="preserve"> Dz.U. z 2022 r. poz. 1693, 1768, 1783 i 2185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3F1F69">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F2D"/>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1F69"/>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049C2"/>
    <w:rsid w:val="00712DB9"/>
    <w:rsid w:val="007242D8"/>
    <w:rsid w:val="00724F2D"/>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62EF9"/>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uiPriority w:val="9"/>
    <w:qFormat/>
    <w:rsid w:val="00724F2D"/>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724F2D"/>
    <w:rPr>
      <w:rFonts w:ascii="Calibri" w:eastAsia="Times New Roman" w:hAnsi="Calibri"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6AA4A-4BB0-42A6-8F15-D20289F4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2287</Words>
  <Characters>13725</Characters>
  <Application>Microsoft Office Word</Application>
  <DocSecurity>0</DocSecurity>
  <Lines>114</Lines>
  <Paragraphs>31</Paragraphs>
  <ScaleCrop>false</ScaleCrop>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6/23 w sprawie organizacji i finansowania interwencji i działań sankcyjnych dotyczących tablic reklamowych umieszczonych na obszarze Poznania bez zezwolenia</dc:title>
  <dc:subject/>
  <dc:creator/>
  <cp:keywords>organizacja i finansowanie interwencji i działań sankcyjnych dot. tablic reklamowych na terenie Poznania, tablice reklamowe, interpelacja</cp:keywords>
  <dc:description/>
  <cp:lastModifiedBy/>
  <cp:revision>1</cp:revision>
  <dcterms:created xsi:type="dcterms:W3CDTF">2023-02-15T11:12:00Z</dcterms:created>
  <dcterms:modified xsi:type="dcterms:W3CDTF">2023-02-15T11:13:00Z</dcterms:modified>
</cp:coreProperties>
</file>