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EFE" w:rsidRPr="00D032F4" w:rsidRDefault="009A2EFE" w:rsidP="009A2EFE">
      <w:pPr>
        <w:spacing w:line="360" w:lineRule="auto"/>
        <w:jc w:val="right"/>
        <w:rPr>
          <w:rFonts w:asciiTheme="minorHAnsi" w:eastAsia="Times New Roman" w:hAnsiTheme="minorHAnsi" w:cstheme="minorHAnsi"/>
          <w:sz w:val="24"/>
          <w:szCs w:val="24"/>
        </w:rPr>
      </w:pPr>
      <w:r w:rsidRPr="00D032F4">
        <w:rPr>
          <w:rFonts w:asciiTheme="minorHAnsi" w:eastAsia="Times New Roman" w:hAnsiTheme="minorHAnsi" w:cstheme="minorHAnsi"/>
          <w:sz w:val="24"/>
          <w:szCs w:val="24"/>
        </w:rPr>
        <w:t xml:space="preserve">Poznań, dnia </w:t>
      </w:r>
      <w:r w:rsidR="002823D8">
        <w:rPr>
          <w:rFonts w:asciiTheme="minorHAnsi" w:eastAsia="Times New Roman" w:hAnsiTheme="minorHAnsi" w:cstheme="minorHAnsi"/>
          <w:sz w:val="24"/>
          <w:szCs w:val="24"/>
        </w:rPr>
        <w:t>1</w:t>
      </w:r>
      <w:r w:rsidRPr="00D032F4">
        <w:rPr>
          <w:rFonts w:asciiTheme="minorHAnsi" w:eastAsia="Times New Roman" w:hAnsiTheme="minorHAnsi" w:cstheme="minorHAnsi"/>
          <w:sz w:val="24"/>
          <w:szCs w:val="24"/>
        </w:rPr>
        <w:t xml:space="preserve"> </w:t>
      </w:r>
      <w:r w:rsidR="002823D8">
        <w:rPr>
          <w:rFonts w:asciiTheme="minorHAnsi" w:eastAsia="Times New Roman" w:hAnsiTheme="minorHAnsi" w:cstheme="minorHAnsi"/>
          <w:sz w:val="24"/>
          <w:szCs w:val="24"/>
        </w:rPr>
        <w:t xml:space="preserve">lutego </w:t>
      </w:r>
      <w:r w:rsidRPr="00D032F4">
        <w:rPr>
          <w:rFonts w:asciiTheme="minorHAnsi" w:eastAsia="Times New Roman" w:hAnsiTheme="minorHAnsi" w:cstheme="minorHAnsi"/>
          <w:sz w:val="24"/>
          <w:szCs w:val="24"/>
        </w:rPr>
        <w:t xml:space="preserve">2023 roku </w:t>
      </w:r>
    </w:p>
    <w:p w:rsidR="009A2EFE" w:rsidRPr="00D032F4" w:rsidRDefault="009A2EFE" w:rsidP="009A2EFE">
      <w:pPr>
        <w:rPr>
          <w:rStyle w:val="NarrowItalic8Znak"/>
          <w:rFonts w:asciiTheme="minorHAnsi" w:eastAsia="Times New Roman" w:hAnsiTheme="minorHAnsi" w:cstheme="minorHAnsi"/>
          <w:i w:val="0"/>
          <w:sz w:val="24"/>
          <w:szCs w:val="24"/>
        </w:rPr>
      </w:pPr>
      <w:r w:rsidRPr="00D032F4">
        <w:rPr>
          <w:rFonts w:asciiTheme="minorHAnsi" w:eastAsia="Times New Roman" w:hAnsiTheme="minorHAnsi" w:cstheme="minorHAnsi"/>
          <w:sz w:val="24"/>
          <w:szCs w:val="24"/>
        </w:rPr>
        <w:t xml:space="preserve">PTBS/EF/ </w:t>
      </w:r>
      <w:r w:rsidR="00C35749">
        <w:rPr>
          <w:rFonts w:asciiTheme="minorHAnsi" w:eastAsia="Times New Roman" w:hAnsiTheme="minorHAnsi" w:cstheme="minorHAnsi"/>
          <w:sz w:val="24"/>
          <w:szCs w:val="24"/>
        </w:rPr>
        <w:t>0478/02</w:t>
      </w:r>
      <w:r w:rsidRPr="00D032F4">
        <w:rPr>
          <w:rFonts w:asciiTheme="minorHAnsi" w:eastAsia="Times New Roman" w:hAnsiTheme="minorHAnsi" w:cstheme="minorHAnsi"/>
          <w:sz w:val="24"/>
          <w:szCs w:val="24"/>
        </w:rPr>
        <w:t>/2023</w:t>
      </w:r>
    </w:p>
    <w:p w:rsidR="009A2EFE" w:rsidRPr="00D032F4" w:rsidRDefault="009A2EFE" w:rsidP="009A2EFE">
      <w:pPr>
        <w:rPr>
          <w:sz w:val="24"/>
          <w:szCs w:val="24"/>
        </w:rPr>
      </w:pPr>
      <w:r w:rsidRPr="00D032F4">
        <w:rPr>
          <w:sz w:val="24"/>
          <w:szCs w:val="24"/>
        </w:rPr>
        <w:t xml:space="preserve"> </w:t>
      </w:r>
      <w:r w:rsidRPr="00D032F4">
        <w:rPr>
          <w:sz w:val="24"/>
          <w:szCs w:val="24"/>
        </w:rPr>
        <w:tab/>
      </w:r>
    </w:p>
    <w:p w:rsidR="009A2EFE" w:rsidRPr="00D032F4" w:rsidRDefault="009A2EFE" w:rsidP="009A2EFE">
      <w:pPr>
        <w:rPr>
          <w:sz w:val="24"/>
          <w:szCs w:val="24"/>
        </w:rPr>
      </w:pPr>
    </w:p>
    <w:p w:rsidR="009A2EFE" w:rsidRPr="00D032F4" w:rsidRDefault="009A2EFE" w:rsidP="009A2EFE">
      <w:pPr>
        <w:pStyle w:val="Narrow12"/>
        <w:ind w:left="5954"/>
        <w:rPr>
          <w:rStyle w:val="NarrowBold14Znak"/>
          <w:rFonts w:asciiTheme="minorHAnsi" w:hAnsiTheme="minorHAnsi" w:cstheme="minorHAnsi"/>
          <w:szCs w:val="28"/>
        </w:rPr>
      </w:pPr>
      <w:r w:rsidRPr="00D032F4">
        <w:rPr>
          <w:rStyle w:val="NarrowBold12Znak"/>
          <w:rFonts w:asciiTheme="minorHAnsi" w:hAnsiTheme="minorHAnsi" w:cstheme="minorHAnsi"/>
          <w:sz w:val="28"/>
          <w:szCs w:val="28"/>
        </w:rPr>
        <w:t xml:space="preserve">Sz. P. </w:t>
      </w:r>
      <w:r w:rsidRPr="00D032F4">
        <w:rPr>
          <w:rStyle w:val="NarrowBold12Znak"/>
          <w:rFonts w:asciiTheme="minorHAnsi" w:hAnsiTheme="minorHAnsi" w:cstheme="minorHAnsi"/>
          <w:sz w:val="28"/>
          <w:szCs w:val="28"/>
        </w:rPr>
        <w:br/>
      </w:r>
      <w:r w:rsidRPr="00D032F4">
        <w:rPr>
          <w:rStyle w:val="NarrowBold14Znak"/>
          <w:rFonts w:asciiTheme="minorHAnsi" w:hAnsiTheme="minorHAnsi" w:cstheme="minorHAnsi"/>
          <w:szCs w:val="28"/>
        </w:rPr>
        <w:t xml:space="preserve">Jarosław </w:t>
      </w:r>
      <w:proofErr w:type="spellStart"/>
      <w:r w:rsidRPr="00D032F4">
        <w:rPr>
          <w:rStyle w:val="NarrowBold14Znak"/>
          <w:rFonts w:asciiTheme="minorHAnsi" w:hAnsiTheme="minorHAnsi" w:cstheme="minorHAnsi"/>
          <w:szCs w:val="28"/>
        </w:rPr>
        <w:t>Plaszczak</w:t>
      </w:r>
      <w:proofErr w:type="spellEnd"/>
    </w:p>
    <w:p w:rsidR="009A2EFE" w:rsidRPr="00FC378C" w:rsidRDefault="009A2EFE" w:rsidP="009A2EFE">
      <w:pPr>
        <w:pStyle w:val="Narrow12"/>
        <w:ind w:left="5954"/>
        <w:rPr>
          <w:rStyle w:val="NarrowBold14Znak"/>
          <w:rFonts w:asciiTheme="minorHAnsi" w:hAnsiTheme="minorHAnsi" w:cstheme="minorHAnsi"/>
          <w:szCs w:val="28"/>
        </w:rPr>
      </w:pPr>
      <w:r w:rsidRPr="00FC378C">
        <w:rPr>
          <w:rStyle w:val="NarrowBold14Znak"/>
          <w:rFonts w:asciiTheme="minorHAnsi" w:hAnsiTheme="minorHAnsi" w:cstheme="minorHAnsi"/>
          <w:szCs w:val="28"/>
        </w:rPr>
        <w:t xml:space="preserve">Dyrektor </w:t>
      </w:r>
    </w:p>
    <w:p w:rsidR="009A2EFE" w:rsidRPr="00FC378C" w:rsidRDefault="009A2EFE" w:rsidP="009A2EFE">
      <w:pPr>
        <w:pStyle w:val="Narrow12"/>
        <w:ind w:left="5954"/>
        <w:rPr>
          <w:rStyle w:val="NarrowBold14Znak"/>
          <w:rFonts w:asciiTheme="minorHAnsi" w:hAnsiTheme="minorHAnsi" w:cstheme="minorHAnsi"/>
          <w:szCs w:val="28"/>
        </w:rPr>
      </w:pPr>
      <w:r w:rsidRPr="00FC378C">
        <w:rPr>
          <w:rStyle w:val="NarrowBold14Znak"/>
          <w:rFonts w:asciiTheme="minorHAnsi" w:hAnsiTheme="minorHAnsi" w:cstheme="minorHAnsi"/>
          <w:szCs w:val="28"/>
        </w:rPr>
        <w:t>Biura Nadzoru Właścicielskiego</w:t>
      </w:r>
    </w:p>
    <w:p w:rsidR="009A2EFE" w:rsidRPr="00FC378C" w:rsidRDefault="009A2EFE" w:rsidP="009A2EFE">
      <w:pPr>
        <w:pStyle w:val="Narrow12"/>
        <w:ind w:left="5954"/>
        <w:rPr>
          <w:rStyle w:val="NarrowBold14Znak"/>
          <w:rFonts w:asciiTheme="minorHAnsi" w:hAnsiTheme="minorHAnsi" w:cstheme="minorHAnsi"/>
          <w:szCs w:val="28"/>
        </w:rPr>
      </w:pPr>
      <w:r w:rsidRPr="00FC378C">
        <w:rPr>
          <w:rStyle w:val="NarrowBold14Znak"/>
          <w:rFonts w:asciiTheme="minorHAnsi" w:hAnsiTheme="minorHAnsi" w:cstheme="minorHAnsi"/>
          <w:szCs w:val="28"/>
        </w:rPr>
        <w:t>Urzędu Miasta Poznania</w:t>
      </w:r>
    </w:p>
    <w:p w:rsidR="009A2EFE" w:rsidRPr="00FC378C" w:rsidRDefault="009A2EFE" w:rsidP="009A2EFE">
      <w:pPr>
        <w:pStyle w:val="Narrow12"/>
        <w:ind w:left="5954"/>
        <w:rPr>
          <w:rStyle w:val="NarrowBold14Znak"/>
          <w:rFonts w:asciiTheme="minorHAnsi" w:hAnsiTheme="minorHAnsi" w:cstheme="minorHAnsi"/>
          <w:szCs w:val="28"/>
        </w:rPr>
      </w:pPr>
      <w:r w:rsidRPr="00FC378C">
        <w:rPr>
          <w:rStyle w:val="NarrowBold14Znak"/>
          <w:rFonts w:asciiTheme="minorHAnsi" w:hAnsiTheme="minorHAnsi" w:cstheme="minorHAnsi"/>
          <w:szCs w:val="28"/>
        </w:rPr>
        <w:t>ul. Za Bramką 1</w:t>
      </w:r>
    </w:p>
    <w:p w:rsidR="009A2EFE" w:rsidRPr="00FC378C" w:rsidRDefault="009A2EFE" w:rsidP="009A2EFE">
      <w:pPr>
        <w:pStyle w:val="Narrow12"/>
        <w:ind w:left="5954"/>
        <w:rPr>
          <w:rStyle w:val="NarrowBold12Znak"/>
          <w:rFonts w:asciiTheme="minorHAnsi" w:hAnsiTheme="minorHAnsi" w:cstheme="minorHAnsi"/>
          <w:sz w:val="28"/>
          <w:szCs w:val="28"/>
        </w:rPr>
      </w:pPr>
      <w:r w:rsidRPr="00FC378C">
        <w:rPr>
          <w:rStyle w:val="NarrowBold14Znak"/>
          <w:rFonts w:asciiTheme="minorHAnsi" w:hAnsiTheme="minorHAnsi" w:cstheme="minorHAnsi"/>
          <w:szCs w:val="28"/>
        </w:rPr>
        <w:t xml:space="preserve">61-842 Poznań </w:t>
      </w:r>
    </w:p>
    <w:p w:rsidR="009A2EFE" w:rsidRPr="00FC378C" w:rsidRDefault="009A2EFE" w:rsidP="009A2EFE">
      <w:pPr>
        <w:pStyle w:val="Narrow12"/>
        <w:ind w:left="5954"/>
        <w:rPr>
          <w:rStyle w:val="NarrowBold12Znak"/>
          <w:rFonts w:asciiTheme="minorHAnsi" w:hAnsiTheme="minorHAnsi" w:cstheme="minorHAnsi"/>
          <w:sz w:val="28"/>
          <w:szCs w:val="28"/>
        </w:rPr>
      </w:pPr>
    </w:p>
    <w:p w:rsidR="009A2EFE" w:rsidRPr="00AA0356" w:rsidRDefault="009A2EFE" w:rsidP="009A2EFE">
      <w:pPr>
        <w:pStyle w:val="Narrow12"/>
        <w:rPr>
          <w:rFonts w:asciiTheme="minorHAnsi" w:hAnsiTheme="minorHAnsi" w:cstheme="minorHAnsi"/>
          <w:i/>
          <w:u w:val="single"/>
        </w:rPr>
      </w:pPr>
      <w:r w:rsidRPr="00AA0356">
        <w:rPr>
          <w:rFonts w:asciiTheme="minorHAnsi" w:hAnsiTheme="minorHAnsi" w:cstheme="minorHAnsi"/>
          <w:u w:val="single"/>
        </w:rPr>
        <w:t xml:space="preserve">Dotyczy: </w:t>
      </w:r>
      <w:r w:rsidRPr="00AA0356">
        <w:rPr>
          <w:rFonts w:asciiTheme="minorHAnsi" w:hAnsiTheme="minorHAnsi" w:cstheme="minorHAnsi"/>
          <w:i/>
          <w:u w:val="single"/>
        </w:rPr>
        <w:t xml:space="preserve">Interpelacji radnej Rady Miasta Poznania </w:t>
      </w:r>
      <w:r w:rsidR="00310A5F" w:rsidRPr="00AA0356">
        <w:rPr>
          <w:rFonts w:asciiTheme="minorHAnsi" w:hAnsiTheme="minorHAnsi" w:cstheme="minorHAnsi"/>
          <w:i/>
          <w:u w:val="single"/>
        </w:rPr>
        <w:t>–</w:t>
      </w:r>
      <w:r w:rsidRPr="00AA0356">
        <w:rPr>
          <w:rFonts w:asciiTheme="minorHAnsi" w:hAnsiTheme="minorHAnsi" w:cstheme="minorHAnsi"/>
          <w:i/>
          <w:u w:val="single"/>
        </w:rPr>
        <w:t xml:space="preserve"> </w:t>
      </w:r>
      <w:r w:rsidR="00310A5F" w:rsidRPr="00AA0356">
        <w:rPr>
          <w:rFonts w:asciiTheme="minorHAnsi" w:hAnsiTheme="minorHAnsi" w:cstheme="minorHAnsi"/>
          <w:i/>
          <w:u w:val="single"/>
        </w:rPr>
        <w:t>p. Mał</w:t>
      </w:r>
      <w:r w:rsidR="00A61FC0" w:rsidRPr="00AA0356">
        <w:rPr>
          <w:rFonts w:asciiTheme="minorHAnsi" w:hAnsiTheme="minorHAnsi" w:cstheme="minorHAnsi"/>
          <w:i/>
          <w:u w:val="single"/>
        </w:rPr>
        <w:t>g</w:t>
      </w:r>
      <w:r w:rsidR="00310A5F" w:rsidRPr="00AA0356">
        <w:rPr>
          <w:rFonts w:asciiTheme="minorHAnsi" w:hAnsiTheme="minorHAnsi" w:cstheme="minorHAnsi"/>
          <w:i/>
          <w:u w:val="single"/>
        </w:rPr>
        <w:t>orzaty Woźniak</w:t>
      </w:r>
    </w:p>
    <w:p w:rsidR="009A2EFE" w:rsidRPr="00D032F4" w:rsidRDefault="009A2EFE" w:rsidP="009A2EFE">
      <w:pPr>
        <w:spacing w:line="360" w:lineRule="auto"/>
        <w:ind w:firstLine="708"/>
        <w:jc w:val="both"/>
        <w:rPr>
          <w:rFonts w:asciiTheme="minorHAnsi" w:eastAsia="Times New Roman" w:hAnsiTheme="minorHAnsi" w:cstheme="minorHAnsi"/>
          <w:sz w:val="24"/>
          <w:szCs w:val="24"/>
        </w:rPr>
      </w:pPr>
    </w:p>
    <w:p w:rsidR="009A2EFE" w:rsidRPr="00D032F4" w:rsidRDefault="00AA0356" w:rsidP="00AA0356">
      <w:pPr>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Szanowny Panie Dyrektorze,</w:t>
      </w:r>
    </w:p>
    <w:p w:rsidR="009A2EFE" w:rsidRPr="00D032F4" w:rsidRDefault="009A2EFE" w:rsidP="009A2EFE">
      <w:pPr>
        <w:ind w:left="720"/>
        <w:jc w:val="both"/>
        <w:rPr>
          <w:rFonts w:asciiTheme="minorHAnsi" w:eastAsia="Times New Roman" w:hAnsiTheme="minorHAnsi" w:cstheme="minorHAnsi"/>
          <w:sz w:val="24"/>
          <w:szCs w:val="24"/>
        </w:rPr>
      </w:pPr>
    </w:p>
    <w:p w:rsidR="009A2EFE" w:rsidRDefault="009A2EFE" w:rsidP="009A2EFE">
      <w:pPr>
        <w:tabs>
          <w:tab w:val="left" w:pos="0"/>
        </w:tabs>
        <w:jc w:val="both"/>
        <w:rPr>
          <w:rFonts w:asciiTheme="minorHAnsi" w:eastAsia="Times New Roman" w:hAnsiTheme="minorHAnsi" w:cstheme="minorHAnsi"/>
          <w:sz w:val="24"/>
          <w:szCs w:val="24"/>
        </w:rPr>
      </w:pPr>
      <w:r w:rsidRPr="00D032F4">
        <w:rPr>
          <w:rFonts w:asciiTheme="minorHAnsi" w:eastAsia="Times New Roman" w:hAnsiTheme="minorHAnsi" w:cstheme="minorHAnsi"/>
          <w:sz w:val="24"/>
          <w:szCs w:val="24"/>
        </w:rPr>
        <w:t>w odpowiedzi na interpelację Radnej Rady Miasta, Zarząd Spółki przedstawia  wyjaśnienia dotyczące  wzrostu stawki czynszu od maja 2023 r.</w:t>
      </w:r>
      <w:r>
        <w:rPr>
          <w:rFonts w:asciiTheme="minorHAnsi" w:eastAsia="Times New Roman" w:hAnsiTheme="minorHAnsi" w:cstheme="minorHAnsi"/>
          <w:sz w:val="24"/>
          <w:szCs w:val="24"/>
        </w:rPr>
        <w:t xml:space="preserve"> </w:t>
      </w:r>
    </w:p>
    <w:p w:rsidR="009A2EFE" w:rsidRDefault="009A2EFE" w:rsidP="009A2EFE">
      <w:pPr>
        <w:tabs>
          <w:tab w:val="left" w:pos="0"/>
        </w:tabs>
        <w:jc w:val="both"/>
        <w:rPr>
          <w:rFonts w:asciiTheme="minorHAnsi" w:eastAsia="Times New Roman" w:hAnsiTheme="minorHAnsi" w:cstheme="minorHAnsi"/>
          <w:sz w:val="24"/>
          <w:szCs w:val="24"/>
        </w:rPr>
      </w:pPr>
    </w:p>
    <w:p w:rsidR="007D7191" w:rsidRPr="00C409D3" w:rsidRDefault="009A2EFE" w:rsidP="009A2EFE">
      <w:pPr>
        <w:pStyle w:val="Akapitzlist"/>
        <w:numPr>
          <w:ilvl w:val="0"/>
          <w:numId w:val="1"/>
        </w:numPr>
        <w:tabs>
          <w:tab w:val="left" w:pos="0"/>
        </w:tabs>
        <w:jc w:val="both"/>
        <w:rPr>
          <w:b/>
          <w:bCs/>
        </w:rPr>
      </w:pPr>
      <w:r w:rsidRPr="00C409D3">
        <w:rPr>
          <w:rFonts w:asciiTheme="minorHAnsi" w:eastAsia="Times New Roman" w:hAnsiTheme="minorHAnsi" w:cstheme="minorHAnsi"/>
          <w:b/>
          <w:bCs/>
          <w:sz w:val="24"/>
          <w:szCs w:val="24"/>
        </w:rPr>
        <w:t xml:space="preserve">W zakresie stanowiska Radnej Miasta Poznania Pani </w:t>
      </w:r>
      <w:r w:rsidR="00011F08" w:rsidRPr="00C409D3">
        <w:rPr>
          <w:rFonts w:asciiTheme="minorHAnsi" w:eastAsia="Times New Roman" w:hAnsiTheme="minorHAnsi" w:cstheme="minorHAnsi"/>
          <w:b/>
          <w:bCs/>
          <w:sz w:val="24"/>
          <w:szCs w:val="24"/>
        </w:rPr>
        <w:t>Małgorzaty Woźniak odnośnie wprowadzenia przez PTBS piątej podwyżki od momentu zawarcia umów najmu</w:t>
      </w:r>
    </w:p>
    <w:p w:rsidR="008E58C2" w:rsidRDefault="008E58C2" w:rsidP="00011F08">
      <w:pPr>
        <w:pStyle w:val="Akapitzlist"/>
        <w:tabs>
          <w:tab w:val="left" w:pos="0"/>
        </w:tabs>
        <w:jc w:val="both"/>
        <w:rPr>
          <w:rFonts w:asciiTheme="minorHAnsi" w:eastAsia="Times New Roman" w:hAnsiTheme="minorHAnsi" w:cstheme="minorHAnsi"/>
          <w:sz w:val="24"/>
          <w:szCs w:val="24"/>
        </w:rPr>
      </w:pPr>
    </w:p>
    <w:p w:rsidR="001F0DE2" w:rsidRPr="00410EA3" w:rsidRDefault="00011F08" w:rsidP="00011F08">
      <w:pPr>
        <w:pStyle w:val="Akapitzlist"/>
        <w:tabs>
          <w:tab w:val="left" w:pos="0"/>
        </w:tabs>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Zarząd Spółki Poznańskie TBS Sp. z o.o. informuje, iż w zasobie Najem z Dojściem do Własności przy ul. Żołnierzy Wyklętych/ E. </w:t>
      </w:r>
      <w:proofErr w:type="spellStart"/>
      <w:r>
        <w:rPr>
          <w:rFonts w:asciiTheme="minorHAnsi" w:eastAsia="Times New Roman" w:hAnsiTheme="minorHAnsi" w:cstheme="minorHAnsi"/>
          <w:sz w:val="24"/>
          <w:szCs w:val="24"/>
        </w:rPr>
        <w:t>Zawackiej</w:t>
      </w:r>
      <w:proofErr w:type="spellEnd"/>
      <w:r>
        <w:rPr>
          <w:rFonts w:asciiTheme="minorHAnsi" w:eastAsia="Times New Roman" w:hAnsiTheme="minorHAnsi" w:cstheme="minorHAnsi"/>
          <w:sz w:val="24"/>
          <w:szCs w:val="24"/>
        </w:rPr>
        <w:t xml:space="preserve"> zaplanowana od maja 2023 r. podwyżka stawki czynszu jest </w:t>
      </w:r>
      <w:r w:rsidR="000662E0">
        <w:rPr>
          <w:rFonts w:asciiTheme="minorHAnsi" w:eastAsia="Times New Roman" w:hAnsiTheme="minorHAnsi" w:cstheme="minorHAnsi"/>
          <w:b/>
          <w:bCs/>
          <w:sz w:val="24"/>
          <w:szCs w:val="24"/>
        </w:rPr>
        <w:t>drugą</w:t>
      </w:r>
      <w:r w:rsidRPr="00011F08">
        <w:rPr>
          <w:rFonts w:asciiTheme="minorHAnsi" w:eastAsia="Times New Roman" w:hAnsiTheme="minorHAnsi" w:cstheme="minorHAnsi"/>
          <w:b/>
          <w:bCs/>
          <w:sz w:val="24"/>
          <w:szCs w:val="24"/>
        </w:rPr>
        <w:t xml:space="preserve"> podwyżką stawki czynszu od momentu zawarcia umów najmu</w:t>
      </w:r>
      <w:r w:rsidR="00CD40D9">
        <w:rPr>
          <w:rFonts w:asciiTheme="minorHAnsi" w:eastAsia="Times New Roman" w:hAnsiTheme="minorHAnsi" w:cstheme="minorHAnsi"/>
          <w:b/>
          <w:bCs/>
          <w:sz w:val="24"/>
          <w:szCs w:val="24"/>
        </w:rPr>
        <w:t xml:space="preserve"> </w:t>
      </w:r>
      <w:r w:rsidR="00CD40D9" w:rsidRPr="002E09EE">
        <w:rPr>
          <w:rFonts w:asciiTheme="minorHAnsi" w:eastAsia="Times New Roman" w:hAnsiTheme="minorHAnsi" w:cstheme="minorHAnsi"/>
          <w:sz w:val="24"/>
          <w:szCs w:val="24"/>
        </w:rPr>
        <w:t xml:space="preserve">(pierwsza </w:t>
      </w:r>
      <w:r w:rsidR="002E09EE" w:rsidRPr="002E09EE">
        <w:rPr>
          <w:rFonts w:asciiTheme="minorHAnsi" w:eastAsia="Times New Roman" w:hAnsiTheme="minorHAnsi" w:cstheme="minorHAnsi"/>
          <w:sz w:val="24"/>
          <w:szCs w:val="24"/>
        </w:rPr>
        <w:t xml:space="preserve">zaczęła obowiązywać </w:t>
      </w:r>
      <w:r w:rsidR="00CD40D9" w:rsidRPr="002E09EE">
        <w:rPr>
          <w:rFonts w:asciiTheme="minorHAnsi" w:eastAsia="Times New Roman" w:hAnsiTheme="minorHAnsi" w:cstheme="minorHAnsi"/>
          <w:sz w:val="24"/>
          <w:szCs w:val="24"/>
        </w:rPr>
        <w:t>od listopada 2022 r.</w:t>
      </w:r>
      <w:r w:rsidR="002E09EE" w:rsidRPr="002E09EE">
        <w:rPr>
          <w:rFonts w:asciiTheme="minorHAnsi" w:eastAsia="Times New Roman" w:hAnsiTheme="minorHAnsi" w:cstheme="minorHAnsi"/>
          <w:sz w:val="24"/>
          <w:szCs w:val="24"/>
        </w:rPr>
        <w:t xml:space="preserve"> i wynikała z rewizji oprocentowania kredytu z Europejskiego banku </w:t>
      </w:r>
      <w:r w:rsidR="002E09EE" w:rsidRPr="00410EA3">
        <w:rPr>
          <w:rFonts w:asciiTheme="minorHAnsi" w:eastAsia="Times New Roman" w:hAnsiTheme="minorHAnsi" w:cstheme="minorHAnsi"/>
          <w:sz w:val="24"/>
          <w:szCs w:val="24"/>
        </w:rPr>
        <w:t>Inwestycyjnego</w:t>
      </w:r>
      <w:r w:rsidR="0034798F" w:rsidRPr="00410EA3">
        <w:rPr>
          <w:rFonts w:asciiTheme="minorHAnsi" w:eastAsia="Times New Roman" w:hAnsiTheme="minorHAnsi" w:cstheme="minorHAnsi"/>
          <w:sz w:val="24"/>
          <w:szCs w:val="24"/>
        </w:rPr>
        <w:t xml:space="preserve"> – dalej: EBI</w:t>
      </w:r>
      <w:r w:rsidR="00CD40D9" w:rsidRPr="00410EA3">
        <w:rPr>
          <w:rFonts w:asciiTheme="minorHAnsi" w:eastAsia="Times New Roman" w:hAnsiTheme="minorHAnsi" w:cstheme="minorHAnsi"/>
          <w:sz w:val="24"/>
          <w:szCs w:val="24"/>
        </w:rPr>
        <w:t>)</w:t>
      </w:r>
      <w:r w:rsidRPr="00410EA3">
        <w:rPr>
          <w:rFonts w:asciiTheme="minorHAnsi" w:eastAsia="Times New Roman" w:hAnsiTheme="minorHAnsi" w:cstheme="minorHAnsi"/>
          <w:sz w:val="24"/>
          <w:szCs w:val="24"/>
        </w:rPr>
        <w:t xml:space="preserve">. </w:t>
      </w:r>
      <w:r w:rsidR="006B4E7F" w:rsidRPr="00410EA3">
        <w:rPr>
          <w:rFonts w:asciiTheme="minorHAnsi" w:eastAsia="Times New Roman" w:hAnsiTheme="minorHAnsi" w:cstheme="minorHAnsi"/>
          <w:sz w:val="24"/>
          <w:szCs w:val="24"/>
        </w:rPr>
        <w:t>Podwyżka ta wynika z czynników zewnętrznych, na które Spółka nie ma wpływu</w:t>
      </w:r>
      <w:r w:rsidR="0034798F" w:rsidRPr="00410EA3">
        <w:rPr>
          <w:rFonts w:asciiTheme="minorHAnsi" w:eastAsia="Times New Roman" w:hAnsiTheme="minorHAnsi" w:cstheme="minorHAnsi"/>
          <w:sz w:val="24"/>
          <w:szCs w:val="24"/>
        </w:rPr>
        <w:t xml:space="preserve"> – głównie ze wzrostu oprocentowania kredytu z EBI i pożyczki oraz z bardzo wysokiego poziomu inflacji mającej wpływ na większość kosztów utrzymania nieruchomości. </w:t>
      </w:r>
    </w:p>
    <w:p w:rsidR="00011F08" w:rsidRDefault="00011F08" w:rsidP="00011F08">
      <w:pPr>
        <w:pStyle w:val="Akapitzlist"/>
        <w:tabs>
          <w:tab w:val="left" w:pos="0"/>
        </w:tabs>
        <w:jc w:val="both"/>
        <w:rPr>
          <w:rFonts w:asciiTheme="minorHAnsi" w:eastAsia="Times New Roman" w:hAnsiTheme="minorHAnsi" w:cstheme="minorHAnsi"/>
          <w:sz w:val="24"/>
          <w:szCs w:val="24"/>
        </w:rPr>
      </w:pPr>
      <w:r w:rsidRPr="00410EA3">
        <w:rPr>
          <w:rFonts w:asciiTheme="minorHAnsi" w:eastAsia="Times New Roman" w:hAnsiTheme="minorHAnsi" w:cstheme="minorHAnsi"/>
          <w:sz w:val="24"/>
          <w:szCs w:val="24"/>
        </w:rPr>
        <w:t>Zmiany opłat za wynajmowane lokale mieszkalne</w:t>
      </w:r>
      <w:r>
        <w:rPr>
          <w:rFonts w:asciiTheme="minorHAnsi" w:eastAsia="Times New Roman" w:hAnsiTheme="minorHAnsi" w:cstheme="minorHAnsi"/>
          <w:sz w:val="24"/>
          <w:szCs w:val="24"/>
        </w:rPr>
        <w:t xml:space="preserve"> w okresie od zawarcia umów najmu do chwili obecnej dotyczyły wyłącznie opłat za używanie lokalu niezależnych od Spółki (dostawa mediów, wywóz śmieci)</w:t>
      </w:r>
      <w:r w:rsidR="001F0DE2">
        <w:rPr>
          <w:rFonts w:asciiTheme="minorHAnsi" w:eastAsia="Times New Roman" w:hAnsiTheme="minorHAnsi" w:cstheme="minorHAnsi"/>
          <w:sz w:val="24"/>
          <w:szCs w:val="24"/>
        </w:rPr>
        <w:t xml:space="preserve"> i wystąpiły </w:t>
      </w:r>
      <w:r w:rsidR="00C07DE3">
        <w:rPr>
          <w:rFonts w:asciiTheme="minorHAnsi" w:eastAsia="Times New Roman" w:hAnsiTheme="minorHAnsi" w:cstheme="minorHAnsi"/>
          <w:sz w:val="24"/>
          <w:szCs w:val="24"/>
        </w:rPr>
        <w:t>8</w:t>
      </w:r>
      <w:r w:rsidR="001F0DE2">
        <w:rPr>
          <w:rFonts w:asciiTheme="minorHAnsi" w:eastAsia="Times New Roman" w:hAnsiTheme="minorHAnsi" w:cstheme="minorHAnsi"/>
          <w:sz w:val="24"/>
          <w:szCs w:val="24"/>
        </w:rPr>
        <w:t>-krotnie:</w:t>
      </w:r>
    </w:p>
    <w:p w:rsidR="001F0DE2" w:rsidRPr="001F0DE2" w:rsidRDefault="001F0DE2" w:rsidP="001F0DE2">
      <w:pPr>
        <w:pStyle w:val="Zwykytekst"/>
        <w:numPr>
          <w:ilvl w:val="0"/>
          <w:numId w:val="9"/>
        </w:numPr>
        <w:ind w:left="1134"/>
        <w:rPr>
          <w:sz w:val="24"/>
          <w:szCs w:val="24"/>
        </w:rPr>
      </w:pPr>
      <w:r w:rsidRPr="001F0DE2">
        <w:rPr>
          <w:sz w:val="24"/>
          <w:szCs w:val="24"/>
        </w:rPr>
        <w:t>05/2020: zmiana norm oraz stawek w zaliczkach za c</w:t>
      </w:r>
      <w:r w:rsidR="00C14833">
        <w:rPr>
          <w:sz w:val="24"/>
          <w:szCs w:val="24"/>
        </w:rPr>
        <w:t xml:space="preserve">entralne </w:t>
      </w:r>
      <w:r w:rsidRPr="001F0DE2">
        <w:rPr>
          <w:sz w:val="24"/>
          <w:szCs w:val="24"/>
        </w:rPr>
        <w:t>o</w:t>
      </w:r>
      <w:r w:rsidR="00C14833">
        <w:rPr>
          <w:sz w:val="24"/>
          <w:szCs w:val="24"/>
        </w:rPr>
        <w:t>grzewanie</w:t>
      </w:r>
      <w:r w:rsidRPr="001F0DE2">
        <w:rPr>
          <w:sz w:val="24"/>
          <w:szCs w:val="24"/>
        </w:rPr>
        <w:t>., c</w:t>
      </w:r>
      <w:r w:rsidR="00C14833">
        <w:rPr>
          <w:sz w:val="24"/>
          <w:szCs w:val="24"/>
        </w:rPr>
        <w:t>iepłą wodę</w:t>
      </w:r>
      <w:r w:rsidRPr="001F0DE2">
        <w:rPr>
          <w:sz w:val="24"/>
          <w:szCs w:val="24"/>
        </w:rPr>
        <w:t xml:space="preserve"> oraz z</w:t>
      </w:r>
      <w:r w:rsidR="00C14833">
        <w:rPr>
          <w:sz w:val="24"/>
          <w:szCs w:val="24"/>
        </w:rPr>
        <w:t>imną wodę</w:t>
      </w:r>
      <w:r w:rsidRPr="001F0DE2">
        <w:rPr>
          <w:sz w:val="24"/>
          <w:szCs w:val="24"/>
        </w:rPr>
        <w:t xml:space="preserve"> po rozliczeniu mediów za rok 2019</w:t>
      </w:r>
      <w:r w:rsidR="001A3235">
        <w:rPr>
          <w:sz w:val="24"/>
          <w:szCs w:val="24"/>
        </w:rPr>
        <w:t>,</w:t>
      </w:r>
    </w:p>
    <w:p w:rsidR="001F0DE2" w:rsidRPr="001F0DE2" w:rsidRDefault="001F0DE2" w:rsidP="001F0DE2">
      <w:pPr>
        <w:pStyle w:val="Zwykytekst"/>
        <w:numPr>
          <w:ilvl w:val="0"/>
          <w:numId w:val="9"/>
        </w:numPr>
        <w:ind w:left="1134"/>
        <w:rPr>
          <w:sz w:val="24"/>
          <w:szCs w:val="24"/>
        </w:rPr>
      </w:pPr>
      <w:r w:rsidRPr="001F0DE2">
        <w:rPr>
          <w:sz w:val="24"/>
          <w:szCs w:val="24"/>
        </w:rPr>
        <w:t>01/2021: zmiana opłaty za odpady z 14 zł/1 os. na 25 zł/1 os.</w:t>
      </w:r>
      <w:r w:rsidR="000E15D2">
        <w:rPr>
          <w:sz w:val="24"/>
          <w:szCs w:val="24"/>
        </w:rPr>
        <w:t>,</w:t>
      </w:r>
    </w:p>
    <w:p w:rsidR="001F0DE2" w:rsidRPr="001F0DE2" w:rsidRDefault="001F0DE2" w:rsidP="001F0DE2">
      <w:pPr>
        <w:pStyle w:val="Zwykytekst"/>
        <w:numPr>
          <w:ilvl w:val="0"/>
          <w:numId w:val="9"/>
        </w:numPr>
        <w:ind w:left="1134"/>
        <w:rPr>
          <w:sz w:val="24"/>
          <w:szCs w:val="24"/>
        </w:rPr>
      </w:pPr>
      <w:r w:rsidRPr="001F0DE2">
        <w:rPr>
          <w:sz w:val="24"/>
          <w:szCs w:val="24"/>
        </w:rPr>
        <w:t xml:space="preserve">05/2021: zmiana norm oraz stawek w zaliczkach za </w:t>
      </w:r>
      <w:r w:rsidR="00091F82" w:rsidRPr="001F0DE2">
        <w:rPr>
          <w:sz w:val="24"/>
          <w:szCs w:val="24"/>
        </w:rPr>
        <w:t>c</w:t>
      </w:r>
      <w:r w:rsidR="00091F82">
        <w:rPr>
          <w:sz w:val="24"/>
          <w:szCs w:val="24"/>
        </w:rPr>
        <w:t xml:space="preserve">entralne </w:t>
      </w:r>
      <w:r w:rsidR="00091F82" w:rsidRPr="001F0DE2">
        <w:rPr>
          <w:sz w:val="24"/>
          <w:szCs w:val="24"/>
        </w:rPr>
        <w:t>o</w:t>
      </w:r>
      <w:r w:rsidR="00091F82">
        <w:rPr>
          <w:sz w:val="24"/>
          <w:szCs w:val="24"/>
        </w:rPr>
        <w:t>grzewanie</w:t>
      </w:r>
      <w:r w:rsidR="00091F82" w:rsidRPr="001F0DE2">
        <w:rPr>
          <w:sz w:val="24"/>
          <w:szCs w:val="24"/>
        </w:rPr>
        <w:t>., c</w:t>
      </w:r>
      <w:r w:rsidR="00091F82">
        <w:rPr>
          <w:sz w:val="24"/>
          <w:szCs w:val="24"/>
        </w:rPr>
        <w:t>iepłą wodę</w:t>
      </w:r>
      <w:r w:rsidR="00091F82" w:rsidRPr="001F0DE2">
        <w:rPr>
          <w:sz w:val="24"/>
          <w:szCs w:val="24"/>
        </w:rPr>
        <w:t xml:space="preserve"> oraz z</w:t>
      </w:r>
      <w:r w:rsidR="00091F82">
        <w:rPr>
          <w:sz w:val="24"/>
          <w:szCs w:val="24"/>
        </w:rPr>
        <w:t>imną wodę</w:t>
      </w:r>
      <w:r w:rsidR="00091F82" w:rsidRPr="001F0DE2">
        <w:rPr>
          <w:sz w:val="24"/>
          <w:szCs w:val="24"/>
        </w:rPr>
        <w:t xml:space="preserve"> </w:t>
      </w:r>
      <w:r w:rsidRPr="001F0DE2">
        <w:rPr>
          <w:sz w:val="24"/>
          <w:szCs w:val="24"/>
        </w:rPr>
        <w:t>po rozliczeniu mediów za rok 2020</w:t>
      </w:r>
      <w:r w:rsidR="001A3235">
        <w:rPr>
          <w:sz w:val="24"/>
          <w:szCs w:val="24"/>
        </w:rPr>
        <w:t>,</w:t>
      </w:r>
    </w:p>
    <w:p w:rsidR="001F0DE2" w:rsidRPr="001F0DE2" w:rsidRDefault="001F0DE2" w:rsidP="00EC3969">
      <w:pPr>
        <w:pStyle w:val="Zwykytekst"/>
        <w:numPr>
          <w:ilvl w:val="0"/>
          <w:numId w:val="9"/>
        </w:numPr>
        <w:ind w:left="1134"/>
        <w:jc w:val="both"/>
        <w:rPr>
          <w:sz w:val="24"/>
          <w:szCs w:val="24"/>
        </w:rPr>
      </w:pPr>
      <w:r w:rsidRPr="001F0DE2">
        <w:rPr>
          <w:sz w:val="24"/>
          <w:szCs w:val="24"/>
        </w:rPr>
        <w:lastRenderedPageBreak/>
        <w:t>01/2022: umniejszenie naliczeń poprzez obniżenie podatku VAT z 23% na 8% na energię cieplną  z uwagi na wprowadzenie Tarczy Antyinflacyjnej</w:t>
      </w:r>
      <w:r w:rsidR="001A3235">
        <w:rPr>
          <w:sz w:val="24"/>
          <w:szCs w:val="24"/>
        </w:rPr>
        <w:t>,</w:t>
      </w:r>
    </w:p>
    <w:p w:rsidR="001F0DE2" w:rsidRPr="001F0DE2" w:rsidRDefault="001F0DE2" w:rsidP="001F0DE2">
      <w:pPr>
        <w:pStyle w:val="Zwykytekst"/>
        <w:numPr>
          <w:ilvl w:val="0"/>
          <w:numId w:val="9"/>
        </w:numPr>
        <w:ind w:left="1134"/>
        <w:rPr>
          <w:sz w:val="24"/>
          <w:szCs w:val="24"/>
        </w:rPr>
      </w:pPr>
      <w:r w:rsidRPr="001F0DE2">
        <w:rPr>
          <w:sz w:val="24"/>
          <w:szCs w:val="24"/>
        </w:rPr>
        <w:t>02/2022: umniejszenie naliczeń poprzez obniżenie podatku VAT z 8% na 5% na energię cieplną  z uwagi na wprowadzenie Tarczy Antyinflacyjnej</w:t>
      </w:r>
      <w:r w:rsidR="001A3235">
        <w:rPr>
          <w:sz w:val="24"/>
          <w:szCs w:val="24"/>
        </w:rPr>
        <w:t>,</w:t>
      </w:r>
    </w:p>
    <w:p w:rsidR="001F0DE2" w:rsidRPr="001F0DE2" w:rsidRDefault="001F0DE2" w:rsidP="001F0DE2">
      <w:pPr>
        <w:pStyle w:val="Zwykytekst"/>
        <w:numPr>
          <w:ilvl w:val="0"/>
          <w:numId w:val="9"/>
        </w:numPr>
        <w:ind w:left="1134"/>
        <w:rPr>
          <w:rFonts w:asciiTheme="minorHAnsi" w:eastAsia="Times New Roman" w:hAnsiTheme="minorHAnsi" w:cstheme="minorHAnsi"/>
          <w:sz w:val="24"/>
          <w:szCs w:val="24"/>
          <w:lang w:eastAsia="pl-PL"/>
        </w:rPr>
      </w:pPr>
      <w:r w:rsidRPr="001F0DE2">
        <w:rPr>
          <w:rFonts w:asciiTheme="minorHAnsi" w:eastAsia="Times New Roman" w:hAnsiTheme="minorHAnsi" w:cstheme="minorHAnsi"/>
          <w:sz w:val="24"/>
          <w:szCs w:val="24"/>
          <w:lang w:eastAsia="pl-PL"/>
        </w:rPr>
        <w:t xml:space="preserve">05/2022: zmiana norm oraz stawek w zaliczkach za </w:t>
      </w:r>
      <w:r w:rsidR="00141AFC" w:rsidRPr="001F0DE2">
        <w:rPr>
          <w:sz w:val="24"/>
          <w:szCs w:val="24"/>
        </w:rPr>
        <w:t>c</w:t>
      </w:r>
      <w:r w:rsidR="00141AFC">
        <w:rPr>
          <w:sz w:val="24"/>
          <w:szCs w:val="24"/>
        </w:rPr>
        <w:t xml:space="preserve">entralne </w:t>
      </w:r>
      <w:r w:rsidR="00141AFC" w:rsidRPr="001F0DE2">
        <w:rPr>
          <w:sz w:val="24"/>
          <w:szCs w:val="24"/>
        </w:rPr>
        <w:t>o</w:t>
      </w:r>
      <w:r w:rsidR="00141AFC">
        <w:rPr>
          <w:sz w:val="24"/>
          <w:szCs w:val="24"/>
        </w:rPr>
        <w:t>grzewanie</w:t>
      </w:r>
      <w:r w:rsidR="00141AFC" w:rsidRPr="001F0DE2">
        <w:rPr>
          <w:sz w:val="24"/>
          <w:szCs w:val="24"/>
        </w:rPr>
        <w:t>., c</w:t>
      </w:r>
      <w:r w:rsidR="00141AFC">
        <w:rPr>
          <w:sz w:val="24"/>
          <w:szCs w:val="24"/>
        </w:rPr>
        <w:t>iepłą wodę</w:t>
      </w:r>
      <w:r w:rsidR="00141AFC" w:rsidRPr="001F0DE2">
        <w:rPr>
          <w:sz w:val="24"/>
          <w:szCs w:val="24"/>
        </w:rPr>
        <w:t xml:space="preserve"> oraz z</w:t>
      </w:r>
      <w:r w:rsidR="00141AFC">
        <w:rPr>
          <w:sz w:val="24"/>
          <w:szCs w:val="24"/>
        </w:rPr>
        <w:t>imną wodę</w:t>
      </w:r>
      <w:r w:rsidRPr="001F0DE2">
        <w:rPr>
          <w:rFonts w:asciiTheme="minorHAnsi" w:eastAsia="Times New Roman" w:hAnsiTheme="minorHAnsi" w:cstheme="minorHAnsi"/>
          <w:sz w:val="24"/>
          <w:szCs w:val="24"/>
          <w:lang w:eastAsia="pl-PL"/>
        </w:rPr>
        <w:t xml:space="preserve"> po rozliczeniu mediów za rok 2021</w:t>
      </w:r>
      <w:r w:rsidR="001A3235">
        <w:rPr>
          <w:rFonts w:asciiTheme="minorHAnsi" w:eastAsia="Times New Roman" w:hAnsiTheme="minorHAnsi" w:cstheme="minorHAnsi"/>
          <w:sz w:val="24"/>
          <w:szCs w:val="24"/>
          <w:lang w:eastAsia="pl-PL"/>
        </w:rPr>
        <w:t>,</w:t>
      </w:r>
    </w:p>
    <w:p w:rsidR="001F0DE2" w:rsidRPr="00191F65" w:rsidRDefault="001F0DE2" w:rsidP="001F0DE2">
      <w:pPr>
        <w:pStyle w:val="Zwykytekst"/>
        <w:numPr>
          <w:ilvl w:val="0"/>
          <w:numId w:val="9"/>
        </w:numPr>
        <w:ind w:left="1134"/>
        <w:rPr>
          <w:rFonts w:asciiTheme="minorHAnsi" w:eastAsia="Times New Roman" w:hAnsiTheme="minorHAnsi" w:cstheme="minorHAnsi"/>
          <w:sz w:val="24"/>
          <w:szCs w:val="24"/>
          <w:lang w:eastAsia="pl-PL"/>
        </w:rPr>
      </w:pPr>
      <w:r w:rsidRPr="001F0DE2">
        <w:rPr>
          <w:rFonts w:asciiTheme="minorHAnsi" w:eastAsia="Times New Roman" w:hAnsiTheme="minorHAnsi" w:cstheme="minorHAnsi"/>
          <w:sz w:val="24"/>
          <w:szCs w:val="24"/>
          <w:lang w:eastAsia="pl-PL"/>
        </w:rPr>
        <w:t xml:space="preserve">09/2022: zwiększenie zaliczek </w:t>
      </w:r>
      <w:r w:rsidR="001A3235">
        <w:rPr>
          <w:rFonts w:asciiTheme="minorHAnsi" w:eastAsia="Times New Roman" w:hAnsiTheme="minorHAnsi" w:cstheme="minorHAnsi"/>
          <w:sz w:val="24"/>
          <w:szCs w:val="24"/>
          <w:lang w:eastAsia="pl-PL"/>
        </w:rPr>
        <w:t xml:space="preserve">za </w:t>
      </w:r>
      <w:r w:rsidR="00293F77" w:rsidRPr="001F0DE2">
        <w:rPr>
          <w:sz w:val="24"/>
          <w:szCs w:val="24"/>
        </w:rPr>
        <w:t>c</w:t>
      </w:r>
      <w:r w:rsidR="00293F77">
        <w:rPr>
          <w:sz w:val="24"/>
          <w:szCs w:val="24"/>
        </w:rPr>
        <w:t xml:space="preserve">entralne </w:t>
      </w:r>
      <w:r w:rsidR="00293F77" w:rsidRPr="001F0DE2">
        <w:rPr>
          <w:sz w:val="24"/>
          <w:szCs w:val="24"/>
        </w:rPr>
        <w:t>o</w:t>
      </w:r>
      <w:r w:rsidR="00293F77">
        <w:rPr>
          <w:sz w:val="24"/>
          <w:szCs w:val="24"/>
        </w:rPr>
        <w:t>grzewanie</w:t>
      </w:r>
      <w:r w:rsidR="00293F77" w:rsidRPr="001F0DE2">
        <w:rPr>
          <w:sz w:val="24"/>
          <w:szCs w:val="24"/>
        </w:rPr>
        <w:t>., c</w:t>
      </w:r>
      <w:r w:rsidR="00293F77">
        <w:rPr>
          <w:sz w:val="24"/>
          <w:szCs w:val="24"/>
        </w:rPr>
        <w:t>iepłą wodę</w:t>
      </w:r>
      <w:r w:rsidR="00293F77" w:rsidRPr="001F0DE2">
        <w:rPr>
          <w:sz w:val="24"/>
          <w:szCs w:val="24"/>
        </w:rPr>
        <w:t xml:space="preserve"> oraz z</w:t>
      </w:r>
      <w:r w:rsidR="00293F77">
        <w:rPr>
          <w:sz w:val="24"/>
          <w:szCs w:val="24"/>
        </w:rPr>
        <w:t>imną wodę</w:t>
      </w:r>
      <w:r w:rsidR="00293F77" w:rsidRPr="001F0DE2">
        <w:rPr>
          <w:rFonts w:asciiTheme="minorHAnsi" w:eastAsia="Times New Roman" w:hAnsiTheme="minorHAnsi" w:cstheme="minorHAnsi"/>
          <w:sz w:val="24"/>
          <w:szCs w:val="24"/>
          <w:lang w:eastAsia="pl-PL"/>
        </w:rPr>
        <w:t xml:space="preserve"> </w:t>
      </w:r>
      <w:r w:rsidRPr="00191F65">
        <w:rPr>
          <w:rFonts w:asciiTheme="minorHAnsi" w:eastAsia="Times New Roman" w:hAnsiTheme="minorHAnsi" w:cstheme="minorHAnsi"/>
          <w:sz w:val="24"/>
          <w:szCs w:val="24"/>
          <w:lang w:eastAsia="pl-PL"/>
        </w:rPr>
        <w:t xml:space="preserve">o 20% z uwagi na zmianę taryfy </w:t>
      </w:r>
      <w:proofErr w:type="spellStart"/>
      <w:r w:rsidRPr="00191F65">
        <w:rPr>
          <w:rFonts w:asciiTheme="minorHAnsi" w:eastAsia="Times New Roman" w:hAnsiTheme="minorHAnsi" w:cstheme="minorHAnsi"/>
          <w:sz w:val="24"/>
          <w:szCs w:val="24"/>
          <w:lang w:eastAsia="pl-PL"/>
        </w:rPr>
        <w:t>Veolia</w:t>
      </w:r>
      <w:proofErr w:type="spellEnd"/>
      <w:r w:rsidR="001A3235" w:rsidRPr="00191F65">
        <w:rPr>
          <w:rFonts w:asciiTheme="minorHAnsi" w:eastAsia="Times New Roman" w:hAnsiTheme="minorHAnsi" w:cstheme="minorHAnsi"/>
          <w:sz w:val="24"/>
          <w:szCs w:val="24"/>
          <w:lang w:eastAsia="pl-PL"/>
        </w:rPr>
        <w:t>,</w:t>
      </w:r>
    </w:p>
    <w:p w:rsidR="001F0DE2" w:rsidRPr="00191F65" w:rsidRDefault="001F0DE2" w:rsidP="001F0DE2">
      <w:pPr>
        <w:pStyle w:val="Zwykytekst"/>
        <w:numPr>
          <w:ilvl w:val="0"/>
          <w:numId w:val="9"/>
        </w:numPr>
        <w:ind w:left="1134"/>
        <w:rPr>
          <w:rFonts w:asciiTheme="minorHAnsi" w:eastAsia="Times New Roman" w:hAnsiTheme="minorHAnsi" w:cstheme="minorHAnsi"/>
          <w:sz w:val="24"/>
          <w:szCs w:val="24"/>
          <w:lang w:eastAsia="pl-PL"/>
        </w:rPr>
      </w:pPr>
      <w:r w:rsidRPr="00191F65">
        <w:rPr>
          <w:rFonts w:asciiTheme="minorHAnsi" w:eastAsia="Times New Roman" w:hAnsiTheme="minorHAnsi" w:cstheme="minorHAnsi"/>
          <w:sz w:val="24"/>
          <w:szCs w:val="24"/>
          <w:lang w:eastAsia="pl-PL"/>
        </w:rPr>
        <w:t xml:space="preserve">01/2023: zwiększenie zaliczek </w:t>
      </w:r>
      <w:r w:rsidR="001A3235" w:rsidRPr="00191F65">
        <w:rPr>
          <w:rFonts w:asciiTheme="minorHAnsi" w:eastAsia="Times New Roman" w:hAnsiTheme="minorHAnsi" w:cstheme="minorHAnsi"/>
          <w:sz w:val="24"/>
          <w:szCs w:val="24"/>
          <w:lang w:eastAsia="pl-PL"/>
        </w:rPr>
        <w:t xml:space="preserve">za </w:t>
      </w:r>
      <w:r w:rsidR="001A3235" w:rsidRPr="00191F65">
        <w:rPr>
          <w:sz w:val="24"/>
          <w:szCs w:val="24"/>
        </w:rPr>
        <w:t>centralne ogrzewanie., ciepłą wodę oraz zimną wodę</w:t>
      </w:r>
      <w:r w:rsidRPr="00191F65">
        <w:rPr>
          <w:rFonts w:asciiTheme="minorHAnsi" w:eastAsia="Times New Roman" w:hAnsiTheme="minorHAnsi" w:cstheme="minorHAnsi"/>
          <w:sz w:val="24"/>
          <w:szCs w:val="24"/>
          <w:lang w:eastAsia="pl-PL"/>
        </w:rPr>
        <w:t xml:space="preserve"> o 85% z uwagi na zmianę taryfy </w:t>
      </w:r>
      <w:proofErr w:type="spellStart"/>
      <w:r w:rsidRPr="00191F65">
        <w:rPr>
          <w:rFonts w:asciiTheme="minorHAnsi" w:eastAsia="Times New Roman" w:hAnsiTheme="minorHAnsi" w:cstheme="minorHAnsi"/>
          <w:sz w:val="24"/>
          <w:szCs w:val="24"/>
          <w:lang w:eastAsia="pl-PL"/>
        </w:rPr>
        <w:t>Veolia</w:t>
      </w:r>
      <w:proofErr w:type="spellEnd"/>
      <w:r w:rsidR="001A3235" w:rsidRPr="00191F65">
        <w:rPr>
          <w:rFonts w:asciiTheme="minorHAnsi" w:eastAsia="Times New Roman" w:hAnsiTheme="minorHAnsi" w:cstheme="minorHAnsi"/>
          <w:sz w:val="24"/>
          <w:szCs w:val="24"/>
          <w:lang w:eastAsia="pl-PL"/>
        </w:rPr>
        <w:t xml:space="preserve"> i zmianę stawki podatku VAT.</w:t>
      </w:r>
    </w:p>
    <w:p w:rsidR="001F0DE2" w:rsidRPr="00191F65" w:rsidRDefault="001F0DE2" w:rsidP="00011F08">
      <w:pPr>
        <w:pStyle w:val="Akapitzlist"/>
        <w:tabs>
          <w:tab w:val="left" w:pos="0"/>
        </w:tabs>
        <w:jc w:val="both"/>
        <w:rPr>
          <w:rFonts w:asciiTheme="minorHAnsi" w:eastAsia="Times New Roman" w:hAnsiTheme="minorHAnsi" w:cstheme="minorHAnsi"/>
          <w:sz w:val="24"/>
          <w:szCs w:val="24"/>
        </w:rPr>
      </w:pPr>
    </w:p>
    <w:p w:rsidR="00011F08" w:rsidRPr="00646A19" w:rsidRDefault="00011F08" w:rsidP="009A2EFE">
      <w:pPr>
        <w:pStyle w:val="Akapitzlist"/>
        <w:numPr>
          <w:ilvl w:val="0"/>
          <w:numId w:val="1"/>
        </w:numPr>
        <w:tabs>
          <w:tab w:val="left" w:pos="0"/>
        </w:tabs>
        <w:jc w:val="both"/>
        <w:rPr>
          <w:b/>
          <w:bCs/>
        </w:rPr>
      </w:pPr>
      <w:r w:rsidRPr="00646A19">
        <w:rPr>
          <w:rFonts w:asciiTheme="minorHAnsi" w:eastAsia="Times New Roman" w:hAnsiTheme="minorHAnsi" w:cstheme="minorHAnsi"/>
          <w:b/>
          <w:bCs/>
          <w:sz w:val="24"/>
          <w:szCs w:val="24"/>
        </w:rPr>
        <w:t>W zakresie stanowiska</w:t>
      </w:r>
      <w:r w:rsidR="0066378A" w:rsidRPr="00646A19">
        <w:rPr>
          <w:rFonts w:asciiTheme="minorHAnsi" w:eastAsia="Times New Roman" w:hAnsiTheme="minorHAnsi" w:cstheme="minorHAnsi"/>
          <w:b/>
          <w:bCs/>
          <w:sz w:val="24"/>
          <w:szCs w:val="24"/>
        </w:rPr>
        <w:t>,</w:t>
      </w:r>
      <w:r w:rsidR="008E58C2" w:rsidRPr="00646A19">
        <w:rPr>
          <w:rFonts w:asciiTheme="minorHAnsi" w:eastAsia="Times New Roman" w:hAnsiTheme="minorHAnsi" w:cstheme="minorHAnsi"/>
          <w:b/>
          <w:bCs/>
          <w:sz w:val="24"/>
          <w:szCs w:val="24"/>
        </w:rPr>
        <w:t xml:space="preserve"> iż </w:t>
      </w:r>
      <w:r w:rsidR="00DA3837" w:rsidRPr="00646A19">
        <w:rPr>
          <w:rFonts w:asciiTheme="minorHAnsi" w:eastAsia="Times New Roman" w:hAnsiTheme="minorHAnsi" w:cstheme="minorHAnsi"/>
          <w:b/>
          <w:bCs/>
          <w:sz w:val="24"/>
          <w:szCs w:val="24"/>
        </w:rPr>
        <w:t xml:space="preserve">czynsz dla najemców w zasobie Najem z Dojściem do Własności jest wysoki, pomimo </w:t>
      </w:r>
      <w:r w:rsidR="0066378A" w:rsidRPr="00646A19">
        <w:rPr>
          <w:rFonts w:asciiTheme="minorHAnsi" w:eastAsia="Times New Roman" w:hAnsiTheme="minorHAnsi" w:cstheme="minorHAnsi"/>
          <w:b/>
          <w:bCs/>
          <w:sz w:val="24"/>
          <w:szCs w:val="24"/>
        </w:rPr>
        <w:t>że</w:t>
      </w:r>
      <w:r w:rsidR="00DA3837" w:rsidRPr="00646A19">
        <w:rPr>
          <w:rFonts w:asciiTheme="minorHAnsi" w:eastAsia="Times New Roman" w:hAnsiTheme="minorHAnsi" w:cstheme="minorHAnsi"/>
          <w:b/>
          <w:bCs/>
          <w:sz w:val="24"/>
          <w:szCs w:val="24"/>
        </w:rPr>
        <w:t xml:space="preserve"> </w:t>
      </w:r>
      <w:r w:rsidR="008E58C2" w:rsidRPr="00646A19">
        <w:rPr>
          <w:rFonts w:asciiTheme="minorHAnsi" w:eastAsia="Times New Roman" w:hAnsiTheme="minorHAnsi" w:cstheme="minorHAnsi"/>
          <w:b/>
          <w:bCs/>
          <w:sz w:val="24"/>
          <w:szCs w:val="24"/>
        </w:rPr>
        <w:t xml:space="preserve">najemcy skorzystali z oferty programu Najem z Dojściem do Własności, gdyż nie było ich stać na zaciągnięcie kredytu komercyjnego na zakup mieszkania. </w:t>
      </w:r>
    </w:p>
    <w:p w:rsidR="008E58C2" w:rsidRPr="00191F65" w:rsidRDefault="008E58C2" w:rsidP="008E58C2">
      <w:pPr>
        <w:pStyle w:val="Akapitzlist"/>
        <w:tabs>
          <w:tab w:val="left" w:pos="0"/>
        </w:tabs>
        <w:jc w:val="both"/>
        <w:rPr>
          <w:rFonts w:asciiTheme="minorHAnsi" w:eastAsia="Times New Roman" w:hAnsiTheme="minorHAnsi" w:cstheme="minorHAnsi"/>
          <w:sz w:val="24"/>
          <w:szCs w:val="24"/>
        </w:rPr>
      </w:pPr>
    </w:p>
    <w:p w:rsidR="008E58C2" w:rsidRPr="00191F65" w:rsidRDefault="008E58C2" w:rsidP="008E58C2">
      <w:pPr>
        <w:pStyle w:val="Akapitzlist"/>
        <w:tabs>
          <w:tab w:val="left" w:pos="0"/>
        </w:tabs>
        <w:jc w:val="both"/>
        <w:rPr>
          <w:rFonts w:asciiTheme="minorHAnsi" w:eastAsia="Times New Roman" w:hAnsiTheme="minorHAnsi" w:cstheme="minorHAnsi"/>
          <w:sz w:val="24"/>
          <w:szCs w:val="24"/>
        </w:rPr>
      </w:pPr>
      <w:r w:rsidRPr="00191F65">
        <w:rPr>
          <w:rFonts w:asciiTheme="minorHAnsi" w:eastAsia="Times New Roman" w:hAnsiTheme="minorHAnsi" w:cstheme="minorHAnsi"/>
          <w:sz w:val="24"/>
          <w:szCs w:val="24"/>
        </w:rPr>
        <w:t xml:space="preserve">Zarząd Spółki Poznańskie TBS Sp. z o.o. informuje, iż finansowanie budowy zasobu w I etapie programu Najem z Dojściem do Własności przy ul. Żołnierzy Wyklętych / E. </w:t>
      </w:r>
      <w:proofErr w:type="spellStart"/>
      <w:r w:rsidRPr="00191F65">
        <w:rPr>
          <w:rFonts w:asciiTheme="minorHAnsi" w:eastAsia="Times New Roman" w:hAnsiTheme="minorHAnsi" w:cstheme="minorHAnsi"/>
          <w:sz w:val="24"/>
          <w:szCs w:val="24"/>
        </w:rPr>
        <w:t>Zawackiej</w:t>
      </w:r>
      <w:proofErr w:type="spellEnd"/>
      <w:r w:rsidRPr="00191F65">
        <w:rPr>
          <w:rFonts w:asciiTheme="minorHAnsi" w:eastAsia="Times New Roman" w:hAnsiTheme="minorHAnsi" w:cstheme="minorHAnsi"/>
          <w:sz w:val="24"/>
          <w:szCs w:val="24"/>
        </w:rPr>
        <w:t xml:space="preserve"> odbyło się przy wykorzystaniu</w:t>
      </w:r>
      <w:r w:rsidR="00DA3837" w:rsidRPr="00191F65">
        <w:rPr>
          <w:rFonts w:asciiTheme="minorHAnsi" w:eastAsia="Times New Roman" w:hAnsiTheme="minorHAnsi" w:cstheme="minorHAnsi"/>
          <w:sz w:val="24"/>
          <w:szCs w:val="24"/>
        </w:rPr>
        <w:t xml:space="preserve"> środków </w:t>
      </w:r>
      <w:r w:rsidR="00891510" w:rsidRPr="00191F65">
        <w:rPr>
          <w:rFonts w:asciiTheme="minorHAnsi" w:eastAsia="Times New Roman" w:hAnsiTheme="minorHAnsi" w:cstheme="minorHAnsi"/>
          <w:sz w:val="24"/>
          <w:szCs w:val="24"/>
        </w:rPr>
        <w:t xml:space="preserve">pochodzących </w:t>
      </w:r>
      <w:r w:rsidR="00DA3837" w:rsidRPr="00191F65">
        <w:rPr>
          <w:rFonts w:asciiTheme="minorHAnsi" w:eastAsia="Times New Roman" w:hAnsiTheme="minorHAnsi" w:cstheme="minorHAnsi"/>
          <w:sz w:val="24"/>
          <w:szCs w:val="24"/>
        </w:rPr>
        <w:t>z</w:t>
      </w:r>
      <w:r w:rsidRPr="00191F65">
        <w:rPr>
          <w:rFonts w:asciiTheme="minorHAnsi" w:eastAsia="Times New Roman" w:hAnsiTheme="minorHAnsi" w:cstheme="minorHAnsi"/>
          <w:sz w:val="24"/>
          <w:szCs w:val="24"/>
        </w:rPr>
        <w:t>:</w:t>
      </w:r>
    </w:p>
    <w:p w:rsidR="008E58C2" w:rsidRPr="00191F65" w:rsidRDefault="008E58C2" w:rsidP="008E58C2">
      <w:pPr>
        <w:pStyle w:val="Akapitzlist"/>
        <w:numPr>
          <w:ilvl w:val="0"/>
          <w:numId w:val="6"/>
        </w:numPr>
        <w:tabs>
          <w:tab w:val="left" w:pos="0"/>
        </w:tabs>
        <w:jc w:val="both"/>
        <w:rPr>
          <w:rFonts w:asciiTheme="minorHAnsi" w:eastAsia="Times New Roman" w:hAnsiTheme="minorHAnsi" w:cstheme="minorHAnsi"/>
          <w:sz w:val="24"/>
          <w:szCs w:val="24"/>
        </w:rPr>
      </w:pPr>
      <w:r w:rsidRPr="00191F65">
        <w:rPr>
          <w:rFonts w:asciiTheme="minorHAnsi" w:eastAsia="Times New Roman" w:hAnsiTheme="minorHAnsi" w:cstheme="minorHAnsi"/>
          <w:sz w:val="24"/>
          <w:szCs w:val="24"/>
        </w:rPr>
        <w:t>partycypacji najemców w kosztach budowy (na poziomie 30% kosztów inwestycji),</w:t>
      </w:r>
    </w:p>
    <w:p w:rsidR="008E58C2" w:rsidRPr="00191F65" w:rsidRDefault="008E58C2" w:rsidP="008E58C2">
      <w:pPr>
        <w:pStyle w:val="Akapitzlist"/>
        <w:numPr>
          <w:ilvl w:val="0"/>
          <w:numId w:val="6"/>
        </w:numPr>
        <w:tabs>
          <w:tab w:val="left" w:pos="0"/>
        </w:tabs>
        <w:jc w:val="both"/>
        <w:rPr>
          <w:rFonts w:asciiTheme="minorHAnsi" w:eastAsia="Times New Roman" w:hAnsiTheme="minorHAnsi" w:cstheme="minorHAnsi"/>
          <w:sz w:val="24"/>
          <w:szCs w:val="24"/>
        </w:rPr>
      </w:pPr>
      <w:r w:rsidRPr="00191F65">
        <w:rPr>
          <w:rFonts w:asciiTheme="minorHAnsi" w:eastAsia="Times New Roman" w:hAnsiTheme="minorHAnsi" w:cstheme="minorHAnsi"/>
          <w:sz w:val="24"/>
          <w:szCs w:val="24"/>
        </w:rPr>
        <w:t>kredytu z Europejskiego Banku Inwestycyjnego (na poziomie 50% kosztów inwestycji)</w:t>
      </w:r>
      <w:r w:rsidR="00586A5B" w:rsidRPr="00191F65">
        <w:rPr>
          <w:rFonts w:asciiTheme="minorHAnsi" w:eastAsia="Times New Roman" w:hAnsiTheme="minorHAnsi" w:cstheme="minorHAnsi"/>
          <w:sz w:val="24"/>
          <w:szCs w:val="24"/>
        </w:rPr>
        <w:t>,</w:t>
      </w:r>
    </w:p>
    <w:p w:rsidR="00586A5B" w:rsidRPr="00191F65" w:rsidRDefault="00586A5B" w:rsidP="008E58C2">
      <w:pPr>
        <w:pStyle w:val="Akapitzlist"/>
        <w:numPr>
          <w:ilvl w:val="0"/>
          <w:numId w:val="6"/>
        </w:numPr>
        <w:tabs>
          <w:tab w:val="left" w:pos="0"/>
        </w:tabs>
        <w:jc w:val="both"/>
        <w:rPr>
          <w:rFonts w:asciiTheme="minorHAnsi" w:eastAsia="Times New Roman" w:hAnsiTheme="minorHAnsi" w:cstheme="minorHAnsi"/>
          <w:sz w:val="24"/>
          <w:szCs w:val="24"/>
        </w:rPr>
      </w:pPr>
      <w:r w:rsidRPr="00191F65">
        <w:rPr>
          <w:rFonts w:asciiTheme="minorHAnsi" w:eastAsia="Times New Roman" w:hAnsiTheme="minorHAnsi" w:cstheme="minorHAnsi"/>
          <w:sz w:val="24"/>
          <w:szCs w:val="24"/>
        </w:rPr>
        <w:t>pożyczki z Miasta Poznań (na poziomie 10% kosztów inwestycji),</w:t>
      </w:r>
    </w:p>
    <w:p w:rsidR="00586A5B" w:rsidRPr="00191F65" w:rsidRDefault="00586A5B" w:rsidP="008E58C2">
      <w:pPr>
        <w:pStyle w:val="Akapitzlist"/>
        <w:numPr>
          <w:ilvl w:val="0"/>
          <w:numId w:val="6"/>
        </w:numPr>
        <w:tabs>
          <w:tab w:val="left" w:pos="0"/>
        </w:tabs>
        <w:jc w:val="both"/>
        <w:rPr>
          <w:rFonts w:asciiTheme="minorHAnsi" w:eastAsia="Times New Roman" w:hAnsiTheme="minorHAnsi" w:cstheme="minorHAnsi"/>
          <w:sz w:val="24"/>
          <w:szCs w:val="24"/>
        </w:rPr>
      </w:pPr>
      <w:r w:rsidRPr="00191F65">
        <w:rPr>
          <w:rFonts w:asciiTheme="minorHAnsi" w:eastAsia="Times New Roman" w:hAnsiTheme="minorHAnsi" w:cstheme="minorHAnsi"/>
          <w:sz w:val="24"/>
          <w:szCs w:val="24"/>
        </w:rPr>
        <w:t>środków własnych Spółki</w:t>
      </w:r>
      <w:r w:rsidR="00DA3837" w:rsidRPr="00191F65">
        <w:rPr>
          <w:rFonts w:asciiTheme="minorHAnsi" w:eastAsia="Times New Roman" w:hAnsiTheme="minorHAnsi" w:cstheme="minorHAnsi"/>
          <w:sz w:val="24"/>
          <w:szCs w:val="24"/>
        </w:rPr>
        <w:t>.</w:t>
      </w:r>
      <w:r w:rsidRPr="00191F65">
        <w:rPr>
          <w:rFonts w:asciiTheme="minorHAnsi" w:eastAsia="Times New Roman" w:hAnsiTheme="minorHAnsi" w:cstheme="minorHAnsi"/>
          <w:sz w:val="24"/>
          <w:szCs w:val="24"/>
        </w:rPr>
        <w:t xml:space="preserve"> </w:t>
      </w:r>
    </w:p>
    <w:p w:rsidR="008E58C2" w:rsidRPr="00191F65" w:rsidRDefault="00C3756A" w:rsidP="00C3756A">
      <w:pPr>
        <w:pStyle w:val="Akapitzlist"/>
        <w:tabs>
          <w:tab w:val="left" w:pos="0"/>
        </w:tabs>
        <w:jc w:val="both"/>
        <w:rPr>
          <w:sz w:val="24"/>
          <w:szCs w:val="24"/>
        </w:rPr>
      </w:pPr>
      <w:r w:rsidRPr="00191F65">
        <w:rPr>
          <w:sz w:val="24"/>
          <w:szCs w:val="24"/>
        </w:rPr>
        <w:t xml:space="preserve">Dzięki partycypowaniu przez </w:t>
      </w:r>
      <w:r w:rsidRPr="00410EA3">
        <w:rPr>
          <w:sz w:val="24"/>
          <w:szCs w:val="24"/>
        </w:rPr>
        <w:t xml:space="preserve">najemców w kosztach inwestycji, możliwe było zminimalizowanie przez Spółkę udziału </w:t>
      </w:r>
      <w:r w:rsidR="00C66C2C" w:rsidRPr="00410EA3">
        <w:rPr>
          <w:sz w:val="24"/>
          <w:szCs w:val="24"/>
        </w:rPr>
        <w:t xml:space="preserve">kredytu i pożyczki w </w:t>
      </w:r>
      <w:r w:rsidRPr="00410EA3">
        <w:rPr>
          <w:sz w:val="24"/>
          <w:szCs w:val="24"/>
        </w:rPr>
        <w:t>finansowani</w:t>
      </w:r>
      <w:r w:rsidR="00C66C2C" w:rsidRPr="00410EA3">
        <w:rPr>
          <w:sz w:val="24"/>
          <w:szCs w:val="24"/>
        </w:rPr>
        <w:t xml:space="preserve">u </w:t>
      </w:r>
      <w:r w:rsidR="004C0257" w:rsidRPr="00410EA3">
        <w:rPr>
          <w:sz w:val="24"/>
          <w:szCs w:val="24"/>
        </w:rPr>
        <w:t>budow</w:t>
      </w:r>
      <w:r w:rsidR="00661F87" w:rsidRPr="00410EA3">
        <w:rPr>
          <w:sz w:val="24"/>
          <w:szCs w:val="24"/>
        </w:rPr>
        <w:t>y lokali mieszkalnych wraz z infrastrukturą towarzyszącą</w:t>
      </w:r>
      <w:r w:rsidR="004C0257" w:rsidRPr="00410EA3">
        <w:rPr>
          <w:sz w:val="24"/>
          <w:szCs w:val="24"/>
        </w:rPr>
        <w:t xml:space="preserve"> w programie Najem z Dojściem do Własności</w:t>
      </w:r>
      <w:r w:rsidRPr="00410EA3">
        <w:rPr>
          <w:sz w:val="24"/>
          <w:szCs w:val="24"/>
        </w:rPr>
        <w:t xml:space="preserve">, dzięki czemu </w:t>
      </w:r>
      <w:r w:rsidR="00776795" w:rsidRPr="00410EA3">
        <w:rPr>
          <w:sz w:val="24"/>
          <w:szCs w:val="24"/>
        </w:rPr>
        <w:t xml:space="preserve">zarówno </w:t>
      </w:r>
      <w:r w:rsidRPr="00410EA3">
        <w:rPr>
          <w:sz w:val="24"/>
          <w:szCs w:val="24"/>
        </w:rPr>
        <w:t xml:space="preserve">koszt inwestycji, jak i </w:t>
      </w:r>
      <w:r w:rsidR="00776795" w:rsidRPr="00410EA3">
        <w:rPr>
          <w:sz w:val="24"/>
          <w:szCs w:val="24"/>
        </w:rPr>
        <w:t xml:space="preserve">koszty obsługi finansowania zewnętrznego w </w:t>
      </w:r>
      <w:r w:rsidRPr="00410EA3">
        <w:rPr>
          <w:sz w:val="24"/>
          <w:szCs w:val="24"/>
        </w:rPr>
        <w:t xml:space="preserve">czynszu </w:t>
      </w:r>
      <w:r w:rsidR="00776795" w:rsidRPr="00410EA3">
        <w:rPr>
          <w:sz w:val="24"/>
          <w:szCs w:val="24"/>
        </w:rPr>
        <w:t xml:space="preserve">są </w:t>
      </w:r>
      <w:r w:rsidRPr="00410EA3">
        <w:rPr>
          <w:sz w:val="24"/>
          <w:szCs w:val="24"/>
        </w:rPr>
        <w:t>atrakcyjn</w:t>
      </w:r>
      <w:r w:rsidR="00EA4C89" w:rsidRPr="00410EA3">
        <w:rPr>
          <w:sz w:val="24"/>
          <w:szCs w:val="24"/>
        </w:rPr>
        <w:t>e</w:t>
      </w:r>
      <w:r w:rsidRPr="00410EA3">
        <w:rPr>
          <w:sz w:val="24"/>
          <w:szCs w:val="24"/>
        </w:rPr>
        <w:t xml:space="preserve"> w porównaniu</w:t>
      </w:r>
      <w:r w:rsidRPr="00191F65">
        <w:rPr>
          <w:sz w:val="24"/>
          <w:szCs w:val="24"/>
        </w:rPr>
        <w:t xml:space="preserve"> z ofertą komercyjną. </w:t>
      </w:r>
    </w:p>
    <w:p w:rsidR="00776795" w:rsidRPr="00191F65" w:rsidRDefault="00776795" w:rsidP="00B4025B">
      <w:pPr>
        <w:ind w:left="708"/>
        <w:jc w:val="both"/>
        <w:rPr>
          <w:sz w:val="24"/>
          <w:szCs w:val="24"/>
        </w:rPr>
      </w:pPr>
      <w:r w:rsidRPr="00191F65">
        <w:rPr>
          <w:rFonts w:asciiTheme="minorHAnsi" w:hAnsiTheme="minorHAnsi" w:cstheme="minorHAnsi"/>
          <w:sz w:val="24"/>
          <w:szCs w:val="24"/>
        </w:rPr>
        <w:t xml:space="preserve">Aktualnie na rynku mieszkaniowym </w:t>
      </w:r>
      <w:r w:rsidR="00C51503">
        <w:rPr>
          <w:rFonts w:asciiTheme="minorHAnsi" w:hAnsiTheme="minorHAnsi" w:cstheme="minorHAnsi"/>
          <w:sz w:val="24"/>
          <w:szCs w:val="24"/>
        </w:rPr>
        <w:t xml:space="preserve">w Poznaniu </w:t>
      </w:r>
      <w:r w:rsidRPr="00191F65">
        <w:rPr>
          <w:rFonts w:asciiTheme="minorHAnsi" w:hAnsiTheme="minorHAnsi" w:cstheme="minorHAnsi"/>
          <w:sz w:val="24"/>
          <w:szCs w:val="24"/>
        </w:rPr>
        <w:t xml:space="preserve">nie jest możliwe wynajęcie lokalu mieszkalnego w cenie poniżej </w:t>
      </w:r>
      <w:r w:rsidRPr="00191F65">
        <w:rPr>
          <w:rFonts w:asciiTheme="minorHAnsi" w:hAnsiTheme="minorHAnsi" w:cstheme="minorHAnsi"/>
          <w:b/>
          <w:bCs/>
          <w:sz w:val="24"/>
          <w:szCs w:val="24"/>
        </w:rPr>
        <w:t>50 zł/m</w:t>
      </w:r>
      <w:r w:rsidRPr="00191F65">
        <w:rPr>
          <w:rFonts w:ascii="Times New Roman" w:eastAsia="Times New Roman" w:hAnsi="Times New Roman" w:cs="Times New Roman"/>
          <w:b/>
          <w:bCs/>
          <w:sz w:val="24"/>
          <w:szCs w:val="24"/>
          <w:vertAlign w:val="superscript"/>
        </w:rPr>
        <w:t>2</w:t>
      </w:r>
      <w:r w:rsidR="00B4025B">
        <w:rPr>
          <w:rFonts w:asciiTheme="minorHAnsi" w:hAnsiTheme="minorHAnsi" w:cstheme="minorHAnsi"/>
          <w:b/>
          <w:bCs/>
          <w:sz w:val="24"/>
          <w:szCs w:val="24"/>
        </w:rPr>
        <w:t xml:space="preserve"> - </w:t>
      </w:r>
      <w:r w:rsidRPr="00191F65">
        <w:rPr>
          <w:rFonts w:asciiTheme="minorHAnsi" w:hAnsiTheme="minorHAnsi" w:cstheme="minorHAnsi"/>
          <w:sz w:val="24"/>
          <w:szCs w:val="24"/>
        </w:rPr>
        <w:t xml:space="preserve">potwierdzają </w:t>
      </w:r>
      <w:r w:rsidR="00B4025B">
        <w:rPr>
          <w:rFonts w:asciiTheme="minorHAnsi" w:hAnsiTheme="minorHAnsi" w:cstheme="minorHAnsi"/>
          <w:sz w:val="24"/>
          <w:szCs w:val="24"/>
        </w:rPr>
        <w:t xml:space="preserve">to </w:t>
      </w:r>
      <w:r w:rsidRPr="00191F65">
        <w:rPr>
          <w:rFonts w:asciiTheme="minorHAnsi" w:hAnsiTheme="minorHAnsi" w:cstheme="minorHAnsi"/>
          <w:sz w:val="24"/>
          <w:szCs w:val="24"/>
        </w:rPr>
        <w:t xml:space="preserve">raporty </w:t>
      </w:r>
      <w:proofErr w:type="spellStart"/>
      <w:r w:rsidRPr="00191F65">
        <w:rPr>
          <w:rFonts w:asciiTheme="minorHAnsi" w:hAnsiTheme="minorHAnsi" w:cstheme="minorHAnsi"/>
          <w:sz w:val="24"/>
          <w:szCs w:val="24"/>
        </w:rPr>
        <w:t>Expander</w:t>
      </w:r>
      <w:proofErr w:type="spellEnd"/>
      <w:r w:rsidRPr="00191F65">
        <w:rPr>
          <w:rFonts w:asciiTheme="minorHAnsi" w:hAnsiTheme="minorHAnsi" w:cstheme="minorHAnsi"/>
          <w:sz w:val="24"/>
          <w:szCs w:val="24"/>
        </w:rPr>
        <w:t xml:space="preserve"> i rentier.io. </w:t>
      </w:r>
      <w:r w:rsidR="00B4025B">
        <w:rPr>
          <w:rFonts w:asciiTheme="minorHAnsi" w:hAnsiTheme="minorHAnsi" w:cstheme="minorHAnsi"/>
          <w:sz w:val="24"/>
          <w:szCs w:val="24"/>
        </w:rPr>
        <w:t>– co w</w:t>
      </w:r>
      <w:r w:rsidR="00C51503">
        <w:rPr>
          <w:sz w:val="24"/>
          <w:szCs w:val="24"/>
        </w:rPr>
        <w:t>skazuje</w:t>
      </w:r>
      <w:r w:rsidR="00B4025B">
        <w:rPr>
          <w:sz w:val="24"/>
          <w:szCs w:val="24"/>
        </w:rPr>
        <w:t xml:space="preserve">, iż czynsz w Programie Najem z Dojściem do Własności jest </w:t>
      </w:r>
      <w:r w:rsidR="00646DB1">
        <w:rPr>
          <w:sz w:val="24"/>
          <w:szCs w:val="24"/>
        </w:rPr>
        <w:t>zdecydowanie</w:t>
      </w:r>
      <w:r w:rsidR="006F5E85">
        <w:rPr>
          <w:sz w:val="24"/>
          <w:szCs w:val="24"/>
        </w:rPr>
        <w:t xml:space="preserve"> </w:t>
      </w:r>
      <w:r w:rsidR="00B4025B">
        <w:rPr>
          <w:sz w:val="24"/>
          <w:szCs w:val="24"/>
        </w:rPr>
        <w:t xml:space="preserve">korzystniejszy od oferty komercyjnej. Ponadto </w:t>
      </w:r>
      <w:r w:rsidR="009571BE">
        <w:rPr>
          <w:sz w:val="24"/>
          <w:szCs w:val="24"/>
        </w:rPr>
        <w:t>3/4</w:t>
      </w:r>
      <w:r w:rsidR="00B4025B">
        <w:rPr>
          <w:sz w:val="24"/>
          <w:szCs w:val="24"/>
        </w:rPr>
        <w:t xml:space="preserve"> czynszu w tym programie </w:t>
      </w:r>
      <w:r w:rsidR="009571BE">
        <w:rPr>
          <w:sz w:val="24"/>
          <w:szCs w:val="24"/>
        </w:rPr>
        <w:t xml:space="preserve">stanowi </w:t>
      </w:r>
      <w:r w:rsidR="00B4025B">
        <w:rPr>
          <w:sz w:val="24"/>
          <w:szCs w:val="24"/>
        </w:rPr>
        <w:t>spłatę kredytu finansującego budowę lokali mieszkalnych</w:t>
      </w:r>
      <w:r w:rsidR="007F6402">
        <w:rPr>
          <w:sz w:val="24"/>
          <w:szCs w:val="24"/>
        </w:rPr>
        <w:t>. Spłata ta jest zaliczana na poczet ceny wykupu mieszkania</w:t>
      </w:r>
      <w:r w:rsidR="00B4025B">
        <w:rPr>
          <w:sz w:val="24"/>
          <w:szCs w:val="24"/>
        </w:rPr>
        <w:t xml:space="preserve">, co jest równoznaczne z wykupem lokalu na raty. Jedynie </w:t>
      </w:r>
      <w:r w:rsidR="009571BE">
        <w:rPr>
          <w:sz w:val="24"/>
          <w:szCs w:val="24"/>
        </w:rPr>
        <w:t>1/4</w:t>
      </w:r>
      <w:r w:rsidR="00B4025B">
        <w:rPr>
          <w:sz w:val="24"/>
          <w:szCs w:val="24"/>
        </w:rPr>
        <w:t xml:space="preserve"> czynszu, tj. ok. </w:t>
      </w:r>
      <w:r w:rsidR="009571BE">
        <w:rPr>
          <w:sz w:val="24"/>
          <w:szCs w:val="24"/>
        </w:rPr>
        <w:t>10 zł/ m2/miesiąc dotyczy kosztów eksploatacji, funduszu remontowego i kosztów zarządzania nieruchomością.</w:t>
      </w:r>
    </w:p>
    <w:p w:rsidR="002D54A9" w:rsidRPr="00191F65" w:rsidRDefault="002D54A9" w:rsidP="00C3756A">
      <w:pPr>
        <w:pStyle w:val="Akapitzlist"/>
        <w:tabs>
          <w:tab w:val="left" w:pos="0"/>
        </w:tabs>
        <w:jc w:val="both"/>
        <w:rPr>
          <w:sz w:val="24"/>
          <w:szCs w:val="24"/>
        </w:rPr>
      </w:pPr>
    </w:p>
    <w:p w:rsidR="002D54A9" w:rsidRPr="00DB21B0" w:rsidRDefault="002D54A9" w:rsidP="003637B9">
      <w:pPr>
        <w:pStyle w:val="Akapitzlist"/>
        <w:numPr>
          <w:ilvl w:val="0"/>
          <w:numId w:val="1"/>
        </w:numPr>
        <w:tabs>
          <w:tab w:val="left" w:pos="0"/>
        </w:tabs>
        <w:jc w:val="both"/>
        <w:rPr>
          <w:b/>
          <w:bCs/>
          <w:sz w:val="24"/>
          <w:szCs w:val="24"/>
        </w:rPr>
      </w:pPr>
      <w:r w:rsidRPr="00DB21B0">
        <w:rPr>
          <w:b/>
          <w:bCs/>
          <w:sz w:val="24"/>
          <w:szCs w:val="24"/>
        </w:rPr>
        <w:t>W zakresie wniosku o ponowne przeliczenie symulacji kosztów dla uczestników programu „Najem z dojściem do Własności” dla mieszkania 50 m</w:t>
      </w:r>
      <w:r w:rsidR="00993E73" w:rsidRPr="00DB21B0">
        <w:rPr>
          <w:b/>
          <w:bCs/>
          <w:sz w:val="24"/>
          <w:szCs w:val="24"/>
          <w:vertAlign w:val="superscript"/>
        </w:rPr>
        <w:t>2</w:t>
      </w:r>
      <w:r w:rsidR="00E93AFB" w:rsidRPr="00DB21B0">
        <w:rPr>
          <w:b/>
          <w:bCs/>
          <w:sz w:val="24"/>
          <w:szCs w:val="24"/>
        </w:rPr>
        <w:t xml:space="preserve"> oraz w zakresie przedstawienia porównawczej symulacji wykupu lokalu mieszkalnego prezentowanej w </w:t>
      </w:r>
      <w:r w:rsidR="00E93AFB" w:rsidRPr="00DB21B0">
        <w:rPr>
          <w:b/>
          <w:bCs/>
          <w:sz w:val="24"/>
          <w:szCs w:val="24"/>
        </w:rPr>
        <w:lastRenderedPageBreak/>
        <w:t xml:space="preserve">2019 r. </w:t>
      </w:r>
      <w:r w:rsidR="006205AF">
        <w:rPr>
          <w:b/>
          <w:bCs/>
          <w:sz w:val="24"/>
          <w:szCs w:val="24"/>
        </w:rPr>
        <w:br/>
      </w:r>
      <w:r w:rsidR="00E93AFB" w:rsidRPr="00DB21B0">
        <w:rPr>
          <w:b/>
          <w:bCs/>
          <w:sz w:val="24"/>
          <w:szCs w:val="24"/>
        </w:rPr>
        <w:t>i aktualnej.</w:t>
      </w:r>
    </w:p>
    <w:p w:rsidR="003637B9" w:rsidRDefault="003637B9" w:rsidP="002D54A9">
      <w:pPr>
        <w:pStyle w:val="Akapitzlist"/>
        <w:tabs>
          <w:tab w:val="left" w:pos="0"/>
        </w:tabs>
        <w:jc w:val="both"/>
        <w:rPr>
          <w:sz w:val="24"/>
          <w:szCs w:val="24"/>
        </w:rPr>
      </w:pPr>
    </w:p>
    <w:p w:rsidR="002D54A9" w:rsidRPr="00191F65" w:rsidRDefault="002D54A9" w:rsidP="002D54A9">
      <w:pPr>
        <w:pStyle w:val="Akapitzlist"/>
        <w:tabs>
          <w:tab w:val="left" w:pos="0"/>
        </w:tabs>
        <w:jc w:val="both"/>
        <w:rPr>
          <w:sz w:val="24"/>
          <w:szCs w:val="24"/>
        </w:rPr>
      </w:pPr>
      <w:r w:rsidRPr="00191F65">
        <w:rPr>
          <w:sz w:val="24"/>
          <w:szCs w:val="24"/>
        </w:rPr>
        <w:t>Zarząd Spółki informuje, iż zestawienia szacowanych kosztów wykupu w poszczególnych latach po upływie 5 lat od zawarcia umowy najmu są przez Spółkę aktualizowane raz w roku, po zamknięciu roku bilansowego i przedstawiane najemcom w postaci wydrukowanych informacji. Ponadto Zarząd Spółki informuje, iż.:</w:t>
      </w:r>
    </w:p>
    <w:p w:rsidR="002D54A9" w:rsidRPr="00191F65" w:rsidRDefault="002D54A9" w:rsidP="002D54A9">
      <w:pPr>
        <w:pStyle w:val="Akapitzlist"/>
        <w:numPr>
          <w:ilvl w:val="0"/>
          <w:numId w:val="7"/>
        </w:numPr>
        <w:tabs>
          <w:tab w:val="left" w:pos="0"/>
        </w:tabs>
        <w:jc w:val="both"/>
        <w:rPr>
          <w:sz w:val="24"/>
          <w:szCs w:val="24"/>
        </w:rPr>
      </w:pPr>
      <w:r w:rsidRPr="00191F65">
        <w:rPr>
          <w:sz w:val="24"/>
          <w:szCs w:val="24"/>
        </w:rPr>
        <w:t xml:space="preserve">w zakresie partycypacji </w:t>
      </w:r>
      <w:r w:rsidRPr="00410EA3">
        <w:rPr>
          <w:sz w:val="24"/>
          <w:szCs w:val="24"/>
        </w:rPr>
        <w:t>– wartość partycypacji pozostaje niezmienna</w:t>
      </w:r>
      <w:r w:rsidR="001F4451" w:rsidRPr="00410EA3">
        <w:rPr>
          <w:sz w:val="24"/>
          <w:szCs w:val="24"/>
        </w:rPr>
        <w:t xml:space="preserve"> w stosunku do kwoty skalkulowanej na moment zakończenia inwestycji,</w:t>
      </w:r>
    </w:p>
    <w:p w:rsidR="00D31A19" w:rsidRPr="00191F65" w:rsidRDefault="002D54A9" w:rsidP="002D54A9">
      <w:pPr>
        <w:pStyle w:val="Akapitzlist"/>
        <w:numPr>
          <w:ilvl w:val="0"/>
          <w:numId w:val="7"/>
        </w:numPr>
        <w:tabs>
          <w:tab w:val="left" w:pos="0"/>
        </w:tabs>
        <w:jc w:val="both"/>
        <w:rPr>
          <w:sz w:val="24"/>
          <w:szCs w:val="24"/>
        </w:rPr>
      </w:pPr>
      <w:r w:rsidRPr="00191F65">
        <w:rPr>
          <w:sz w:val="24"/>
          <w:szCs w:val="24"/>
        </w:rPr>
        <w:t xml:space="preserve">w zakresie czynszu w poszczególnych latach najmu </w:t>
      </w:r>
      <w:r w:rsidR="004E2E0A" w:rsidRPr="00191F65">
        <w:rPr>
          <w:sz w:val="24"/>
          <w:szCs w:val="24"/>
        </w:rPr>
        <w:t xml:space="preserve">– symulacja </w:t>
      </w:r>
      <w:r w:rsidR="00D31A19" w:rsidRPr="00191F65">
        <w:rPr>
          <w:sz w:val="24"/>
          <w:szCs w:val="24"/>
        </w:rPr>
        <w:t xml:space="preserve">przygotowana dla najemców </w:t>
      </w:r>
      <w:r w:rsidR="004626BE">
        <w:rPr>
          <w:sz w:val="24"/>
          <w:szCs w:val="24"/>
        </w:rPr>
        <w:t xml:space="preserve">w 2017 r., </w:t>
      </w:r>
      <w:r w:rsidR="00D31A19" w:rsidRPr="00191F65">
        <w:rPr>
          <w:sz w:val="24"/>
          <w:szCs w:val="24"/>
        </w:rPr>
        <w:t>przed przystąpieniem do programu Najem z Dojściem do Własności</w:t>
      </w:r>
      <w:r w:rsidR="004626BE">
        <w:rPr>
          <w:sz w:val="24"/>
          <w:szCs w:val="24"/>
        </w:rPr>
        <w:t>,</w:t>
      </w:r>
      <w:r w:rsidR="00D31A19" w:rsidRPr="00191F65">
        <w:rPr>
          <w:sz w:val="24"/>
          <w:szCs w:val="24"/>
        </w:rPr>
        <w:t xml:space="preserve"> została opracowana na bazie założeń przyjmowanych zwyczajowo dla prognoz długoterminowych. Oznacza to, iż szacując koszty pokrywane stawką czynszu, Spółka oparła się na założeniach:</w:t>
      </w:r>
    </w:p>
    <w:p w:rsidR="002D54A9" w:rsidRDefault="00D31A19" w:rsidP="00D31A19">
      <w:pPr>
        <w:pStyle w:val="Akapitzlist"/>
        <w:numPr>
          <w:ilvl w:val="1"/>
          <w:numId w:val="7"/>
        </w:numPr>
        <w:tabs>
          <w:tab w:val="left" w:pos="0"/>
        </w:tabs>
        <w:jc w:val="both"/>
        <w:rPr>
          <w:sz w:val="24"/>
          <w:szCs w:val="24"/>
        </w:rPr>
      </w:pPr>
      <w:r>
        <w:rPr>
          <w:sz w:val="24"/>
          <w:szCs w:val="24"/>
        </w:rPr>
        <w:t>wzrostu kosztów eksploatacji zasobu o 2,5%, tj. o przyjęty przez NBP cel inflacyjny,</w:t>
      </w:r>
    </w:p>
    <w:p w:rsidR="00D31A19" w:rsidRDefault="00D31A19" w:rsidP="00D31A19">
      <w:pPr>
        <w:pStyle w:val="Akapitzlist"/>
        <w:numPr>
          <w:ilvl w:val="1"/>
          <w:numId w:val="7"/>
        </w:numPr>
        <w:tabs>
          <w:tab w:val="left" w:pos="0"/>
        </w:tabs>
        <w:jc w:val="both"/>
        <w:rPr>
          <w:sz w:val="24"/>
          <w:szCs w:val="24"/>
        </w:rPr>
      </w:pPr>
      <w:r>
        <w:rPr>
          <w:sz w:val="24"/>
          <w:szCs w:val="24"/>
        </w:rPr>
        <w:t xml:space="preserve">utrzymania oprocentowania kredytu z EBI i pożyczki z Miasta Poznań na poziomie ok. 3%; WIBOR 3M stanowiący podstawę oprocentowania ww. źródeł finansowania wynosił w grudniu 2015 r., kiedy rozpoczęto opracowywanie programu mieszkaniowego Najem z Dojściem do Własności, 1,72% i utrzymywał się na zbliżonym poziomie aż do lutego 2020 r. </w:t>
      </w:r>
    </w:p>
    <w:p w:rsidR="001F0DE2" w:rsidRDefault="005E5FD4" w:rsidP="00742763">
      <w:pPr>
        <w:ind w:left="993"/>
        <w:jc w:val="both"/>
        <w:rPr>
          <w:sz w:val="24"/>
          <w:szCs w:val="24"/>
        </w:rPr>
      </w:pPr>
      <w:r w:rsidRPr="00410EA3">
        <w:rPr>
          <w:sz w:val="24"/>
          <w:szCs w:val="24"/>
        </w:rPr>
        <w:t>Założenia przyjęte przy opracowaniu prognoz</w:t>
      </w:r>
      <w:r w:rsidR="007A17F0" w:rsidRPr="00410EA3">
        <w:rPr>
          <w:sz w:val="24"/>
          <w:szCs w:val="24"/>
        </w:rPr>
        <w:t xml:space="preserve"> były realne w momencie tworzenia symulacji i do końca 202</w:t>
      </w:r>
      <w:r w:rsidR="004626BE">
        <w:rPr>
          <w:sz w:val="24"/>
          <w:szCs w:val="24"/>
        </w:rPr>
        <w:t>2</w:t>
      </w:r>
      <w:r w:rsidR="007A17F0" w:rsidRPr="00410EA3">
        <w:rPr>
          <w:sz w:val="24"/>
          <w:szCs w:val="24"/>
        </w:rPr>
        <w:t xml:space="preserve"> r.</w:t>
      </w:r>
      <w:r w:rsidR="00742763" w:rsidRPr="00410EA3">
        <w:rPr>
          <w:sz w:val="24"/>
          <w:szCs w:val="24"/>
        </w:rPr>
        <w:t xml:space="preserve"> </w:t>
      </w:r>
      <w:r w:rsidR="004626BE">
        <w:rPr>
          <w:sz w:val="24"/>
          <w:szCs w:val="24"/>
        </w:rPr>
        <w:t xml:space="preserve">Zarówno pandemia, jak i inwazja Rosji na Ukrainę przyczyniły się do </w:t>
      </w:r>
      <w:r w:rsidR="00053D0F">
        <w:rPr>
          <w:sz w:val="24"/>
          <w:szCs w:val="24"/>
        </w:rPr>
        <w:t>silnego</w:t>
      </w:r>
      <w:r w:rsidR="004626BE">
        <w:rPr>
          <w:sz w:val="24"/>
          <w:szCs w:val="24"/>
        </w:rPr>
        <w:t xml:space="preserve"> zachwiania gospodarką. </w:t>
      </w:r>
      <w:r w:rsidR="00742763" w:rsidRPr="00410EA3">
        <w:rPr>
          <w:sz w:val="24"/>
          <w:szCs w:val="24"/>
        </w:rPr>
        <w:t>P</w:t>
      </w:r>
      <w:r w:rsidR="00DB5CDC" w:rsidRPr="00410EA3">
        <w:rPr>
          <w:sz w:val="24"/>
          <w:szCs w:val="24"/>
        </w:rPr>
        <w:t xml:space="preserve">rzy aktualnych warunkach makroekonomicznych, w tym w szczególności </w:t>
      </w:r>
      <w:r w:rsidR="00DB5CDC" w:rsidRPr="00410EA3">
        <w:rPr>
          <w:b/>
          <w:bCs/>
          <w:sz w:val="24"/>
          <w:szCs w:val="24"/>
        </w:rPr>
        <w:t>dynamicznych</w:t>
      </w:r>
      <w:r w:rsidR="00DB5CDC" w:rsidRPr="00DB5CDC">
        <w:rPr>
          <w:b/>
          <w:bCs/>
          <w:sz w:val="24"/>
          <w:szCs w:val="24"/>
        </w:rPr>
        <w:t xml:space="preserve"> zmianach WIBOR 3M</w:t>
      </w:r>
      <w:r w:rsidR="00DB5CDC">
        <w:rPr>
          <w:sz w:val="24"/>
          <w:szCs w:val="24"/>
        </w:rPr>
        <w:t xml:space="preserve"> na przełomie ostatnich kilkunastu miesięcy (wzrost ponad 10-krotny) oraz </w:t>
      </w:r>
      <w:r w:rsidR="00DB5CDC" w:rsidRPr="00AF6B7A">
        <w:rPr>
          <w:b/>
          <w:bCs/>
          <w:sz w:val="24"/>
          <w:szCs w:val="24"/>
        </w:rPr>
        <w:t>inflacji, najwyższej od 25 lat</w:t>
      </w:r>
      <w:r w:rsidR="00DB5CDC">
        <w:rPr>
          <w:sz w:val="24"/>
          <w:szCs w:val="24"/>
        </w:rPr>
        <w:t xml:space="preserve">, opracowanie prognoz długoterminowych jest obarczone bardzo wysokim ryzykiem braku ich wiarygodności. </w:t>
      </w:r>
    </w:p>
    <w:p w:rsidR="006129E1" w:rsidRPr="00E14355" w:rsidRDefault="002D54A9" w:rsidP="002D54A9">
      <w:pPr>
        <w:pStyle w:val="Akapitzlist"/>
        <w:numPr>
          <w:ilvl w:val="0"/>
          <w:numId w:val="7"/>
        </w:numPr>
        <w:tabs>
          <w:tab w:val="left" w:pos="0"/>
        </w:tabs>
        <w:jc w:val="both"/>
        <w:rPr>
          <w:sz w:val="24"/>
          <w:szCs w:val="24"/>
        </w:rPr>
      </w:pPr>
      <w:r w:rsidRPr="00E14355">
        <w:rPr>
          <w:sz w:val="24"/>
          <w:szCs w:val="24"/>
        </w:rPr>
        <w:t>w zakresie szacunkowej wpłaty przy wykupie mieszkania – wartości te nie ulegają zmianie w porównaniu do zestawienia przedstawionego najemcom w 2022 roku. Na kwoty te składa się</w:t>
      </w:r>
      <w:r w:rsidR="006129E1" w:rsidRPr="00E14355">
        <w:rPr>
          <w:sz w:val="24"/>
          <w:szCs w:val="24"/>
        </w:rPr>
        <w:t>:</w:t>
      </w:r>
    </w:p>
    <w:p w:rsidR="002D54A9" w:rsidRPr="00E14355" w:rsidRDefault="002D54A9" w:rsidP="00874331">
      <w:pPr>
        <w:pStyle w:val="Akapitzlist"/>
        <w:numPr>
          <w:ilvl w:val="1"/>
          <w:numId w:val="7"/>
        </w:numPr>
        <w:tabs>
          <w:tab w:val="left" w:pos="0"/>
        </w:tabs>
        <w:ind w:left="1276"/>
        <w:jc w:val="both"/>
        <w:rPr>
          <w:sz w:val="24"/>
          <w:szCs w:val="24"/>
        </w:rPr>
      </w:pPr>
      <w:r w:rsidRPr="00E14355">
        <w:rPr>
          <w:sz w:val="24"/>
          <w:szCs w:val="24"/>
        </w:rPr>
        <w:t xml:space="preserve">wartość pozostałego do spłaty kapitału </w:t>
      </w:r>
      <w:r w:rsidR="006129E1" w:rsidRPr="00E14355">
        <w:rPr>
          <w:sz w:val="24"/>
          <w:szCs w:val="24"/>
        </w:rPr>
        <w:t>kredytu EBI – aktualnie Spółka spłaca kapitał kredytu według harmonogramu stałych spłat kapitału; pozwala to na zmniejszenie całkowitego kosztu obsługi kredytu</w:t>
      </w:r>
      <w:r w:rsidR="00596951" w:rsidRPr="00E14355">
        <w:rPr>
          <w:sz w:val="24"/>
          <w:szCs w:val="24"/>
        </w:rPr>
        <w:t>;</w:t>
      </w:r>
    </w:p>
    <w:p w:rsidR="00596951" w:rsidRPr="00410EA3" w:rsidRDefault="00596951" w:rsidP="00874331">
      <w:pPr>
        <w:pStyle w:val="Akapitzlist"/>
        <w:numPr>
          <w:ilvl w:val="1"/>
          <w:numId w:val="7"/>
        </w:numPr>
        <w:tabs>
          <w:tab w:val="left" w:pos="0"/>
        </w:tabs>
        <w:ind w:left="1276"/>
        <w:jc w:val="both"/>
        <w:rPr>
          <w:sz w:val="24"/>
          <w:szCs w:val="24"/>
        </w:rPr>
      </w:pPr>
      <w:r w:rsidRPr="00E14355">
        <w:rPr>
          <w:sz w:val="24"/>
          <w:szCs w:val="24"/>
        </w:rPr>
        <w:t xml:space="preserve">wartość pozostałego do spłaty kapitału pożyczki z Miasta Poznań – Spółka spłaca kapitał pożyczki na bazie harmonogramu spłat stanowiącego załącznik do umowy pożyczki; w stosunku do symulacji przedstawionych najemcom przed przystąpieniem do zawarcia </w:t>
      </w:r>
      <w:r w:rsidRPr="00410EA3">
        <w:rPr>
          <w:sz w:val="24"/>
          <w:szCs w:val="24"/>
        </w:rPr>
        <w:t xml:space="preserve">umów najmu, jak i do symulacji przedstawionych najemcom w 2022 r., nastąpiły zmiany w </w:t>
      </w:r>
      <w:r w:rsidR="00655AD5" w:rsidRPr="00410EA3">
        <w:rPr>
          <w:sz w:val="24"/>
          <w:szCs w:val="24"/>
        </w:rPr>
        <w:t>tym harmonogramie</w:t>
      </w:r>
      <w:r w:rsidRPr="00410EA3">
        <w:rPr>
          <w:sz w:val="24"/>
          <w:szCs w:val="24"/>
        </w:rPr>
        <w:t>. Wynika to z faktu założenia</w:t>
      </w:r>
      <w:r w:rsidR="00655AD5" w:rsidRPr="00410EA3">
        <w:rPr>
          <w:sz w:val="24"/>
          <w:szCs w:val="24"/>
        </w:rPr>
        <w:t xml:space="preserve"> w umowie pożyczki</w:t>
      </w:r>
      <w:r w:rsidRPr="00410EA3">
        <w:rPr>
          <w:sz w:val="24"/>
          <w:szCs w:val="24"/>
        </w:rPr>
        <w:t xml:space="preserve"> spłat równych </w:t>
      </w:r>
      <w:r w:rsidR="00655AD5" w:rsidRPr="00410EA3">
        <w:rPr>
          <w:sz w:val="24"/>
          <w:szCs w:val="24"/>
        </w:rPr>
        <w:t xml:space="preserve">miesięcznych </w:t>
      </w:r>
      <w:r w:rsidRPr="00410EA3">
        <w:rPr>
          <w:sz w:val="24"/>
          <w:szCs w:val="24"/>
        </w:rPr>
        <w:t>rat kapitałowo-odsetkowych</w:t>
      </w:r>
      <w:r w:rsidR="00655AD5" w:rsidRPr="00410EA3">
        <w:rPr>
          <w:sz w:val="24"/>
          <w:szCs w:val="24"/>
        </w:rPr>
        <w:t>.</w:t>
      </w:r>
      <w:r w:rsidRPr="00410EA3">
        <w:rPr>
          <w:sz w:val="24"/>
          <w:szCs w:val="24"/>
        </w:rPr>
        <w:t xml:space="preserve"> </w:t>
      </w:r>
      <w:r w:rsidR="00655AD5" w:rsidRPr="00410EA3">
        <w:rPr>
          <w:sz w:val="24"/>
          <w:szCs w:val="24"/>
        </w:rPr>
        <w:t>J</w:t>
      </w:r>
      <w:r w:rsidRPr="00410EA3">
        <w:rPr>
          <w:sz w:val="24"/>
          <w:szCs w:val="24"/>
        </w:rPr>
        <w:t xml:space="preserve">ednak w przypadku zmian WIBOR 3M, harmonogram stanowiący załącznik do umowy pożyczki, ulega również zmianom. </w:t>
      </w:r>
      <w:r w:rsidR="00655AD5" w:rsidRPr="00410EA3">
        <w:rPr>
          <w:sz w:val="24"/>
          <w:szCs w:val="24"/>
        </w:rPr>
        <w:t>W</w:t>
      </w:r>
      <w:r w:rsidRPr="00410EA3">
        <w:rPr>
          <w:sz w:val="24"/>
          <w:szCs w:val="24"/>
        </w:rPr>
        <w:t xml:space="preserve"> związku z tym </w:t>
      </w:r>
      <w:r w:rsidR="00655AD5" w:rsidRPr="00410EA3">
        <w:rPr>
          <w:sz w:val="24"/>
          <w:szCs w:val="24"/>
        </w:rPr>
        <w:t xml:space="preserve">pozycja wartość pozostałego do </w:t>
      </w:r>
      <w:r w:rsidR="00655AD5" w:rsidRPr="00410EA3">
        <w:rPr>
          <w:sz w:val="24"/>
          <w:szCs w:val="24"/>
        </w:rPr>
        <w:lastRenderedPageBreak/>
        <w:t xml:space="preserve">spłaty kapitału pożyczki z Miasta Poznań </w:t>
      </w:r>
      <w:r w:rsidRPr="00410EA3">
        <w:rPr>
          <w:sz w:val="24"/>
          <w:szCs w:val="24"/>
        </w:rPr>
        <w:t>nie jest stała i do czasu wykupu lokalu mieszkalnego będzie podlegała nieznacznym wahaniom,</w:t>
      </w:r>
    </w:p>
    <w:p w:rsidR="00596951" w:rsidRPr="00105D9C" w:rsidRDefault="00596951" w:rsidP="00874331">
      <w:pPr>
        <w:pStyle w:val="Akapitzlist"/>
        <w:numPr>
          <w:ilvl w:val="1"/>
          <w:numId w:val="7"/>
        </w:numPr>
        <w:tabs>
          <w:tab w:val="left" w:pos="0"/>
        </w:tabs>
        <w:ind w:left="1276"/>
        <w:jc w:val="both"/>
        <w:rPr>
          <w:sz w:val="24"/>
          <w:szCs w:val="24"/>
        </w:rPr>
      </w:pPr>
      <w:r w:rsidRPr="00105D9C">
        <w:rPr>
          <w:sz w:val="24"/>
          <w:szCs w:val="24"/>
        </w:rPr>
        <w:t xml:space="preserve">wartość opłaty dodatkowej, </w:t>
      </w:r>
      <w:r w:rsidR="003D7A74" w:rsidRPr="00105D9C">
        <w:rPr>
          <w:sz w:val="24"/>
          <w:szCs w:val="24"/>
        </w:rPr>
        <w:t xml:space="preserve">pozycja ta </w:t>
      </w:r>
      <w:r w:rsidRPr="00105D9C">
        <w:rPr>
          <w:sz w:val="24"/>
          <w:szCs w:val="24"/>
        </w:rPr>
        <w:t>zgodnie z Regulaminem</w:t>
      </w:r>
      <w:r w:rsidR="00543B8D" w:rsidRPr="00105D9C">
        <w:rPr>
          <w:sz w:val="24"/>
          <w:szCs w:val="24"/>
        </w:rPr>
        <w:t xml:space="preserve"> Programu „Mieszkanie na Wynajem z Dojściem do Własności” realizowanego w ramach inwestycji przy ul. Koszalińskiej w Poznaniu</w:t>
      </w:r>
      <w:r w:rsidRPr="00105D9C">
        <w:rPr>
          <w:sz w:val="24"/>
          <w:szCs w:val="24"/>
        </w:rPr>
        <w:t xml:space="preserve"> – </w:t>
      </w:r>
      <w:r w:rsidR="009A7D5D" w:rsidRPr="00105D9C">
        <w:rPr>
          <w:sz w:val="24"/>
          <w:szCs w:val="24"/>
        </w:rPr>
        <w:t xml:space="preserve">występuje </w:t>
      </w:r>
      <w:r w:rsidRPr="00105D9C">
        <w:rPr>
          <w:sz w:val="24"/>
          <w:szCs w:val="24"/>
        </w:rPr>
        <w:t>tytułem zwrotu środków własnych zaangażowanych przez Spółkę  w finansowanie realizacji inwestycji i marży zysku, w wysokości uzależnionej od terminu wykupu; wartość ta jest szacowana corocznie na bazie kosztu zaangażowanego przez Spółkę kapitału, powiększonego o minimalną marżę zysku</w:t>
      </w:r>
      <w:r w:rsidR="005A43AC" w:rsidRPr="00105D9C">
        <w:rPr>
          <w:sz w:val="24"/>
          <w:szCs w:val="24"/>
        </w:rPr>
        <w:t xml:space="preserve">, przyjętą na poziomie 3%. Zgodnie z art. 24 ust.2  ustawy o społecznych formach rozwoju mieszkalnictwa </w:t>
      </w:r>
      <w:r w:rsidR="009A7D5D" w:rsidRPr="00105D9C">
        <w:rPr>
          <w:sz w:val="24"/>
          <w:szCs w:val="24"/>
        </w:rPr>
        <w:t>d</w:t>
      </w:r>
      <w:r w:rsidR="005A43AC" w:rsidRPr="00105D9C">
        <w:rPr>
          <w:sz w:val="24"/>
          <w:szCs w:val="24"/>
        </w:rPr>
        <w:t xml:space="preserve">ochody </w:t>
      </w:r>
      <w:r w:rsidR="006C237E" w:rsidRPr="00105D9C">
        <w:rPr>
          <w:sz w:val="24"/>
          <w:szCs w:val="24"/>
        </w:rPr>
        <w:t>TBS</w:t>
      </w:r>
      <w:r w:rsidR="005A43AC" w:rsidRPr="00105D9C">
        <w:rPr>
          <w:sz w:val="24"/>
          <w:szCs w:val="24"/>
        </w:rPr>
        <w:t xml:space="preserve"> nie mogą być przeznaczane </w:t>
      </w:r>
      <w:r w:rsidR="009A503B" w:rsidRPr="00105D9C">
        <w:rPr>
          <w:sz w:val="24"/>
          <w:szCs w:val="24"/>
        </w:rPr>
        <w:t>d</w:t>
      </w:r>
      <w:r w:rsidR="005A43AC" w:rsidRPr="00105D9C">
        <w:rPr>
          <w:sz w:val="24"/>
          <w:szCs w:val="24"/>
        </w:rPr>
        <w:t>o podziału między wspólników lub członków. Przeznacza się je w całości na działalność statutową</w:t>
      </w:r>
      <w:r w:rsidR="00105D9C" w:rsidRPr="00105D9C">
        <w:rPr>
          <w:sz w:val="24"/>
          <w:szCs w:val="24"/>
        </w:rPr>
        <w:t xml:space="preserve"> Spółki. </w:t>
      </w:r>
      <w:r w:rsidR="007C0E7D" w:rsidRPr="007C0E7D">
        <w:rPr>
          <w:b/>
          <w:bCs/>
          <w:sz w:val="24"/>
          <w:szCs w:val="24"/>
        </w:rPr>
        <w:t xml:space="preserve">Środki wypracowane z działalności innej niż wynajem lokali mieszkalnych Spółka przeznacza na finansowanie prowadzonych inwestycji. </w:t>
      </w:r>
    </w:p>
    <w:p w:rsidR="00596951" w:rsidRDefault="00596951" w:rsidP="00596951">
      <w:pPr>
        <w:tabs>
          <w:tab w:val="left" w:pos="0"/>
        </w:tabs>
        <w:ind w:left="1140"/>
        <w:jc w:val="both"/>
        <w:rPr>
          <w:sz w:val="24"/>
          <w:szCs w:val="24"/>
        </w:rPr>
      </w:pPr>
      <w:r w:rsidRPr="00E14355">
        <w:rPr>
          <w:sz w:val="24"/>
          <w:szCs w:val="24"/>
        </w:rPr>
        <w:t>Aktualn</w:t>
      </w:r>
      <w:r w:rsidR="00DA3837">
        <w:rPr>
          <w:sz w:val="24"/>
          <w:szCs w:val="24"/>
        </w:rPr>
        <w:t>a</w:t>
      </w:r>
      <w:r w:rsidRPr="00E14355">
        <w:rPr>
          <w:sz w:val="24"/>
          <w:szCs w:val="24"/>
        </w:rPr>
        <w:t xml:space="preserve"> symulacj</w:t>
      </w:r>
      <w:r w:rsidR="00DA3837">
        <w:rPr>
          <w:sz w:val="24"/>
          <w:szCs w:val="24"/>
        </w:rPr>
        <w:t>a</w:t>
      </w:r>
      <w:r w:rsidRPr="00E14355">
        <w:rPr>
          <w:sz w:val="24"/>
          <w:szCs w:val="24"/>
        </w:rPr>
        <w:t xml:space="preserve"> kosztów dla uczestników programu Najem z Dojściem do Własności</w:t>
      </w:r>
      <w:r w:rsidR="00DA3837">
        <w:rPr>
          <w:sz w:val="24"/>
          <w:szCs w:val="24"/>
        </w:rPr>
        <w:t>, przekazana najemcom po zamknięciu rok 2021</w:t>
      </w:r>
      <w:r w:rsidRPr="00E14355">
        <w:rPr>
          <w:sz w:val="24"/>
          <w:szCs w:val="24"/>
        </w:rPr>
        <w:t xml:space="preserve"> stanowi załącznik nr 1 do niniejszego pisma. </w:t>
      </w:r>
      <w:r w:rsidR="00DA3837">
        <w:rPr>
          <w:sz w:val="24"/>
          <w:szCs w:val="24"/>
        </w:rPr>
        <w:t xml:space="preserve">Jedyną zmienną pozycją jest wartość spłaty </w:t>
      </w:r>
      <w:r w:rsidR="001365C8">
        <w:rPr>
          <w:sz w:val="24"/>
          <w:szCs w:val="24"/>
        </w:rPr>
        <w:t>kapitału pożyczki.</w:t>
      </w:r>
    </w:p>
    <w:p w:rsidR="006F5E85" w:rsidRPr="00E14355" w:rsidRDefault="006F5E85" w:rsidP="00596951">
      <w:pPr>
        <w:tabs>
          <w:tab w:val="left" w:pos="0"/>
        </w:tabs>
        <w:ind w:left="1140"/>
        <w:jc w:val="both"/>
        <w:rPr>
          <w:sz w:val="24"/>
          <w:szCs w:val="24"/>
        </w:rPr>
      </w:pPr>
    </w:p>
    <w:p w:rsidR="009700F2" w:rsidRPr="00C62344" w:rsidRDefault="009700F2" w:rsidP="009700F2">
      <w:pPr>
        <w:pStyle w:val="Akapitzlist"/>
        <w:numPr>
          <w:ilvl w:val="0"/>
          <w:numId w:val="1"/>
        </w:numPr>
        <w:tabs>
          <w:tab w:val="left" w:pos="0"/>
        </w:tabs>
        <w:jc w:val="both"/>
        <w:rPr>
          <w:b/>
          <w:bCs/>
          <w:sz w:val="24"/>
          <w:szCs w:val="24"/>
        </w:rPr>
      </w:pPr>
      <w:r w:rsidRPr="00C62344">
        <w:rPr>
          <w:b/>
          <w:bCs/>
          <w:sz w:val="24"/>
          <w:szCs w:val="24"/>
        </w:rPr>
        <w:t xml:space="preserve">W zakresie wniosku o przedstawienie składowych stawki miesięcznego czynszu i wzrostu czynszu na przykładzie mieszkania o powierzchni 56,44 </w:t>
      </w:r>
      <w:r w:rsidR="003255DB" w:rsidRPr="00C62344">
        <w:rPr>
          <w:b/>
          <w:bCs/>
          <w:sz w:val="24"/>
          <w:szCs w:val="24"/>
        </w:rPr>
        <w:t>m</w:t>
      </w:r>
      <w:r w:rsidR="003255DB" w:rsidRPr="00C62344">
        <w:rPr>
          <w:b/>
          <w:bCs/>
          <w:sz w:val="24"/>
          <w:szCs w:val="24"/>
          <w:vertAlign w:val="superscript"/>
        </w:rPr>
        <w:t>2</w:t>
      </w:r>
      <w:r w:rsidRPr="00C62344">
        <w:rPr>
          <w:b/>
          <w:bCs/>
          <w:sz w:val="24"/>
          <w:szCs w:val="24"/>
        </w:rPr>
        <w:t xml:space="preserve"> od dnia zawarcia umowy najmu do </w:t>
      </w:r>
      <w:r w:rsidR="009D29A2" w:rsidRPr="00C62344">
        <w:rPr>
          <w:b/>
          <w:bCs/>
          <w:sz w:val="24"/>
          <w:szCs w:val="24"/>
        </w:rPr>
        <w:t>dnia dzisiejszego</w:t>
      </w:r>
      <w:r w:rsidR="00646DB1">
        <w:rPr>
          <w:b/>
          <w:bCs/>
          <w:sz w:val="24"/>
          <w:szCs w:val="24"/>
        </w:rPr>
        <w:t xml:space="preserve"> oraz wyjaśnienia pozycji „zmiana stawki czynszu od XI 2022” i „zmiana stawki czynszu od V 2023”</w:t>
      </w:r>
    </w:p>
    <w:p w:rsidR="005B7F27" w:rsidRDefault="003255DB" w:rsidP="005B7F27">
      <w:pPr>
        <w:pStyle w:val="Akapitzlist"/>
        <w:tabs>
          <w:tab w:val="left" w:pos="0"/>
        </w:tabs>
        <w:jc w:val="both"/>
        <w:rPr>
          <w:sz w:val="24"/>
          <w:szCs w:val="24"/>
        </w:rPr>
      </w:pPr>
      <w:r>
        <w:rPr>
          <w:sz w:val="24"/>
          <w:szCs w:val="24"/>
        </w:rPr>
        <w:t xml:space="preserve">Poniższe zestawienie prezentuje składowe stawki czynszu i wzrost czynszu na przykładzie mieszkania o powierzchni 56,44 </w:t>
      </w:r>
      <w:r w:rsidRPr="00874331">
        <w:rPr>
          <w:sz w:val="24"/>
          <w:szCs w:val="24"/>
        </w:rPr>
        <w:t>m</w:t>
      </w:r>
      <w:r w:rsidRPr="00874331">
        <w:rPr>
          <w:sz w:val="24"/>
          <w:szCs w:val="24"/>
          <w:vertAlign w:val="superscript"/>
        </w:rPr>
        <w:t>2</w:t>
      </w:r>
      <w:r w:rsidR="00571E03" w:rsidRPr="00874331">
        <w:rPr>
          <w:sz w:val="24"/>
          <w:szCs w:val="24"/>
          <w:vertAlign w:val="superscript"/>
        </w:rPr>
        <w:t xml:space="preserve"> </w:t>
      </w:r>
      <w:r w:rsidR="00571E03" w:rsidRPr="00874331">
        <w:rPr>
          <w:sz w:val="24"/>
          <w:szCs w:val="24"/>
        </w:rPr>
        <w:t>(w zł)</w:t>
      </w:r>
      <w:r w:rsidR="00984EF7" w:rsidRPr="00874331">
        <w:rPr>
          <w:sz w:val="24"/>
          <w:szCs w:val="24"/>
        </w:rPr>
        <w:t>:</w:t>
      </w:r>
    </w:p>
    <w:tbl>
      <w:tblPr>
        <w:tblW w:w="9223" w:type="dxa"/>
        <w:tblInd w:w="540" w:type="dxa"/>
        <w:tblCellMar>
          <w:left w:w="70" w:type="dxa"/>
          <w:right w:w="70" w:type="dxa"/>
        </w:tblCellMar>
        <w:tblLook w:val="04A0" w:firstRow="1" w:lastRow="0" w:firstColumn="1" w:lastColumn="0" w:noHBand="0" w:noVBand="1"/>
      </w:tblPr>
      <w:tblGrid>
        <w:gridCol w:w="2848"/>
        <w:gridCol w:w="1285"/>
        <w:gridCol w:w="1118"/>
        <w:gridCol w:w="849"/>
        <w:gridCol w:w="1010"/>
        <w:gridCol w:w="2113"/>
      </w:tblGrid>
      <w:tr w:rsidR="00874331" w:rsidRPr="00EC1534" w:rsidTr="0004162B">
        <w:trPr>
          <w:trHeight w:val="1128"/>
        </w:trPr>
        <w:tc>
          <w:tcPr>
            <w:tcW w:w="2848"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1365C8" w:rsidRPr="0004162B" w:rsidRDefault="001365C8" w:rsidP="00EC1534">
            <w:pPr>
              <w:rPr>
                <w:rFonts w:eastAsia="Times New Roman"/>
                <w:b/>
                <w:bCs/>
                <w:color w:val="000000"/>
                <w:sz w:val="20"/>
                <w:szCs w:val="20"/>
              </w:rPr>
            </w:pPr>
            <w:r w:rsidRPr="0004162B">
              <w:rPr>
                <w:rFonts w:eastAsia="Times New Roman"/>
                <w:b/>
                <w:bCs/>
                <w:color w:val="000000"/>
                <w:sz w:val="20"/>
                <w:szCs w:val="20"/>
              </w:rPr>
              <w:t xml:space="preserve">SKŁADNIKI STAWKI CZYNSZU </w:t>
            </w:r>
          </w:p>
        </w:tc>
        <w:tc>
          <w:tcPr>
            <w:tcW w:w="1285" w:type="dxa"/>
            <w:tcBorders>
              <w:top w:val="single" w:sz="4" w:space="0" w:color="auto"/>
              <w:left w:val="nil"/>
              <w:bottom w:val="single" w:sz="4" w:space="0" w:color="auto"/>
              <w:right w:val="single" w:sz="4" w:space="0" w:color="auto"/>
            </w:tcBorders>
            <w:shd w:val="clear" w:color="000000" w:fill="D0CECE"/>
            <w:vAlign w:val="center"/>
          </w:tcPr>
          <w:p w:rsidR="001365C8" w:rsidRPr="0004162B" w:rsidRDefault="001365C8" w:rsidP="00EC1534">
            <w:pPr>
              <w:jc w:val="center"/>
              <w:rPr>
                <w:rFonts w:eastAsia="Times New Roman"/>
                <w:b/>
                <w:bCs/>
                <w:color w:val="000000"/>
                <w:sz w:val="20"/>
                <w:szCs w:val="20"/>
              </w:rPr>
            </w:pPr>
            <w:r w:rsidRPr="0004162B">
              <w:rPr>
                <w:rFonts w:eastAsia="Times New Roman"/>
                <w:b/>
                <w:bCs/>
                <w:color w:val="000000"/>
                <w:sz w:val="20"/>
                <w:szCs w:val="20"/>
              </w:rPr>
              <w:t xml:space="preserve">Do października 2022 </w:t>
            </w:r>
          </w:p>
        </w:tc>
        <w:tc>
          <w:tcPr>
            <w:tcW w:w="1118"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1365C8" w:rsidRPr="0004162B" w:rsidRDefault="001365C8" w:rsidP="00EC1534">
            <w:pPr>
              <w:jc w:val="center"/>
              <w:rPr>
                <w:rFonts w:eastAsia="Times New Roman"/>
                <w:b/>
                <w:bCs/>
                <w:color w:val="000000"/>
                <w:sz w:val="20"/>
                <w:szCs w:val="20"/>
              </w:rPr>
            </w:pPr>
            <w:r w:rsidRPr="0004162B">
              <w:rPr>
                <w:rFonts w:eastAsia="Times New Roman"/>
                <w:b/>
                <w:bCs/>
                <w:color w:val="000000"/>
                <w:sz w:val="20"/>
                <w:szCs w:val="20"/>
              </w:rPr>
              <w:t>Od listopada 2022</w:t>
            </w:r>
          </w:p>
        </w:tc>
        <w:tc>
          <w:tcPr>
            <w:tcW w:w="849" w:type="dxa"/>
            <w:tcBorders>
              <w:top w:val="single" w:sz="4" w:space="0" w:color="auto"/>
              <w:left w:val="nil"/>
              <w:bottom w:val="single" w:sz="4" w:space="0" w:color="auto"/>
              <w:right w:val="single" w:sz="4" w:space="0" w:color="auto"/>
            </w:tcBorders>
            <w:shd w:val="clear" w:color="000000" w:fill="D0CECE"/>
            <w:noWrap/>
            <w:vAlign w:val="center"/>
            <w:hideMark/>
          </w:tcPr>
          <w:p w:rsidR="001365C8" w:rsidRPr="0004162B" w:rsidRDefault="00874331" w:rsidP="00EC1534">
            <w:pPr>
              <w:jc w:val="center"/>
              <w:rPr>
                <w:rFonts w:eastAsia="Times New Roman"/>
                <w:b/>
                <w:bCs/>
                <w:color w:val="000000"/>
                <w:sz w:val="20"/>
                <w:szCs w:val="20"/>
              </w:rPr>
            </w:pPr>
            <w:r w:rsidRPr="0004162B">
              <w:rPr>
                <w:rFonts w:eastAsia="Times New Roman"/>
                <w:b/>
                <w:bCs/>
                <w:color w:val="000000"/>
                <w:sz w:val="20"/>
                <w:szCs w:val="20"/>
              </w:rPr>
              <w:t xml:space="preserve">Od maja </w:t>
            </w:r>
            <w:r w:rsidR="001365C8" w:rsidRPr="0004162B">
              <w:rPr>
                <w:rFonts w:eastAsia="Times New Roman"/>
                <w:b/>
                <w:bCs/>
                <w:color w:val="000000"/>
                <w:sz w:val="20"/>
                <w:szCs w:val="20"/>
              </w:rPr>
              <w:t>2023</w:t>
            </w:r>
          </w:p>
        </w:tc>
        <w:tc>
          <w:tcPr>
            <w:tcW w:w="1010" w:type="dxa"/>
            <w:tcBorders>
              <w:top w:val="single" w:sz="4" w:space="0" w:color="auto"/>
              <w:left w:val="nil"/>
              <w:bottom w:val="single" w:sz="4" w:space="0" w:color="auto"/>
              <w:right w:val="nil"/>
            </w:tcBorders>
            <w:shd w:val="clear" w:color="000000" w:fill="D0CECE"/>
            <w:noWrap/>
            <w:vAlign w:val="center"/>
            <w:hideMark/>
          </w:tcPr>
          <w:p w:rsidR="001365C8" w:rsidRPr="0004162B" w:rsidRDefault="001365C8" w:rsidP="00EC1534">
            <w:pPr>
              <w:jc w:val="center"/>
              <w:rPr>
                <w:rFonts w:eastAsia="Times New Roman"/>
                <w:b/>
                <w:bCs/>
                <w:i/>
                <w:iCs/>
                <w:sz w:val="20"/>
                <w:szCs w:val="20"/>
              </w:rPr>
            </w:pPr>
            <w:r w:rsidRPr="0004162B">
              <w:rPr>
                <w:rFonts w:eastAsia="Times New Roman"/>
                <w:b/>
                <w:bCs/>
                <w:i/>
                <w:iCs/>
                <w:sz w:val="20"/>
                <w:szCs w:val="20"/>
              </w:rPr>
              <w:t>Różnica</w:t>
            </w:r>
            <w:r w:rsidR="0004162B" w:rsidRPr="0004162B">
              <w:rPr>
                <w:rFonts w:eastAsia="Times New Roman"/>
                <w:b/>
                <w:bCs/>
                <w:i/>
                <w:iCs/>
                <w:sz w:val="20"/>
                <w:szCs w:val="20"/>
              </w:rPr>
              <w:t xml:space="preserve"> maj 2023 - listopad 2022</w:t>
            </w:r>
          </w:p>
        </w:tc>
        <w:tc>
          <w:tcPr>
            <w:tcW w:w="2113"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1365C8" w:rsidRPr="0004162B" w:rsidRDefault="001365C8" w:rsidP="00EC1534">
            <w:pPr>
              <w:rPr>
                <w:rFonts w:eastAsia="Times New Roman"/>
                <w:b/>
                <w:bCs/>
                <w:color w:val="000000"/>
                <w:sz w:val="20"/>
                <w:szCs w:val="20"/>
              </w:rPr>
            </w:pPr>
            <w:r w:rsidRPr="0004162B">
              <w:rPr>
                <w:rFonts w:eastAsia="Times New Roman"/>
                <w:b/>
                <w:bCs/>
                <w:color w:val="000000"/>
                <w:sz w:val="20"/>
                <w:szCs w:val="20"/>
              </w:rPr>
              <w:t xml:space="preserve">Zmiana stawki czynszu od maja 2023 r. dla mieszkania </w:t>
            </w:r>
            <w:r w:rsidR="00322024" w:rsidRPr="0004162B">
              <w:rPr>
                <w:rFonts w:eastAsia="Times New Roman"/>
                <w:b/>
                <w:bCs/>
                <w:color w:val="000000"/>
                <w:sz w:val="20"/>
                <w:szCs w:val="20"/>
              </w:rPr>
              <w:br/>
            </w:r>
            <w:r w:rsidRPr="0004162B">
              <w:rPr>
                <w:rFonts w:eastAsia="Times New Roman"/>
                <w:b/>
                <w:bCs/>
                <w:color w:val="000000"/>
                <w:sz w:val="20"/>
                <w:szCs w:val="20"/>
              </w:rPr>
              <w:t>o powierzchni 56,44 m2</w:t>
            </w:r>
          </w:p>
        </w:tc>
      </w:tr>
      <w:tr w:rsidR="00874331"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EC1534">
            <w:pPr>
              <w:rPr>
                <w:rFonts w:eastAsia="Times New Roman"/>
                <w:color w:val="000000"/>
              </w:rPr>
            </w:pPr>
            <w:r w:rsidRPr="00EC1534">
              <w:rPr>
                <w:rFonts w:eastAsia="Times New Roman"/>
                <w:color w:val="000000"/>
              </w:rPr>
              <w:t>KOSZTY EKSPLOATACJI</w:t>
            </w:r>
          </w:p>
        </w:tc>
        <w:tc>
          <w:tcPr>
            <w:tcW w:w="1285" w:type="dxa"/>
            <w:tcBorders>
              <w:top w:val="single" w:sz="4" w:space="0" w:color="auto"/>
              <w:left w:val="single" w:sz="4" w:space="0" w:color="auto"/>
              <w:bottom w:val="single" w:sz="4" w:space="0" w:color="auto"/>
              <w:right w:val="single" w:sz="4" w:space="0" w:color="auto"/>
            </w:tcBorders>
          </w:tcPr>
          <w:p w:rsidR="001365C8" w:rsidRPr="00EC1534" w:rsidRDefault="001365C8" w:rsidP="001365C8">
            <w:pPr>
              <w:jc w:val="center"/>
              <w:rPr>
                <w:rFonts w:eastAsia="Times New Roman"/>
                <w:color w:val="000000"/>
              </w:rPr>
            </w:pPr>
            <w:r>
              <w:rPr>
                <w:rFonts w:eastAsia="Times New Roman"/>
                <w:color w:val="000000"/>
              </w:rPr>
              <w:t>4,05</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E87E5D" w:rsidP="00EC1534">
            <w:pPr>
              <w:jc w:val="right"/>
              <w:rPr>
                <w:rFonts w:eastAsia="Times New Roman"/>
                <w:color w:val="000000"/>
              </w:rPr>
            </w:pPr>
            <w:r>
              <w:rPr>
                <w:rFonts w:eastAsia="Times New Roman"/>
                <w:color w:val="000000"/>
              </w:rPr>
              <w:t>4,05</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EC1534">
            <w:pPr>
              <w:jc w:val="right"/>
              <w:rPr>
                <w:rFonts w:eastAsia="Times New Roman"/>
              </w:rPr>
            </w:pPr>
            <w:r w:rsidRPr="00EC1534">
              <w:rPr>
                <w:rFonts w:eastAsia="Times New Roman"/>
              </w:rPr>
              <w:t>5,15</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E87E5D" w:rsidP="00EC1534">
            <w:pPr>
              <w:jc w:val="right"/>
              <w:rPr>
                <w:rFonts w:eastAsia="Times New Roman"/>
                <w:i/>
                <w:iCs/>
              </w:rPr>
            </w:pPr>
            <w:r>
              <w:rPr>
                <w:rFonts w:eastAsia="Times New Roman"/>
                <w:i/>
                <w:iCs/>
              </w:rPr>
              <w:t>1</w:t>
            </w:r>
            <w:r w:rsidR="001365C8" w:rsidRPr="00EC1534">
              <w:rPr>
                <w:rFonts w:eastAsia="Times New Roman"/>
                <w:i/>
                <w:iCs/>
              </w:rPr>
              <w:t>,</w:t>
            </w:r>
            <w:r>
              <w:rPr>
                <w:rFonts w:eastAsia="Times New Roman"/>
                <w:i/>
                <w:iCs/>
              </w:rPr>
              <w:t>1</w:t>
            </w:r>
            <w:r w:rsidR="001365C8" w:rsidRPr="00EC1534">
              <w:rPr>
                <w:rFonts w:eastAsia="Times New Roman"/>
                <w:i/>
                <w:iCs/>
              </w:rPr>
              <w:t>0</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E87E5D" w:rsidP="00EC1534">
            <w:pPr>
              <w:jc w:val="center"/>
              <w:rPr>
                <w:rFonts w:eastAsia="Times New Roman"/>
                <w:color w:val="000000"/>
              </w:rPr>
            </w:pPr>
            <w:r>
              <w:rPr>
                <w:rFonts w:eastAsia="Times New Roman"/>
                <w:color w:val="000000"/>
              </w:rPr>
              <w:t>32</w:t>
            </w:r>
            <w:r w:rsidR="001365C8" w:rsidRPr="00EC1534">
              <w:rPr>
                <w:rFonts w:eastAsia="Times New Roman"/>
                <w:color w:val="000000"/>
              </w:rPr>
              <w:t>,3</w:t>
            </w:r>
            <w:r>
              <w:rPr>
                <w:rFonts w:eastAsia="Times New Roman"/>
                <w:color w:val="000000"/>
              </w:rPr>
              <w:t>0</w:t>
            </w:r>
          </w:p>
        </w:tc>
      </w:tr>
      <w:tr w:rsidR="005D5B4F"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tcPr>
          <w:p w:rsidR="005D5B4F" w:rsidRPr="00322024" w:rsidRDefault="005D5B4F" w:rsidP="00322024">
            <w:pPr>
              <w:jc w:val="right"/>
              <w:rPr>
                <w:rFonts w:eastAsia="Times New Roman"/>
                <w:i/>
                <w:iCs/>
                <w:color w:val="000000"/>
              </w:rPr>
            </w:pPr>
            <w:r w:rsidRPr="00322024">
              <w:rPr>
                <w:rFonts w:eastAsia="Times New Roman"/>
                <w:i/>
                <w:iCs/>
                <w:color w:val="000000"/>
              </w:rPr>
              <w:t>rozłożenie podwyżki w czasie</w:t>
            </w:r>
          </w:p>
        </w:tc>
        <w:tc>
          <w:tcPr>
            <w:tcW w:w="1285" w:type="dxa"/>
            <w:tcBorders>
              <w:top w:val="single" w:sz="4" w:space="0" w:color="auto"/>
              <w:left w:val="single" w:sz="4" w:space="0" w:color="auto"/>
              <w:bottom w:val="single" w:sz="4" w:space="0" w:color="auto"/>
              <w:right w:val="single" w:sz="4" w:space="0" w:color="auto"/>
            </w:tcBorders>
          </w:tcPr>
          <w:p w:rsidR="005D5B4F" w:rsidRPr="00322024" w:rsidRDefault="005D5B4F" w:rsidP="001365C8">
            <w:pPr>
              <w:jc w:val="center"/>
              <w:rPr>
                <w:rFonts w:eastAsia="Times New Roman"/>
                <w:i/>
                <w:iCs/>
                <w:color w:val="000000"/>
              </w:rPr>
            </w:pPr>
          </w:p>
        </w:tc>
        <w:tc>
          <w:tcPr>
            <w:tcW w:w="1118" w:type="dxa"/>
            <w:tcBorders>
              <w:top w:val="nil"/>
              <w:left w:val="single" w:sz="4" w:space="0" w:color="auto"/>
              <w:bottom w:val="single" w:sz="4" w:space="0" w:color="auto"/>
              <w:right w:val="single" w:sz="4" w:space="0" w:color="auto"/>
            </w:tcBorders>
            <w:shd w:val="clear" w:color="auto" w:fill="auto"/>
            <w:noWrap/>
            <w:vAlign w:val="center"/>
          </w:tcPr>
          <w:p w:rsidR="005D5B4F" w:rsidRPr="00322024" w:rsidRDefault="00874331" w:rsidP="00EC1534">
            <w:pPr>
              <w:jc w:val="right"/>
              <w:rPr>
                <w:rFonts w:eastAsia="Times New Roman"/>
                <w:i/>
                <w:iCs/>
                <w:color w:val="000000"/>
              </w:rPr>
            </w:pPr>
            <w:r w:rsidRPr="00322024">
              <w:rPr>
                <w:rFonts w:eastAsia="Times New Roman"/>
                <w:i/>
                <w:iCs/>
                <w:color w:val="000000"/>
              </w:rPr>
              <w:t>-1,90</w:t>
            </w:r>
          </w:p>
        </w:tc>
        <w:tc>
          <w:tcPr>
            <w:tcW w:w="849" w:type="dxa"/>
            <w:tcBorders>
              <w:top w:val="nil"/>
              <w:left w:val="nil"/>
              <w:bottom w:val="single" w:sz="4" w:space="0" w:color="auto"/>
              <w:right w:val="nil"/>
            </w:tcBorders>
            <w:shd w:val="clear" w:color="auto" w:fill="auto"/>
            <w:noWrap/>
            <w:vAlign w:val="center"/>
          </w:tcPr>
          <w:p w:rsidR="005D5B4F" w:rsidRPr="00EC1534" w:rsidRDefault="005D5B4F" w:rsidP="00EC1534">
            <w:pPr>
              <w:jc w:val="right"/>
              <w:rPr>
                <w:rFonts w:eastAsia="Times New Roman"/>
              </w:rPr>
            </w:pPr>
          </w:p>
        </w:tc>
        <w:tc>
          <w:tcPr>
            <w:tcW w:w="1010" w:type="dxa"/>
            <w:tcBorders>
              <w:top w:val="nil"/>
              <w:left w:val="single" w:sz="4" w:space="0" w:color="auto"/>
              <w:bottom w:val="single" w:sz="4" w:space="0" w:color="auto"/>
              <w:right w:val="nil"/>
            </w:tcBorders>
            <w:shd w:val="clear" w:color="auto" w:fill="auto"/>
            <w:noWrap/>
            <w:vAlign w:val="center"/>
          </w:tcPr>
          <w:p w:rsidR="005D5B4F" w:rsidRPr="00EC1534" w:rsidRDefault="00E87E5D" w:rsidP="00EC1534">
            <w:pPr>
              <w:jc w:val="right"/>
              <w:rPr>
                <w:rFonts w:eastAsia="Times New Roman"/>
                <w:i/>
                <w:iCs/>
              </w:rPr>
            </w:pPr>
            <w:r>
              <w:rPr>
                <w:rFonts w:eastAsia="Times New Roman"/>
                <w:i/>
                <w:iCs/>
              </w:rPr>
              <w:t>1,90</w:t>
            </w:r>
          </w:p>
        </w:tc>
        <w:tc>
          <w:tcPr>
            <w:tcW w:w="2113" w:type="dxa"/>
            <w:tcBorders>
              <w:top w:val="nil"/>
              <w:left w:val="single" w:sz="4" w:space="0" w:color="auto"/>
              <w:bottom w:val="single" w:sz="4" w:space="0" w:color="auto"/>
              <w:right w:val="single" w:sz="4" w:space="0" w:color="auto"/>
            </w:tcBorders>
            <w:shd w:val="clear" w:color="auto" w:fill="auto"/>
            <w:noWrap/>
            <w:vAlign w:val="center"/>
          </w:tcPr>
          <w:p w:rsidR="005D5B4F" w:rsidRPr="00EC1534" w:rsidRDefault="00E87E5D" w:rsidP="00EC1534">
            <w:pPr>
              <w:jc w:val="center"/>
              <w:rPr>
                <w:rFonts w:eastAsia="Times New Roman"/>
                <w:color w:val="000000"/>
              </w:rPr>
            </w:pPr>
            <w:r>
              <w:rPr>
                <w:rFonts w:eastAsia="Times New Roman"/>
                <w:color w:val="000000"/>
              </w:rPr>
              <w:t>107,24</w:t>
            </w:r>
          </w:p>
        </w:tc>
      </w:tr>
      <w:tr w:rsidR="00874331"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EC1534">
            <w:pPr>
              <w:rPr>
                <w:rFonts w:eastAsia="Times New Roman"/>
                <w:color w:val="000000"/>
              </w:rPr>
            </w:pPr>
            <w:r w:rsidRPr="00EC1534">
              <w:rPr>
                <w:rFonts w:eastAsia="Times New Roman"/>
                <w:color w:val="000000"/>
              </w:rPr>
              <w:t>REMONTY I MODERNIZACJE</w:t>
            </w:r>
          </w:p>
        </w:tc>
        <w:tc>
          <w:tcPr>
            <w:tcW w:w="1285" w:type="dxa"/>
            <w:tcBorders>
              <w:top w:val="nil"/>
              <w:left w:val="single" w:sz="4" w:space="0" w:color="auto"/>
              <w:bottom w:val="single" w:sz="4" w:space="0" w:color="auto"/>
              <w:right w:val="single" w:sz="4" w:space="0" w:color="auto"/>
            </w:tcBorders>
          </w:tcPr>
          <w:p w:rsidR="001365C8" w:rsidRPr="00EC1534" w:rsidRDefault="001365C8" w:rsidP="001365C8">
            <w:pPr>
              <w:jc w:val="center"/>
              <w:rPr>
                <w:rFonts w:eastAsia="Times New Roman"/>
                <w:color w:val="000000"/>
              </w:rPr>
            </w:pPr>
            <w:r>
              <w:rPr>
                <w:rFonts w:eastAsia="Times New Roman"/>
                <w:color w:val="000000"/>
              </w:rPr>
              <w:t>0,10</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right"/>
              <w:rPr>
                <w:rFonts w:eastAsia="Times New Roman"/>
                <w:color w:val="000000"/>
              </w:rPr>
            </w:pPr>
            <w:r w:rsidRPr="00EC1534">
              <w:rPr>
                <w:rFonts w:eastAsia="Times New Roman"/>
                <w:color w:val="000000"/>
              </w:rPr>
              <w:t>0,10</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EC1534">
            <w:pPr>
              <w:jc w:val="right"/>
              <w:rPr>
                <w:rFonts w:eastAsia="Times New Roman"/>
              </w:rPr>
            </w:pPr>
            <w:r w:rsidRPr="00EC1534">
              <w:rPr>
                <w:rFonts w:eastAsia="Times New Roman"/>
              </w:rPr>
              <w:t>0,60</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EC1534">
            <w:pPr>
              <w:jc w:val="right"/>
              <w:rPr>
                <w:rFonts w:eastAsia="Times New Roman"/>
                <w:i/>
                <w:iCs/>
              </w:rPr>
            </w:pPr>
            <w:r w:rsidRPr="00EC1534">
              <w:rPr>
                <w:rFonts w:eastAsia="Times New Roman"/>
                <w:i/>
                <w:iCs/>
              </w:rPr>
              <w:t>0,50</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center"/>
              <w:rPr>
                <w:rFonts w:eastAsia="Times New Roman"/>
                <w:color w:val="000000"/>
              </w:rPr>
            </w:pPr>
            <w:r w:rsidRPr="00EC1534">
              <w:rPr>
                <w:rFonts w:eastAsia="Times New Roman"/>
                <w:color w:val="000000"/>
              </w:rPr>
              <w:t>28,22</w:t>
            </w:r>
          </w:p>
        </w:tc>
      </w:tr>
      <w:tr w:rsidR="00874331"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EC1534">
            <w:pPr>
              <w:rPr>
                <w:rFonts w:eastAsia="Times New Roman"/>
                <w:color w:val="000000"/>
              </w:rPr>
            </w:pPr>
            <w:r w:rsidRPr="00EC1534">
              <w:rPr>
                <w:rFonts w:eastAsia="Times New Roman"/>
                <w:color w:val="000000"/>
              </w:rPr>
              <w:t>KOSZTY OGÓLNEGO ZARZĄDU</w:t>
            </w:r>
          </w:p>
        </w:tc>
        <w:tc>
          <w:tcPr>
            <w:tcW w:w="1285" w:type="dxa"/>
            <w:tcBorders>
              <w:top w:val="nil"/>
              <w:left w:val="single" w:sz="4" w:space="0" w:color="auto"/>
              <w:bottom w:val="single" w:sz="4" w:space="0" w:color="auto"/>
              <w:right w:val="single" w:sz="4" w:space="0" w:color="auto"/>
            </w:tcBorders>
          </w:tcPr>
          <w:p w:rsidR="001365C8" w:rsidRPr="00EC1534" w:rsidRDefault="001365C8" w:rsidP="001365C8">
            <w:pPr>
              <w:jc w:val="center"/>
              <w:rPr>
                <w:rFonts w:eastAsia="Times New Roman"/>
                <w:color w:val="000000"/>
              </w:rPr>
            </w:pPr>
            <w:r>
              <w:rPr>
                <w:rFonts w:eastAsia="Times New Roman"/>
                <w:color w:val="000000"/>
              </w:rPr>
              <w:t>1,95</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right"/>
              <w:rPr>
                <w:rFonts w:eastAsia="Times New Roman"/>
                <w:color w:val="000000"/>
              </w:rPr>
            </w:pPr>
            <w:r w:rsidRPr="00EC1534">
              <w:rPr>
                <w:rFonts w:eastAsia="Times New Roman"/>
                <w:color w:val="000000"/>
              </w:rPr>
              <w:t>1,95</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EC1534">
            <w:pPr>
              <w:jc w:val="right"/>
              <w:rPr>
                <w:rFonts w:eastAsia="Times New Roman"/>
              </w:rPr>
            </w:pPr>
            <w:r w:rsidRPr="00EC1534">
              <w:rPr>
                <w:rFonts w:eastAsia="Times New Roman"/>
              </w:rPr>
              <w:t>2,59</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EC1534">
            <w:pPr>
              <w:jc w:val="right"/>
              <w:rPr>
                <w:rFonts w:eastAsia="Times New Roman"/>
                <w:i/>
                <w:iCs/>
              </w:rPr>
            </w:pPr>
            <w:r w:rsidRPr="00EC1534">
              <w:rPr>
                <w:rFonts w:eastAsia="Times New Roman"/>
                <w:i/>
                <w:iCs/>
              </w:rPr>
              <w:t>0,64</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center"/>
              <w:rPr>
                <w:rFonts w:eastAsia="Times New Roman"/>
                <w:color w:val="000000"/>
              </w:rPr>
            </w:pPr>
            <w:r w:rsidRPr="00EC1534">
              <w:rPr>
                <w:rFonts w:eastAsia="Times New Roman"/>
                <w:color w:val="000000"/>
              </w:rPr>
              <w:t>36,12</w:t>
            </w:r>
          </w:p>
        </w:tc>
      </w:tr>
      <w:tr w:rsidR="00874331"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EC1534">
            <w:pPr>
              <w:rPr>
                <w:rFonts w:eastAsia="Times New Roman"/>
                <w:color w:val="000000"/>
              </w:rPr>
            </w:pPr>
            <w:r w:rsidRPr="00EC1534">
              <w:rPr>
                <w:rFonts w:eastAsia="Times New Roman"/>
                <w:color w:val="000000"/>
              </w:rPr>
              <w:t>KOSZTY FINANSOWE EBI</w:t>
            </w:r>
          </w:p>
        </w:tc>
        <w:tc>
          <w:tcPr>
            <w:tcW w:w="1285" w:type="dxa"/>
            <w:tcBorders>
              <w:top w:val="nil"/>
              <w:left w:val="single" w:sz="4" w:space="0" w:color="auto"/>
              <w:bottom w:val="single" w:sz="4" w:space="0" w:color="auto"/>
              <w:right w:val="single" w:sz="4" w:space="0" w:color="auto"/>
            </w:tcBorders>
          </w:tcPr>
          <w:p w:rsidR="001365C8" w:rsidRPr="00EC1534" w:rsidRDefault="001365C8" w:rsidP="001365C8">
            <w:pPr>
              <w:jc w:val="center"/>
              <w:rPr>
                <w:rFonts w:eastAsia="Times New Roman"/>
                <w:color w:val="000000"/>
              </w:rPr>
            </w:pPr>
            <w:r>
              <w:rPr>
                <w:rFonts w:eastAsia="Times New Roman"/>
                <w:color w:val="000000"/>
              </w:rPr>
              <w:t>5,91</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right"/>
              <w:rPr>
                <w:rFonts w:eastAsia="Times New Roman"/>
                <w:color w:val="000000"/>
              </w:rPr>
            </w:pPr>
            <w:r w:rsidRPr="00EC1534">
              <w:rPr>
                <w:rFonts w:eastAsia="Times New Roman"/>
                <w:color w:val="000000"/>
              </w:rPr>
              <w:t>9,13</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EC1534">
            <w:pPr>
              <w:jc w:val="right"/>
              <w:rPr>
                <w:rFonts w:eastAsia="Times New Roman"/>
              </w:rPr>
            </w:pPr>
            <w:r w:rsidRPr="00EC1534">
              <w:rPr>
                <w:rFonts w:eastAsia="Times New Roman"/>
              </w:rPr>
              <w:t>14,22</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EC1534">
            <w:pPr>
              <w:jc w:val="right"/>
              <w:rPr>
                <w:rFonts w:eastAsia="Times New Roman"/>
                <w:i/>
                <w:iCs/>
              </w:rPr>
            </w:pPr>
            <w:r w:rsidRPr="00EC1534">
              <w:rPr>
                <w:rFonts w:eastAsia="Times New Roman"/>
                <w:i/>
                <w:iCs/>
              </w:rPr>
              <w:t>5,09</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center"/>
              <w:rPr>
                <w:rFonts w:eastAsia="Times New Roman"/>
                <w:color w:val="000000"/>
              </w:rPr>
            </w:pPr>
            <w:r w:rsidRPr="00EC1534">
              <w:rPr>
                <w:rFonts w:eastAsia="Times New Roman"/>
                <w:color w:val="000000"/>
              </w:rPr>
              <w:t>287,28</w:t>
            </w:r>
          </w:p>
        </w:tc>
      </w:tr>
      <w:tr w:rsidR="00874331"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EC1534">
            <w:pPr>
              <w:rPr>
                <w:rFonts w:eastAsia="Times New Roman"/>
                <w:color w:val="000000"/>
              </w:rPr>
            </w:pPr>
            <w:r w:rsidRPr="00EC1534">
              <w:rPr>
                <w:rFonts w:eastAsia="Times New Roman"/>
                <w:color w:val="000000"/>
              </w:rPr>
              <w:t>SPŁATA KAPITAŁU EBI</w:t>
            </w:r>
          </w:p>
        </w:tc>
        <w:tc>
          <w:tcPr>
            <w:tcW w:w="1285" w:type="dxa"/>
            <w:tcBorders>
              <w:top w:val="nil"/>
              <w:left w:val="single" w:sz="4" w:space="0" w:color="auto"/>
              <w:bottom w:val="single" w:sz="4" w:space="0" w:color="auto"/>
              <w:right w:val="single" w:sz="4" w:space="0" w:color="auto"/>
            </w:tcBorders>
          </w:tcPr>
          <w:p w:rsidR="001365C8" w:rsidRPr="00EC1534" w:rsidRDefault="001365C8" w:rsidP="001365C8">
            <w:pPr>
              <w:jc w:val="center"/>
              <w:rPr>
                <w:rFonts w:eastAsia="Times New Roman"/>
                <w:color w:val="000000"/>
              </w:rPr>
            </w:pPr>
            <w:r>
              <w:rPr>
                <w:rFonts w:eastAsia="Times New Roman"/>
                <w:color w:val="000000"/>
              </w:rPr>
              <w:t>7,38</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right"/>
              <w:rPr>
                <w:rFonts w:eastAsia="Times New Roman"/>
                <w:color w:val="000000"/>
              </w:rPr>
            </w:pPr>
            <w:r w:rsidRPr="00EC1534">
              <w:rPr>
                <w:rFonts w:eastAsia="Times New Roman"/>
                <w:color w:val="000000"/>
              </w:rPr>
              <w:t>7,38</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EC1534">
            <w:pPr>
              <w:jc w:val="right"/>
              <w:rPr>
                <w:rFonts w:eastAsia="Times New Roman"/>
              </w:rPr>
            </w:pPr>
            <w:r w:rsidRPr="00EC1534">
              <w:rPr>
                <w:rFonts w:eastAsia="Times New Roman"/>
              </w:rPr>
              <w:t>7,38</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EC1534">
            <w:pPr>
              <w:jc w:val="right"/>
              <w:rPr>
                <w:rFonts w:eastAsia="Times New Roman"/>
                <w:i/>
                <w:iCs/>
              </w:rPr>
            </w:pPr>
            <w:r w:rsidRPr="00EC1534">
              <w:rPr>
                <w:rFonts w:eastAsia="Times New Roman"/>
                <w:i/>
                <w:iCs/>
              </w:rPr>
              <w:t>0,00</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EC1534">
            <w:pPr>
              <w:jc w:val="center"/>
              <w:rPr>
                <w:rFonts w:eastAsia="Times New Roman"/>
                <w:color w:val="000000"/>
              </w:rPr>
            </w:pPr>
            <w:r w:rsidRPr="00EC1534">
              <w:rPr>
                <w:rFonts w:eastAsia="Times New Roman"/>
                <w:color w:val="000000"/>
              </w:rPr>
              <w:t>0,00</w:t>
            </w:r>
          </w:p>
        </w:tc>
      </w:tr>
      <w:tr w:rsidR="00874331" w:rsidRPr="00EC1534" w:rsidTr="0004162B">
        <w:trPr>
          <w:trHeight w:val="576"/>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1365C8">
            <w:pPr>
              <w:rPr>
                <w:rFonts w:eastAsia="Times New Roman"/>
                <w:color w:val="000000"/>
              </w:rPr>
            </w:pPr>
            <w:r w:rsidRPr="00EC1534">
              <w:rPr>
                <w:rFonts w:eastAsia="Times New Roman"/>
                <w:color w:val="000000"/>
              </w:rPr>
              <w:t>KUMALACJA ŚRODKÓW NA SPŁATĘ ZADŁUŻENIA</w:t>
            </w:r>
          </w:p>
        </w:tc>
        <w:tc>
          <w:tcPr>
            <w:tcW w:w="1285" w:type="dxa"/>
            <w:tcBorders>
              <w:top w:val="nil"/>
              <w:left w:val="single" w:sz="4" w:space="0" w:color="auto"/>
              <w:bottom w:val="single" w:sz="4" w:space="0" w:color="auto"/>
              <w:right w:val="single" w:sz="4" w:space="0" w:color="auto"/>
            </w:tcBorders>
            <w:vAlign w:val="center"/>
          </w:tcPr>
          <w:p w:rsidR="001365C8" w:rsidRPr="00EC1534" w:rsidRDefault="001365C8" w:rsidP="001365C8">
            <w:pPr>
              <w:jc w:val="center"/>
              <w:rPr>
                <w:rFonts w:eastAsia="Times New Roman"/>
                <w:color w:val="000000"/>
              </w:rPr>
            </w:pPr>
            <w:r w:rsidRPr="00EC1534">
              <w:rPr>
                <w:rFonts w:eastAsia="Times New Roman"/>
                <w:color w:val="000000"/>
              </w:rPr>
              <w:t>-0,07</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right"/>
              <w:rPr>
                <w:rFonts w:eastAsia="Times New Roman"/>
                <w:color w:val="000000"/>
              </w:rPr>
            </w:pPr>
            <w:r w:rsidRPr="00EC1534">
              <w:rPr>
                <w:rFonts w:eastAsia="Times New Roman"/>
                <w:color w:val="000000"/>
              </w:rPr>
              <w:t>-0,07</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1365C8">
            <w:pPr>
              <w:jc w:val="right"/>
              <w:rPr>
                <w:rFonts w:eastAsia="Times New Roman"/>
              </w:rPr>
            </w:pPr>
            <w:r w:rsidRPr="00EC1534">
              <w:rPr>
                <w:rFonts w:eastAsia="Times New Roman"/>
              </w:rPr>
              <w:t>0,00</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1365C8">
            <w:pPr>
              <w:jc w:val="right"/>
              <w:rPr>
                <w:rFonts w:eastAsia="Times New Roman"/>
                <w:i/>
                <w:iCs/>
              </w:rPr>
            </w:pPr>
            <w:r w:rsidRPr="00EC1534">
              <w:rPr>
                <w:rFonts w:eastAsia="Times New Roman"/>
                <w:i/>
                <w:iCs/>
              </w:rPr>
              <w:t>0,07</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center"/>
              <w:rPr>
                <w:rFonts w:eastAsia="Times New Roman"/>
                <w:color w:val="000000"/>
              </w:rPr>
            </w:pPr>
            <w:r w:rsidRPr="00EC1534">
              <w:rPr>
                <w:rFonts w:eastAsia="Times New Roman"/>
                <w:color w:val="000000"/>
              </w:rPr>
              <w:t>3,95</w:t>
            </w:r>
          </w:p>
        </w:tc>
      </w:tr>
      <w:tr w:rsidR="00874331" w:rsidRPr="00EC1534" w:rsidTr="0004162B">
        <w:trPr>
          <w:trHeight w:val="576"/>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1365C8">
            <w:pPr>
              <w:rPr>
                <w:rFonts w:eastAsia="Times New Roman"/>
                <w:color w:val="000000"/>
              </w:rPr>
            </w:pPr>
            <w:r w:rsidRPr="00EC1534">
              <w:rPr>
                <w:rFonts w:eastAsia="Times New Roman"/>
                <w:color w:val="000000"/>
              </w:rPr>
              <w:t>KOSZTY FINANSOWE - POŻYCZKA Z Miasta Poznań</w:t>
            </w:r>
          </w:p>
        </w:tc>
        <w:tc>
          <w:tcPr>
            <w:tcW w:w="1285" w:type="dxa"/>
            <w:tcBorders>
              <w:top w:val="nil"/>
              <w:left w:val="single" w:sz="4" w:space="0" w:color="auto"/>
              <w:bottom w:val="single" w:sz="4" w:space="0" w:color="auto"/>
              <w:right w:val="single" w:sz="4" w:space="0" w:color="auto"/>
            </w:tcBorders>
            <w:vAlign w:val="center"/>
          </w:tcPr>
          <w:p w:rsidR="001365C8" w:rsidRPr="00EC1534" w:rsidRDefault="004C339D" w:rsidP="001365C8">
            <w:pPr>
              <w:jc w:val="center"/>
              <w:rPr>
                <w:rFonts w:eastAsia="Times New Roman"/>
                <w:color w:val="000000"/>
              </w:rPr>
            </w:pPr>
            <w:r>
              <w:rPr>
                <w:rFonts w:eastAsia="Times New Roman"/>
                <w:color w:val="000000"/>
              </w:rPr>
              <w:t>0,76</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right"/>
              <w:rPr>
                <w:rFonts w:eastAsia="Times New Roman"/>
                <w:color w:val="000000"/>
              </w:rPr>
            </w:pPr>
            <w:r w:rsidRPr="00EC1534">
              <w:rPr>
                <w:rFonts w:eastAsia="Times New Roman"/>
                <w:color w:val="000000"/>
              </w:rPr>
              <w:t>2,72</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1365C8">
            <w:pPr>
              <w:jc w:val="right"/>
              <w:rPr>
                <w:rFonts w:eastAsia="Times New Roman"/>
              </w:rPr>
            </w:pPr>
            <w:r w:rsidRPr="00EC1534">
              <w:rPr>
                <w:rFonts w:eastAsia="Times New Roman"/>
              </w:rPr>
              <w:t>3,82</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1365C8">
            <w:pPr>
              <w:jc w:val="right"/>
              <w:rPr>
                <w:rFonts w:eastAsia="Times New Roman"/>
                <w:i/>
                <w:iCs/>
              </w:rPr>
            </w:pPr>
            <w:r w:rsidRPr="00EC1534">
              <w:rPr>
                <w:rFonts w:eastAsia="Times New Roman"/>
                <w:i/>
                <w:iCs/>
              </w:rPr>
              <w:t>1,10</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center"/>
              <w:rPr>
                <w:rFonts w:eastAsia="Times New Roman"/>
                <w:color w:val="000000"/>
              </w:rPr>
            </w:pPr>
            <w:r w:rsidRPr="00EC1534">
              <w:rPr>
                <w:rFonts w:eastAsia="Times New Roman"/>
                <w:color w:val="000000"/>
              </w:rPr>
              <w:t>62,08</w:t>
            </w:r>
          </w:p>
        </w:tc>
      </w:tr>
      <w:tr w:rsidR="00874331" w:rsidRPr="00EC1534" w:rsidTr="0004162B">
        <w:trPr>
          <w:trHeight w:val="576"/>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1365C8">
            <w:pPr>
              <w:rPr>
                <w:rFonts w:eastAsia="Times New Roman"/>
                <w:color w:val="000000"/>
              </w:rPr>
            </w:pPr>
            <w:r w:rsidRPr="00EC1534">
              <w:rPr>
                <w:rFonts w:eastAsia="Times New Roman"/>
                <w:color w:val="000000"/>
              </w:rPr>
              <w:t>SPŁATA KAPITAŁU - POŻYCZKA Z Miasta Poznań</w:t>
            </w:r>
          </w:p>
        </w:tc>
        <w:tc>
          <w:tcPr>
            <w:tcW w:w="1285" w:type="dxa"/>
            <w:tcBorders>
              <w:top w:val="nil"/>
              <w:left w:val="single" w:sz="4" w:space="0" w:color="auto"/>
              <w:bottom w:val="single" w:sz="4" w:space="0" w:color="auto"/>
              <w:right w:val="single" w:sz="4" w:space="0" w:color="auto"/>
            </w:tcBorders>
            <w:vAlign w:val="center"/>
          </w:tcPr>
          <w:p w:rsidR="001365C8" w:rsidRPr="00EC1534" w:rsidRDefault="004C339D" w:rsidP="001365C8">
            <w:pPr>
              <w:jc w:val="center"/>
              <w:rPr>
                <w:rFonts w:eastAsia="Times New Roman"/>
                <w:color w:val="000000"/>
              </w:rPr>
            </w:pPr>
            <w:r>
              <w:rPr>
                <w:rFonts w:eastAsia="Times New Roman"/>
                <w:color w:val="000000"/>
              </w:rPr>
              <w:t>1</w:t>
            </w:r>
            <w:r w:rsidR="001365C8" w:rsidRPr="00EC1534">
              <w:rPr>
                <w:rFonts w:eastAsia="Times New Roman"/>
                <w:color w:val="000000"/>
              </w:rPr>
              <w:t>,</w:t>
            </w:r>
            <w:r>
              <w:rPr>
                <w:rFonts w:eastAsia="Times New Roman"/>
                <w:color w:val="000000"/>
              </w:rPr>
              <w:t>25</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right"/>
              <w:rPr>
                <w:rFonts w:eastAsia="Times New Roman"/>
                <w:color w:val="000000"/>
              </w:rPr>
            </w:pPr>
            <w:r w:rsidRPr="00EC1534">
              <w:rPr>
                <w:rFonts w:eastAsia="Times New Roman"/>
                <w:color w:val="000000"/>
              </w:rPr>
              <w:t>0,72</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1365C8">
            <w:pPr>
              <w:jc w:val="right"/>
              <w:rPr>
                <w:rFonts w:eastAsia="Times New Roman"/>
              </w:rPr>
            </w:pPr>
            <w:r w:rsidRPr="00EC1534">
              <w:rPr>
                <w:rFonts w:eastAsia="Times New Roman"/>
              </w:rPr>
              <w:t>0,35</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1365C8">
            <w:pPr>
              <w:jc w:val="right"/>
              <w:rPr>
                <w:rFonts w:eastAsia="Times New Roman"/>
                <w:i/>
                <w:iCs/>
              </w:rPr>
            </w:pPr>
            <w:r w:rsidRPr="00EC1534">
              <w:rPr>
                <w:rFonts w:eastAsia="Times New Roman"/>
                <w:i/>
                <w:iCs/>
              </w:rPr>
              <w:t>-0,37</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center"/>
              <w:rPr>
                <w:rFonts w:eastAsia="Times New Roman"/>
                <w:color w:val="000000"/>
              </w:rPr>
            </w:pPr>
            <w:r w:rsidRPr="00EC1534">
              <w:rPr>
                <w:rFonts w:eastAsia="Times New Roman"/>
                <w:color w:val="000000"/>
              </w:rPr>
              <w:t>-20,88</w:t>
            </w:r>
          </w:p>
        </w:tc>
      </w:tr>
      <w:tr w:rsidR="00874331" w:rsidRPr="00EC1534" w:rsidTr="0004162B">
        <w:trPr>
          <w:trHeight w:val="288"/>
        </w:trPr>
        <w:tc>
          <w:tcPr>
            <w:tcW w:w="2848" w:type="dxa"/>
            <w:tcBorders>
              <w:top w:val="nil"/>
              <w:left w:val="single" w:sz="8" w:space="0" w:color="auto"/>
              <w:bottom w:val="single" w:sz="4" w:space="0" w:color="auto"/>
              <w:right w:val="nil"/>
            </w:tcBorders>
            <w:shd w:val="clear" w:color="auto" w:fill="auto"/>
            <w:vAlign w:val="center"/>
            <w:hideMark/>
          </w:tcPr>
          <w:p w:rsidR="001365C8" w:rsidRPr="00EC1534" w:rsidRDefault="001365C8" w:rsidP="001365C8">
            <w:pPr>
              <w:rPr>
                <w:rFonts w:eastAsia="Times New Roman"/>
                <w:color w:val="000000"/>
              </w:rPr>
            </w:pPr>
            <w:r w:rsidRPr="00EC1534">
              <w:rPr>
                <w:rFonts w:eastAsia="Times New Roman"/>
                <w:color w:val="000000"/>
              </w:rPr>
              <w:t>ZMIANA STAWKI od V 2023</w:t>
            </w:r>
          </w:p>
        </w:tc>
        <w:tc>
          <w:tcPr>
            <w:tcW w:w="1285" w:type="dxa"/>
            <w:tcBorders>
              <w:top w:val="nil"/>
              <w:left w:val="single" w:sz="4" w:space="0" w:color="auto"/>
              <w:bottom w:val="single" w:sz="4" w:space="0" w:color="auto"/>
              <w:right w:val="single" w:sz="4" w:space="0" w:color="auto"/>
            </w:tcBorders>
            <w:vAlign w:val="center"/>
          </w:tcPr>
          <w:p w:rsidR="001365C8" w:rsidRPr="00EC1534" w:rsidRDefault="001365C8" w:rsidP="001365C8">
            <w:pPr>
              <w:jc w:val="center"/>
              <w:rPr>
                <w:rFonts w:eastAsia="Times New Roman"/>
                <w:color w:val="000000"/>
              </w:rPr>
            </w:pP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right"/>
              <w:rPr>
                <w:rFonts w:eastAsia="Times New Roman"/>
                <w:color w:val="000000"/>
              </w:rPr>
            </w:pPr>
            <w:r w:rsidRPr="00EC1534">
              <w:rPr>
                <w:rFonts w:eastAsia="Times New Roman"/>
                <w:color w:val="000000"/>
              </w:rPr>
              <w:t>2,75</w:t>
            </w:r>
          </w:p>
        </w:tc>
        <w:tc>
          <w:tcPr>
            <w:tcW w:w="849" w:type="dxa"/>
            <w:tcBorders>
              <w:top w:val="nil"/>
              <w:left w:val="nil"/>
              <w:bottom w:val="single" w:sz="4" w:space="0" w:color="auto"/>
              <w:right w:val="nil"/>
            </w:tcBorders>
            <w:shd w:val="clear" w:color="auto" w:fill="auto"/>
            <w:noWrap/>
            <w:vAlign w:val="center"/>
            <w:hideMark/>
          </w:tcPr>
          <w:p w:rsidR="001365C8" w:rsidRPr="00EC1534" w:rsidRDefault="001365C8" w:rsidP="001365C8">
            <w:pPr>
              <w:jc w:val="right"/>
              <w:rPr>
                <w:rFonts w:eastAsia="Times New Roman"/>
              </w:rPr>
            </w:pPr>
            <w:r w:rsidRPr="00EC1534">
              <w:rPr>
                <w:rFonts w:eastAsia="Times New Roman"/>
              </w:rPr>
              <w:t>3,64</w:t>
            </w:r>
          </w:p>
        </w:tc>
        <w:tc>
          <w:tcPr>
            <w:tcW w:w="1010" w:type="dxa"/>
            <w:tcBorders>
              <w:top w:val="nil"/>
              <w:left w:val="single" w:sz="4" w:space="0" w:color="auto"/>
              <w:bottom w:val="single" w:sz="4" w:space="0" w:color="auto"/>
              <w:right w:val="nil"/>
            </w:tcBorders>
            <w:shd w:val="clear" w:color="auto" w:fill="auto"/>
            <w:noWrap/>
            <w:vAlign w:val="center"/>
            <w:hideMark/>
          </w:tcPr>
          <w:p w:rsidR="001365C8" w:rsidRPr="00EC1534" w:rsidRDefault="001365C8" w:rsidP="001365C8">
            <w:pPr>
              <w:jc w:val="right"/>
              <w:rPr>
                <w:rFonts w:eastAsia="Times New Roman"/>
                <w:i/>
                <w:iCs/>
              </w:rPr>
            </w:pPr>
            <w:r w:rsidRPr="00EC1534">
              <w:rPr>
                <w:rFonts w:eastAsia="Times New Roman"/>
                <w:i/>
                <w:iCs/>
              </w:rPr>
              <w:t>0,89</w:t>
            </w:r>
          </w:p>
        </w:tc>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1365C8" w:rsidRPr="00EC1534" w:rsidRDefault="001365C8" w:rsidP="001365C8">
            <w:pPr>
              <w:jc w:val="center"/>
              <w:rPr>
                <w:rFonts w:eastAsia="Times New Roman"/>
                <w:color w:val="000000"/>
              </w:rPr>
            </w:pPr>
            <w:r w:rsidRPr="00EC1534">
              <w:rPr>
                <w:rFonts w:eastAsia="Times New Roman"/>
                <w:color w:val="000000"/>
              </w:rPr>
              <w:t>50,23</w:t>
            </w:r>
          </w:p>
        </w:tc>
      </w:tr>
      <w:tr w:rsidR="00874331" w:rsidRPr="00EC1534" w:rsidTr="0004162B">
        <w:trPr>
          <w:trHeight w:val="300"/>
        </w:trPr>
        <w:tc>
          <w:tcPr>
            <w:tcW w:w="2848" w:type="dxa"/>
            <w:tcBorders>
              <w:top w:val="nil"/>
              <w:left w:val="single" w:sz="8" w:space="0" w:color="auto"/>
              <w:bottom w:val="single" w:sz="8" w:space="0" w:color="auto"/>
              <w:right w:val="nil"/>
            </w:tcBorders>
            <w:shd w:val="clear" w:color="000000" w:fill="D0CECE"/>
            <w:noWrap/>
            <w:vAlign w:val="center"/>
            <w:hideMark/>
          </w:tcPr>
          <w:p w:rsidR="001365C8" w:rsidRPr="00EC1534" w:rsidRDefault="001365C8" w:rsidP="00EC1534">
            <w:pPr>
              <w:rPr>
                <w:rFonts w:eastAsia="Times New Roman"/>
                <w:b/>
                <w:bCs/>
                <w:color w:val="000000"/>
              </w:rPr>
            </w:pPr>
            <w:r w:rsidRPr="00EC1534">
              <w:rPr>
                <w:rFonts w:eastAsia="Times New Roman"/>
                <w:b/>
                <w:bCs/>
                <w:color w:val="000000"/>
              </w:rPr>
              <w:lastRenderedPageBreak/>
              <w:t>RAZEM:</w:t>
            </w:r>
          </w:p>
        </w:tc>
        <w:tc>
          <w:tcPr>
            <w:tcW w:w="1285" w:type="dxa"/>
            <w:tcBorders>
              <w:top w:val="nil"/>
              <w:left w:val="single" w:sz="4" w:space="0" w:color="auto"/>
              <w:bottom w:val="single" w:sz="8" w:space="0" w:color="auto"/>
              <w:right w:val="single" w:sz="4" w:space="0" w:color="auto"/>
            </w:tcBorders>
            <w:shd w:val="clear" w:color="000000" w:fill="D0CECE"/>
          </w:tcPr>
          <w:p w:rsidR="001365C8" w:rsidRPr="00EC1534" w:rsidRDefault="001365C8" w:rsidP="001365C8">
            <w:pPr>
              <w:jc w:val="center"/>
              <w:rPr>
                <w:rFonts w:eastAsia="Times New Roman"/>
                <w:b/>
                <w:bCs/>
                <w:color w:val="000000"/>
              </w:rPr>
            </w:pPr>
            <w:r>
              <w:rPr>
                <w:rFonts w:eastAsia="Times New Roman"/>
                <w:b/>
                <w:bCs/>
                <w:color w:val="000000"/>
              </w:rPr>
              <w:t>21,33</w:t>
            </w:r>
          </w:p>
        </w:tc>
        <w:tc>
          <w:tcPr>
            <w:tcW w:w="1118" w:type="dxa"/>
            <w:tcBorders>
              <w:top w:val="nil"/>
              <w:left w:val="single" w:sz="4" w:space="0" w:color="auto"/>
              <w:bottom w:val="single" w:sz="8" w:space="0" w:color="auto"/>
              <w:right w:val="single" w:sz="8" w:space="0" w:color="auto"/>
            </w:tcBorders>
            <w:shd w:val="clear" w:color="000000" w:fill="D0CECE"/>
            <w:noWrap/>
            <w:vAlign w:val="center"/>
            <w:hideMark/>
          </w:tcPr>
          <w:p w:rsidR="001365C8" w:rsidRPr="00EC1534" w:rsidRDefault="001365C8" w:rsidP="00EC1534">
            <w:pPr>
              <w:jc w:val="right"/>
              <w:rPr>
                <w:rFonts w:eastAsia="Times New Roman"/>
                <w:b/>
                <w:bCs/>
                <w:color w:val="000000"/>
              </w:rPr>
            </w:pPr>
            <w:r w:rsidRPr="00EC1534">
              <w:rPr>
                <w:rFonts w:eastAsia="Times New Roman"/>
                <w:b/>
                <w:bCs/>
                <w:color w:val="000000"/>
              </w:rPr>
              <w:t>26,83</w:t>
            </w:r>
          </w:p>
        </w:tc>
        <w:tc>
          <w:tcPr>
            <w:tcW w:w="849" w:type="dxa"/>
            <w:tcBorders>
              <w:top w:val="nil"/>
              <w:left w:val="single" w:sz="4" w:space="0" w:color="auto"/>
              <w:bottom w:val="single" w:sz="8" w:space="0" w:color="auto"/>
              <w:right w:val="single" w:sz="8" w:space="0" w:color="auto"/>
            </w:tcBorders>
            <w:shd w:val="clear" w:color="000000" w:fill="D0CECE"/>
            <w:noWrap/>
            <w:vAlign w:val="center"/>
            <w:hideMark/>
          </w:tcPr>
          <w:p w:rsidR="001365C8" w:rsidRPr="00EC1534" w:rsidRDefault="001365C8" w:rsidP="00EC1534">
            <w:pPr>
              <w:jc w:val="right"/>
              <w:rPr>
                <w:rFonts w:eastAsia="Times New Roman"/>
                <w:b/>
                <w:bCs/>
                <w:color w:val="000000"/>
              </w:rPr>
            </w:pPr>
            <w:r w:rsidRPr="00EC1534">
              <w:rPr>
                <w:rFonts w:eastAsia="Times New Roman"/>
                <w:b/>
                <w:bCs/>
                <w:color w:val="000000"/>
              </w:rPr>
              <w:t>37,75</w:t>
            </w:r>
          </w:p>
        </w:tc>
        <w:tc>
          <w:tcPr>
            <w:tcW w:w="1010" w:type="dxa"/>
            <w:tcBorders>
              <w:top w:val="nil"/>
              <w:left w:val="single" w:sz="4" w:space="0" w:color="auto"/>
              <w:bottom w:val="single" w:sz="8" w:space="0" w:color="auto"/>
              <w:right w:val="nil"/>
            </w:tcBorders>
            <w:shd w:val="clear" w:color="000000" w:fill="D0CECE"/>
            <w:noWrap/>
            <w:vAlign w:val="center"/>
            <w:hideMark/>
          </w:tcPr>
          <w:p w:rsidR="001365C8" w:rsidRPr="00EC1534" w:rsidRDefault="001365C8" w:rsidP="00EC1534">
            <w:pPr>
              <w:jc w:val="right"/>
              <w:rPr>
                <w:rFonts w:eastAsia="Times New Roman"/>
                <w:b/>
                <w:bCs/>
                <w:i/>
                <w:iCs/>
              </w:rPr>
            </w:pPr>
            <w:r w:rsidRPr="00EC1534">
              <w:rPr>
                <w:rFonts w:eastAsia="Times New Roman"/>
                <w:b/>
                <w:bCs/>
                <w:i/>
                <w:iCs/>
              </w:rPr>
              <w:t>10,92</w:t>
            </w:r>
          </w:p>
        </w:tc>
        <w:tc>
          <w:tcPr>
            <w:tcW w:w="2113" w:type="dxa"/>
            <w:tcBorders>
              <w:top w:val="nil"/>
              <w:left w:val="single" w:sz="4" w:space="0" w:color="auto"/>
              <w:bottom w:val="single" w:sz="4" w:space="0" w:color="auto"/>
              <w:right w:val="single" w:sz="4" w:space="0" w:color="auto"/>
            </w:tcBorders>
            <w:shd w:val="clear" w:color="000000" w:fill="D0CECE"/>
            <w:noWrap/>
            <w:vAlign w:val="center"/>
            <w:hideMark/>
          </w:tcPr>
          <w:p w:rsidR="001365C8" w:rsidRPr="00EC1534" w:rsidRDefault="001365C8" w:rsidP="00EC1534">
            <w:pPr>
              <w:jc w:val="center"/>
              <w:rPr>
                <w:rFonts w:eastAsia="Times New Roman"/>
                <w:b/>
                <w:bCs/>
                <w:color w:val="000000"/>
              </w:rPr>
            </w:pPr>
            <w:r w:rsidRPr="00EC1534">
              <w:rPr>
                <w:rFonts w:eastAsia="Times New Roman"/>
                <w:b/>
                <w:bCs/>
                <w:color w:val="000000"/>
              </w:rPr>
              <w:t>616,32</w:t>
            </w:r>
          </w:p>
        </w:tc>
      </w:tr>
    </w:tbl>
    <w:p w:rsidR="00C23EC0" w:rsidRDefault="00646DB1" w:rsidP="00431FB6">
      <w:pPr>
        <w:spacing w:after="160" w:line="259" w:lineRule="auto"/>
        <w:jc w:val="both"/>
        <w:rPr>
          <w:sz w:val="24"/>
          <w:szCs w:val="24"/>
        </w:rPr>
      </w:pPr>
      <w:bookmarkStart w:id="0" w:name="_Hlk126056529"/>
      <w:r w:rsidRPr="008431FD">
        <w:rPr>
          <w:b/>
          <w:bCs/>
          <w:sz w:val="24"/>
          <w:szCs w:val="24"/>
        </w:rPr>
        <w:t xml:space="preserve">Pozycja zmiana stawki </w:t>
      </w:r>
      <w:r w:rsidRPr="00C316FE">
        <w:rPr>
          <w:sz w:val="24"/>
          <w:szCs w:val="24"/>
        </w:rPr>
        <w:t>kalkulowana jest jako różnica wpływów z czynszów uzyskanych w okresie</w:t>
      </w:r>
      <w:r w:rsidR="00431FB6" w:rsidRPr="00C316FE">
        <w:rPr>
          <w:sz w:val="24"/>
          <w:szCs w:val="24"/>
        </w:rPr>
        <w:t xml:space="preserve">, </w:t>
      </w:r>
      <w:r w:rsidR="00FF7B41">
        <w:rPr>
          <w:sz w:val="24"/>
          <w:szCs w:val="24"/>
        </w:rPr>
        <w:br/>
      </w:r>
      <w:r w:rsidR="00431FB6" w:rsidRPr="00C316FE">
        <w:rPr>
          <w:sz w:val="24"/>
          <w:szCs w:val="24"/>
        </w:rPr>
        <w:t xml:space="preserve">w którym obowiązuje stawka czynszu w wysokości przed podwyżką a </w:t>
      </w:r>
      <w:r w:rsidRPr="00C316FE">
        <w:rPr>
          <w:sz w:val="24"/>
          <w:szCs w:val="24"/>
        </w:rPr>
        <w:t xml:space="preserve"> </w:t>
      </w:r>
      <w:r w:rsidR="00C23EC0">
        <w:rPr>
          <w:sz w:val="24"/>
          <w:szCs w:val="24"/>
        </w:rPr>
        <w:t xml:space="preserve">wpływami z podwyższonej stawki czynszu, jakie Spółka powinna osiągnąć w tym okresie, z tytułu wyższych kosztów. Wynika to z rozliczania kosztów w kalkulacji stawki czynszu w okresach 12-miesięcznych – za dany rok kalendarzowy. Zwykle podwyżka stawki czynszu jest wprowadzana od maja, stąd nazwa pozycji w kalkulacji stawki – „Zmiana stawki od V 2023”. </w:t>
      </w:r>
      <w:r w:rsidR="00925081">
        <w:rPr>
          <w:sz w:val="24"/>
          <w:szCs w:val="24"/>
        </w:rPr>
        <w:t xml:space="preserve">W listopadzie 2022 r. Spółka </w:t>
      </w:r>
      <w:r w:rsidR="00C23EC0">
        <w:rPr>
          <w:sz w:val="24"/>
          <w:szCs w:val="24"/>
        </w:rPr>
        <w:t>wprowadzi</w:t>
      </w:r>
      <w:r w:rsidR="00925081">
        <w:rPr>
          <w:sz w:val="24"/>
          <w:szCs w:val="24"/>
        </w:rPr>
        <w:t>ła podwyżkę w zasobie Naj</w:t>
      </w:r>
      <w:r w:rsidR="000F0466">
        <w:rPr>
          <w:sz w:val="24"/>
          <w:szCs w:val="24"/>
        </w:rPr>
        <w:t>e</w:t>
      </w:r>
      <w:r w:rsidR="00925081">
        <w:rPr>
          <w:sz w:val="24"/>
          <w:szCs w:val="24"/>
        </w:rPr>
        <w:t xml:space="preserve">m z Dojściem do Własności w związku </w:t>
      </w:r>
      <w:r w:rsidR="00925081" w:rsidRPr="000763C8">
        <w:rPr>
          <w:sz w:val="24"/>
          <w:szCs w:val="24"/>
        </w:rPr>
        <w:t xml:space="preserve">ze wzrostem oprocentowania kredytu </w:t>
      </w:r>
      <w:r w:rsidR="00925081" w:rsidRPr="00C316FE">
        <w:rPr>
          <w:sz w:val="24"/>
          <w:szCs w:val="24"/>
        </w:rPr>
        <w:br/>
      </w:r>
      <w:r w:rsidR="00925081" w:rsidRPr="000763C8">
        <w:rPr>
          <w:sz w:val="24"/>
          <w:szCs w:val="24"/>
        </w:rPr>
        <w:t xml:space="preserve">z Europejskiego Banku Inwestycyjnego </w:t>
      </w:r>
      <w:r w:rsidR="00925081" w:rsidRPr="00C316FE">
        <w:rPr>
          <w:sz w:val="24"/>
          <w:szCs w:val="24"/>
        </w:rPr>
        <w:t>pożyczki z Miasta Poznań</w:t>
      </w:r>
      <w:r w:rsidR="00925081" w:rsidRPr="000763C8">
        <w:rPr>
          <w:sz w:val="24"/>
          <w:szCs w:val="24"/>
        </w:rPr>
        <w:t>. W</w:t>
      </w:r>
      <w:r w:rsidR="00327275" w:rsidRPr="00327275">
        <w:rPr>
          <w:sz w:val="24"/>
          <w:szCs w:val="24"/>
        </w:rPr>
        <w:t xml:space="preserve"> </w:t>
      </w:r>
      <w:r w:rsidR="00327275" w:rsidRPr="000763C8">
        <w:rPr>
          <w:sz w:val="24"/>
          <w:szCs w:val="24"/>
        </w:rPr>
        <w:t>zakresie kredy</w:t>
      </w:r>
      <w:r w:rsidR="00327275">
        <w:rPr>
          <w:sz w:val="24"/>
          <w:szCs w:val="24"/>
        </w:rPr>
        <w:t xml:space="preserve">tu z EBI </w:t>
      </w:r>
      <w:r w:rsidR="00925081">
        <w:rPr>
          <w:sz w:val="24"/>
          <w:szCs w:val="24"/>
        </w:rPr>
        <w:t>Spółka ponosi</w:t>
      </w:r>
      <w:r w:rsidR="00327275" w:rsidRPr="00327275">
        <w:rPr>
          <w:sz w:val="24"/>
          <w:szCs w:val="24"/>
        </w:rPr>
        <w:t xml:space="preserve"> </w:t>
      </w:r>
      <w:r w:rsidR="00327275">
        <w:rPr>
          <w:sz w:val="24"/>
          <w:szCs w:val="24"/>
        </w:rPr>
        <w:t>w</w:t>
      </w:r>
      <w:r w:rsidR="00327275" w:rsidRPr="000763C8">
        <w:rPr>
          <w:sz w:val="24"/>
          <w:szCs w:val="24"/>
        </w:rPr>
        <w:t xml:space="preserve">yższe koszty od przyjętych w planie rzeczowo-finansowym na rok 2022, </w:t>
      </w:r>
      <w:r w:rsidR="00925081">
        <w:rPr>
          <w:sz w:val="24"/>
          <w:szCs w:val="24"/>
        </w:rPr>
        <w:t xml:space="preserve"> już od czerwca 2022 r. (ze względu na wzrost oprocentowania kredytu po rewizji oprocentowania w czerwcu 2022 r.), a w zakresie pożyczki z Miasta Poznań – od stycznia 2022 r. (ze względu na gwałtowny wzrost WIBOR 3M po opracowaniu planu rzeczowo-finansowego na rok 2022).</w:t>
      </w:r>
    </w:p>
    <w:p w:rsidR="00127CF2" w:rsidRPr="00C62344" w:rsidRDefault="00127CF2" w:rsidP="009700F2">
      <w:pPr>
        <w:pStyle w:val="Akapitzlist"/>
        <w:numPr>
          <w:ilvl w:val="0"/>
          <w:numId w:val="1"/>
        </w:numPr>
        <w:tabs>
          <w:tab w:val="left" w:pos="0"/>
        </w:tabs>
        <w:jc w:val="both"/>
        <w:rPr>
          <w:b/>
          <w:bCs/>
          <w:sz w:val="24"/>
          <w:szCs w:val="24"/>
        </w:rPr>
      </w:pPr>
      <w:r w:rsidRPr="00C62344">
        <w:rPr>
          <w:b/>
          <w:bCs/>
          <w:sz w:val="24"/>
          <w:szCs w:val="24"/>
        </w:rPr>
        <w:t xml:space="preserve">W zakresie odniesienia się do stawki czynszu planowanej w lokalach mieszkalnych powstających w </w:t>
      </w:r>
      <w:bookmarkEnd w:id="0"/>
      <w:r w:rsidRPr="00C62344">
        <w:rPr>
          <w:b/>
          <w:bCs/>
          <w:sz w:val="24"/>
          <w:szCs w:val="24"/>
        </w:rPr>
        <w:t xml:space="preserve">aktualnie realizowanej inwestycji </w:t>
      </w:r>
    </w:p>
    <w:p w:rsidR="00B672E7" w:rsidRPr="00410EA3" w:rsidRDefault="00B672E7" w:rsidP="00CF6A73">
      <w:pPr>
        <w:pStyle w:val="Akapitzlist"/>
        <w:jc w:val="both"/>
        <w:rPr>
          <w:sz w:val="24"/>
          <w:szCs w:val="24"/>
        </w:rPr>
      </w:pPr>
      <w:r w:rsidRPr="00B672E7">
        <w:rPr>
          <w:sz w:val="24"/>
          <w:szCs w:val="24"/>
        </w:rPr>
        <w:t xml:space="preserve">Zarząd PTBS Sp. z o.o. informuje, iż Spółka obecnie </w:t>
      </w:r>
      <w:r w:rsidRPr="00D15ABB">
        <w:rPr>
          <w:sz w:val="24"/>
          <w:szCs w:val="24"/>
        </w:rPr>
        <w:t>nie planuje</w:t>
      </w:r>
      <w:r w:rsidRPr="00B672E7">
        <w:rPr>
          <w:sz w:val="24"/>
          <w:szCs w:val="24"/>
        </w:rPr>
        <w:t xml:space="preserve"> kontynuować programu </w:t>
      </w:r>
      <w:r w:rsidR="005F420D" w:rsidRPr="00410EA3">
        <w:rPr>
          <w:sz w:val="24"/>
          <w:szCs w:val="24"/>
        </w:rPr>
        <w:t xml:space="preserve">Najem z Dojściem do Własności. </w:t>
      </w:r>
      <w:r w:rsidRPr="00410EA3">
        <w:rPr>
          <w:sz w:val="24"/>
          <w:szCs w:val="24"/>
        </w:rPr>
        <w:t xml:space="preserve">Ostatnią inwestycją zrealizowaną przez PTBS Sp. z o.o. w ramach </w:t>
      </w:r>
      <w:r w:rsidR="005F420D" w:rsidRPr="00410EA3">
        <w:rPr>
          <w:sz w:val="24"/>
          <w:szCs w:val="24"/>
        </w:rPr>
        <w:t>ww</w:t>
      </w:r>
      <w:r w:rsidR="00EB1A89" w:rsidRPr="00410EA3">
        <w:rPr>
          <w:sz w:val="24"/>
          <w:szCs w:val="24"/>
        </w:rPr>
        <w:t>.</w:t>
      </w:r>
      <w:r w:rsidR="005F420D" w:rsidRPr="00410EA3">
        <w:rPr>
          <w:sz w:val="24"/>
          <w:szCs w:val="24"/>
        </w:rPr>
        <w:t xml:space="preserve"> programu </w:t>
      </w:r>
      <w:r w:rsidRPr="00410EA3">
        <w:rPr>
          <w:sz w:val="24"/>
          <w:szCs w:val="24"/>
        </w:rPr>
        <w:t xml:space="preserve">było osiedle </w:t>
      </w:r>
      <w:r w:rsidR="003F5E5F" w:rsidRPr="00410EA3">
        <w:rPr>
          <w:sz w:val="24"/>
          <w:szCs w:val="24"/>
        </w:rPr>
        <w:t xml:space="preserve">mieszkaniowe </w:t>
      </w:r>
      <w:r w:rsidRPr="00410EA3">
        <w:rPr>
          <w:sz w:val="24"/>
          <w:szCs w:val="24"/>
        </w:rPr>
        <w:t xml:space="preserve">zlokalizowane przy ul. </w:t>
      </w:r>
      <w:r w:rsidR="00EB1A89" w:rsidRPr="00410EA3">
        <w:rPr>
          <w:sz w:val="24"/>
          <w:szCs w:val="24"/>
        </w:rPr>
        <w:t>M. Cegłowskiej</w:t>
      </w:r>
      <w:r w:rsidRPr="00410EA3">
        <w:rPr>
          <w:sz w:val="24"/>
          <w:szCs w:val="24"/>
        </w:rPr>
        <w:t xml:space="preserve"> (pole inwestycyjne </w:t>
      </w:r>
      <w:r w:rsidR="00EB1A89" w:rsidRPr="00410EA3">
        <w:rPr>
          <w:sz w:val="24"/>
          <w:szCs w:val="24"/>
        </w:rPr>
        <w:t>4</w:t>
      </w:r>
      <w:r w:rsidRPr="00410EA3">
        <w:rPr>
          <w:sz w:val="24"/>
          <w:szCs w:val="24"/>
        </w:rPr>
        <w:t>MW).</w:t>
      </w:r>
    </w:p>
    <w:p w:rsidR="00B672E7" w:rsidRPr="00410EA3" w:rsidRDefault="00B672E7" w:rsidP="00D15ABB">
      <w:pPr>
        <w:pStyle w:val="Akapitzlist"/>
        <w:jc w:val="both"/>
        <w:rPr>
          <w:sz w:val="24"/>
          <w:szCs w:val="24"/>
        </w:rPr>
      </w:pPr>
      <w:r w:rsidRPr="00410EA3">
        <w:rPr>
          <w:sz w:val="24"/>
          <w:szCs w:val="24"/>
        </w:rPr>
        <w:t>Kolejne inwestycje planowane przez Spółkę realizowane będą w ramach nowego programu mieszkaniowego Miasta Poznania „</w:t>
      </w:r>
      <w:proofErr w:type="spellStart"/>
      <w:r w:rsidRPr="00410EA3">
        <w:rPr>
          <w:sz w:val="24"/>
          <w:szCs w:val="24"/>
        </w:rPr>
        <w:t>POZnań</w:t>
      </w:r>
      <w:proofErr w:type="spellEnd"/>
      <w:r w:rsidRPr="00410EA3">
        <w:rPr>
          <w:sz w:val="24"/>
          <w:szCs w:val="24"/>
        </w:rPr>
        <w:t xml:space="preserve"> – i zamieszkaj” przyjętego Uchwałą nr XLII/736/VIII/2021 Rady Miasta Poznania z dnia 16 lutego 2021 r. </w:t>
      </w:r>
    </w:p>
    <w:p w:rsidR="00B672E7" w:rsidRPr="00B672E7" w:rsidRDefault="00B672E7" w:rsidP="00D15ABB">
      <w:pPr>
        <w:pStyle w:val="Akapitzlist"/>
        <w:keepNext/>
        <w:jc w:val="both"/>
        <w:rPr>
          <w:bCs/>
          <w:sz w:val="24"/>
          <w:szCs w:val="24"/>
        </w:rPr>
      </w:pPr>
      <w:r w:rsidRPr="00410EA3">
        <w:rPr>
          <w:sz w:val="24"/>
          <w:szCs w:val="24"/>
        </w:rPr>
        <w:t xml:space="preserve">Działając za pośrednictwem PTBS Sp. z o.o.  </w:t>
      </w:r>
      <w:r w:rsidRPr="00410EA3">
        <w:rPr>
          <w:sz w:val="24"/>
          <w:szCs w:val="24"/>
          <w:u w:val="single"/>
        </w:rPr>
        <w:t>Miasto Poznań realiz</w:t>
      </w:r>
      <w:r w:rsidR="00C631F6" w:rsidRPr="00410EA3">
        <w:rPr>
          <w:sz w:val="24"/>
          <w:szCs w:val="24"/>
          <w:u w:val="single"/>
        </w:rPr>
        <w:t>uje</w:t>
      </w:r>
      <w:r w:rsidRPr="00410EA3">
        <w:rPr>
          <w:sz w:val="24"/>
          <w:szCs w:val="24"/>
          <w:u w:val="single"/>
        </w:rPr>
        <w:t xml:space="preserve"> inwestycj</w:t>
      </w:r>
      <w:r w:rsidR="00C631F6" w:rsidRPr="00410EA3">
        <w:rPr>
          <w:sz w:val="24"/>
          <w:szCs w:val="24"/>
          <w:u w:val="single"/>
        </w:rPr>
        <w:t>ę</w:t>
      </w:r>
      <w:r w:rsidRPr="00410EA3">
        <w:rPr>
          <w:sz w:val="24"/>
          <w:szCs w:val="24"/>
          <w:u w:val="single"/>
        </w:rPr>
        <w:t xml:space="preserve"> budownictwa mieszkaniowego w systemie towarzystwa budownictwa społecznego</w:t>
      </w:r>
      <w:r w:rsidRPr="00410EA3">
        <w:rPr>
          <w:sz w:val="24"/>
          <w:szCs w:val="24"/>
        </w:rPr>
        <w:t xml:space="preserve">, z wykorzystaniem finansowania zwrotnego z Banku </w:t>
      </w:r>
      <w:r w:rsidR="00011AB6" w:rsidRPr="00410EA3">
        <w:rPr>
          <w:sz w:val="24"/>
          <w:szCs w:val="24"/>
        </w:rPr>
        <w:t>G</w:t>
      </w:r>
      <w:r w:rsidRPr="00410EA3">
        <w:rPr>
          <w:sz w:val="24"/>
          <w:szCs w:val="24"/>
        </w:rPr>
        <w:t xml:space="preserve">ospodarstwa Krajowego lub innego kredytu udzielonego przez instytucję finansową oraz </w:t>
      </w:r>
      <w:r w:rsidR="00194CF4" w:rsidRPr="00410EA3">
        <w:rPr>
          <w:sz w:val="24"/>
          <w:szCs w:val="24"/>
        </w:rPr>
        <w:t xml:space="preserve">bezzwrotnego wsparcia finansowego na tworzenie lokali na wynajem o ograniczonym czynszu, </w:t>
      </w:r>
      <w:r w:rsidRPr="00410EA3">
        <w:rPr>
          <w:sz w:val="24"/>
          <w:szCs w:val="24"/>
        </w:rPr>
        <w:t>przyznanego Miastu z Funduszu Dopłat</w:t>
      </w:r>
      <w:r w:rsidR="00194CF4" w:rsidRPr="00410EA3">
        <w:rPr>
          <w:sz w:val="24"/>
          <w:szCs w:val="24"/>
        </w:rPr>
        <w:t xml:space="preserve"> i z Rządowego Funduszu Rozwoju Mieszkalnictwa</w:t>
      </w:r>
      <w:r w:rsidRPr="00410EA3">
        <w:rPr>
          <w:sz w:val="24"/>
          <w:szCs w:val="24"/>
        </w:rPr>
        <w:t>. Powstałe lokale, w ramach programu „</w:t>
      </w:r>
      <w:proofErr w:type="spellStart"/>
      <w:r w:rsidRPr="00410EA3">
        <w:rPr>
          <w:sz w:val="24"/>
          <w:szCs w:val="24"/>
        </w:rPr>
        <w:t>POZnań</w:t>
      </w:r>
      <w:proofErr w:type="spellEnd"/>
      <w:r w:rsidRPr="00410EA3">
        <w:rPr>
          <w:sz w:val="24"/>
          <w:szCs w:val="24"/>
        </w:rPr>
        <w:t xml:space="preserve"> -  będą stanowić atrakcyjną ofertę mieszkań na wynajem, przy możliwie niskim zaangażowaniu przez przyszłych najemców własnych środków na partycypację</w:t>
      </w:r>
      <w:r w:rsidRPr="00B672E7">
        <w:rPr>
          <w:sz w:val="24"/>
          <w:szCs w:val="24"/>
        </w:rPr>
        <w:t xml:space="preserve"> w kosztach budowy lokalu mieszkalnego wraz z infrastrukturą towarzyszącą, z jednoczesną możliwością wystąpienia o dopłatę do czynszu w pierwszych latach najmu, na podstawie ustawy z dnia 20 lipca 2018 r. o pomocy państwa w ponoszeniu wydatków mieszkaniowych w pierwszych latach najmu mieszkania. Oferta Miasta Poznania skierowana jest do poznańskich rodzin i osób, które chcą rodzinę założyć, bądź myślą o jej rozwoju, a brak mieszkania znacznie ogranicza te starania. </w:t>
      </w:r>
      <w:r w:rsidRPr="00B672E7">
        <w:rPr>
          <w:bCs/>
          <w:sz w:val="24"/>
          <w:szCs w:val="24"/>
        </w:rPr>
        <w:t xml:space="preserve">Do programu zaprasza się również te osoby, które nie mieszkają w Poznaniu, lecz planują swoją przyszłość związać z Poznaniem. Miasto, chcąc wykorzystać wszystkie możliwości udzielenia wsparcia mieszkaniowego, określa zasady przeprowadzania naboru wniosków o zawarcie umowy najmu lokali mieszkalnych w </w:t>
      </w:r>
      <w:r w:rsidRPr="00B672E7">
        <w:rPr>
          <w:bCs/>
          <w:sz w:val="24"/>
          <w:szCs w:val="24"/>
        </w:rPr>
        <w:lastRenderedPageBreak/>
        <w:t>ramach programu „</w:t>
      </w:r>
      <w:proofErr w:type="spellStart"/>
      <w:r w:rsidRPr="00B672E7">
        <w:rPr>
          <w:bCs/>
          <w:sz w:val="24"/>
          <w:szCs w:val="24"/>
        </w:rPr>
        <w:t>POZnań</w:t>
      </w:r>
      <w:proofErr w:type="spellEnd"/>
      <w:r w:rsidRPr="00B672E7">
        <w:rPr>
          <w:bCs/>
          <w:sz w:val="24"/>
          <w:szCs w:val="24"/>
        </w:rPr>
        <w:t xml:space="preserve"> – i zamieszkaj”, wykorzystując jednocześnie stworzoną ustawowo możliwość, aby przyszli najemcy lokali skorzystali z systemu dopłat do czynszu w pierwszych latach najmu lokali, co znacząco wpłynie na zmniejszenie kosztów ich utrzymania. </w:t>
      </w:r>
    </w:p>
    <w:p w:rsidR="00B672E7" w:rsidRPr="00B672E7" w:rsidRDefault="00B672E7" w:rsidP="00D15ABB">
      <w:pPr>
        <w:pStyle w:val="Akapitzlist"/>
        <w:jc w:val="both"/>
        <w:rPr>
          <w:color w:val="000000"/>
          <w:sz w:val="24"/>
          <w:szCs w:val="24"/>
        </w:rPr>
      </w:pPr>
      <w:r w:rsidRPr="00B672E7">
        <w:rPr>
          <w:sz w:val="24"/>
          <w:szCs w:val="24"/>
        </w:rPr>
        <w:t xml:space="preserve">Poza przytoczoną wyżej uchwałą nr XLII/736/VIII/2021 Rada Miasta Poznania podjęła uchwałę nr XLII/737/VIII/2021 z dnia 16 lutego 2021 r. w sprawie powierzenia spółce Poznańskie Towarzystwo Budownictwa Społecznego sp. z o.o. </w:t>
      </w:r>
      <w:r w:rsidRPr="00B672E7">
        <w:rPr>
          <w:bCs/>
          <w:sz w:val="24"/>
          <w:szCs w:val="24"/>
        </w:rPr>
        <w:t>realizacji programu mieszkaniowego "</w:t>
      </w:r>
      <w:proofErr w:type="spellStart"/>
      <w:r w:rsidRPr="00B672E7">
        <w:rPr>
          <w:bCs/>
          <w:sz w:val="24"/>
          <w:szCs w:val="24"/>
        </w:rPr>
        <w:t>POZnań</w:t>
      </w:r>
      <w:proofErr w:type="spellEnd"/>
      <w:r w:rsidRPr="00B672E7">
        <w:rPr>
          <w:bCs/>
          <w:sz w:val="24"/>
          <w:szCs w:val="24"/>
        </w:rPr>
        <w:t xml:space="preserve"> – i zamieszkaj" jako usługi świadczonej w ogólnym interesie gospodarczym. Zgodnie z treścią uchwały </w:t>
      </w:r>
      <w:r w:rsidRPr="00B672E7">
        <w:rPr>
          <w:color w:val="000000"/>
          <w:sz w:val="24"/>
          <w:szCs w:val="24"/>
        </w:rPr>
        <w:t>Miasto Poznań powierza spółce Poznańskie Towarzystwo Budownictwa Społecznego sp. z o.o. realizację programu mieszkaniowego „</w:t>
      </w:r>
      <w:proofErr w:type="spellStart"/>
      <w:r w:rsidRPr="00B672E7">
        <w:rPr>
          <w:color w:val="000000"/>
          <w:sz w:val="24"/>
          <w:szCs w:val="24"/>
        </w:rPr>
        <w:t>POZnań</w:t>
      </w:r>
      <w:proofErr w:type="spellEnd"/>
      <w:r w:rsidRPr="00B672E7">
        <w:rPr>
          <w:color w:val="000000"/>
          <w:sz w:val="24"/>
          <w:szCs w:val="24"/>
        </w:rPr>
        <w:t xml:space="preserve"> – i zamieszkaj” (zwanym dalej Programem mieszkaniowym), przyjętego uchwałą Nr XLII/736/VIII/2021 Rady Miasta Poznania z dnia 16 lutego 2021 r., jako usługę świadczoną w ogólnym interesie gospodarczym, polegającą na wykonaniu inwestycji w zakresie budownictwa mieszkaniowego na wynajem o ograniczonym czynszu, we wskazanych przez Miasto Poznań lokalizacjach. W okresie realizacji Programu mieszkaniowego Miasto Poznań będzie uprawnione do wskazywania spółce Poznańskie Towarzystwo Budownictwa Społecznego sp. z o.o. osób, które będą </w:t>
      </w:r>
      <w:proofErr w:type="spellStart"/>
      <w:r w:rsidRPr="00B672E7">
        <w:rPr>
          <w:color w:val="000000"/>
          <w:sz w:val="24"/>
          <w:szCs w:val="24"/>
        </w:rPr>
        <w:t>partycypantami</w:t>
      </w:r>
      <w:proofErr w:type="spellEnd"/>
      <w:r w:rsidRPr="00B672E7">
        <w:rPr>
          <w:color w:val="000000"/>
          <w:sz w:val="24"/>
          <w:szCs w:val="24"/>
        </w:rPr>
        <w:t xml:space="preserve"> i najemcami lokali mieszkalnych, które powstaną w ramach Programu mieszkaniowego. Spółka będzie zobowiązana do zawierania ze wskazanymi przez Miasto Poznań najemcami umów najmu na czas określony, nie krótszy niż 5 lat. Otrzymane przez Poznańskie Towarzystwo Budownictwa Społecznego sp. z o.o., z tytułu realizacji Programu mieszkaniowego, wsparcie od Miasta Poznania i innych podmiotów publicznych stanowi rekompensatę z tytułu świadczenia usług publicznych w rozumieniu przepisów prawa Unii Europejskiej, dotyczących pomocy publicznej z tytułu świadczenia usług w ogólnym interesie gospodarczym i podlega rozliczeniu na zasadach wynikających z decyzji Komisji, o której mowa w § 2 ust. 2.</w:t>
      </w:r>
    </w:p>
    <w:p w:rsidR="00B672E7" w:rsidRPr="00B672E7" w:rsidRDefault="00B672E7" w:rsidP="00D15ABB">
      <w:pPr>
        <w:pStyle w:val="Akapitzlist"/>
        <w:jc w:val="both"/>
        <w:rPr>
          <w:sz w:val="24"/>
          <w:szCs w:val="24"/>
        </w:rPr>
      </w:pPr>
      <w:r w:rsidRPr="00B672E7">
        <w:rPr>
          <w:bCs/>
          <w:sz w:val="24"/>
          <w:szCs w:val="24"/>
        </w:rPr>
        <w:t>Podsumowując, nowy program realizowany przez Miasto Poznań „</w:t>
      </w:r>
      <w:proofErr w:type="spellStart"/>
      <w:r w:rsidRPr="00B672E7">
        <w:rPr>
          <w:bCs/>
          <w:sz w:val="24"/>
          <w:szCs w:val="24"/>
        </w:rPr>
        <w:t>POZnań</w:t>
      </w:r>
      <w:proofErr w:type="spellEnd"/>
      <w:r w:rsidRPr="00B672E7">
        <w:rPr>
          <w:bCs/>
          <w:sz w:val="24"/>
          <w:szCs w:val="24"/>
        </w:rPr>
        <w:t xml:space="preserve"> – i zamieszkaj” oparty jest na zasadniczo odmiennych fundamentach w zakresie finansowania inwestycji (granty z Funduszu Dopłat, granty z Rządowego Funduszu Rozwoju Mieszkalnictwa, finansowanie zwrotne z BGK w postaci kredytu SBC, 20% wkład najemcy tzw. partycypacja, </w:t>
      </w:r>
      <w:r w:rsidR="00D6691A">
        <w:rPr>
          <w:bCs/>
          <w:sz w:val="24"/>
          <w:szCs w:val="24"/>
        </w:rPr>
        <w:t xml:space="preserve">w kosztach budowy </w:t>
      </w:r>
      <w:r w:rsidRPr="00B672E7">
        <w:rPr>
          <w:bCs/>
          <w:sz w:val="24"/>
          <w:szCs w:val="24"/>
        </w:rPr>
        <w:t>lokalu oraz środki własne Spółki), skierowany jest również do innej grupy osób niż zakończony program „Najem z dojściem do własności”. Wobec powyższego bezzasadnym jest porównywanie stawek czynszu obowiązujących w zasobach wybudowanych w ramach programu „Najem z dojściem do własności” z </w:t>
      </w:r>
      <w:r w:rsidRPr="00B672E7">
        <w:rPr>
          <w:bCs/>
          <w:sz w:val="24"/>
          <w:szCs w:val="24"/>
          <w:u w:val="single"/>
        </w:rPr>
        <w:t>planowanymi</w:t>
      </w:r>
      <w:r w:rsidRPr="00B672E7">
        <w:rPr>
          <w:bCs/>
          <w:sz w:val="24"/>
          <w:szCs w:val="24"/>
        </w:rPr>
        <w:t xml:space="preserve"> stawkami czynszu, przewidywanymi w zasobach mieszkaniowych, które powstaną w ramach programu „</w:t>
      </w:r>
      <w:proofErr w:type="spellStart"/>
      <w:r w:rsidRPr="00B672E7">
        <w:rPr>
          <w:bCs/>
          <w:sz w:val="24"/>
          <w:szCs w:val="24"/>
        </w:rPr>
        <w:t>POZnań</w:t>
      </w:r>
      <w:proofErr w:type="spellEnd"/>
      <w:r w:rsidRPr="00B672E7">
        <w:rPr>
          <w:bCs/>
          <w:sz w:val="24"/>
          <w:szCs w:val="24"/>
        </w:rPr>
        <w:t xml:space="preserve"> – i zamieszkaj”. Z kolei program „Najem z dojściem do własności” skierowany jest do osób</w:t>
      </w:r>
      <w:r w:rsidRPr="00B672E7">
        <w:rPr>
          <w:sz w:val="24"/>
          <w:szCs w:val="24"/>
        </w:rPr>
        <w:t xml:space="preserve">, które w ramach czynszu spłacają w ratach kapitał i odsetki kredytu zaciągniętego na budowę lokali mieszkalnych, co jest równoznaczne z wykupem lokalu mieszkalnego na raty. W zasobie tym kalkulacja stawki czynszu jest dokonywana zgodnie z zasadą, że suma czynszów za najem wszystkich lokali eksploatowanych przez Spółkę w ramach tego zasobu w danej lokalizacji pozwala na pokrycie kosztów eksploatacji i remontów budynków oraz spłatę zobowiązań Spółki </w:t>
      </w:r>
      <w:r w:rsidRPr="00B672E7">
        <w:rPr>
          <w:sz w:val="24"/>
          <w:szCs w:val="24"/>
        </w:rPr>
        <w:lastRenderedPageBreak/>
        <w:t>związanych z budową. W ramach zasobu Najem z Dojściem do Własności wybudowanych zostało 491 lokali mieszkalnych, co stanowi 14,9% całego zasobu Spółki.  W przypadku programu komercyjnego, jakim jest Najem z Dojściem do Własności, przy ustalaniu wysokości stawki czynszu nie obowiązują reżimy wynikające z ustawy o TBS, tj. ograniczenie w ustaleniu wysokości czynszu w skali roku do 4% wartości odtworzeniowej lokalu. Spółka z uwagi na szczególny, komercyjny charakter tego  programu, gdzie po upływie 5 lat licząc od dnia zawarcia umowy najmu najemcy mogą stać się właścicielami tych lokali, musi przestrzegać reżimów związanych z wydatkowaniem środków publicznych na cele komercyjne.</w:t>
      </w:r>
    </w:p>
    <w:p w:rsidR="005B7F27" w:rsidRPr="005B7F27" w:rsidRDefault="005B7F27" w:rsidP="005B7F27">
      <w:pPr>
        <w:pStyle w:val="Akapitzlist"/>
        <w:rPr>
          <w:sz w:val="24"/>
          <w:szCs w:val="24"/>
        </w:rPr>
      </w:pPr>
    </w:p>
    <w:p w:rsidR="005B7F27" w:rsidRPr="005B7F27" w:rsidRDefault="005B7F27" w:rsidP="005B7F27">
      <w:pPr>
        <w:pStyle w:val="Akapitzlist"/>
        <w:tabs>
          <w:tab w:val="left" w:pos="0"/>
        </w:tabs>
        <w:jc w:val="both"/>
        <w:rPr>
          <w:sz w:val="24"/>
          <w:szCs w:val="24"/>
        </w:rPr>
      </w:pPr>
    </w:p>
    <w:p w:rsidR="00327275" w:rsidRDefault="00DA2EDD" w:rsidP="009700F2">
      <w:pPr>
        <w:pStyle w:val="Akapitzlist"/>
        <w:numPr>
          <w:ilvl w:val="0"/>
          <w:numId w:val="1"/>
        </w:numPr>
        <w:tabs>
          <w:tab w:val="left" w:pos="0"/>
        </w:tabs>
        <w:jc w:val="both"/>
        <w:rPr>
          <w:sz w:val="24"/>
          <w:szCs w:val="24"/>
        </w:rPr>
      </w:pPr>
      <w:r w:rsidRPr="005B7F27">
        <w:rPr>
          <w:sz w:val="24"/>
          <w:szCs w:val="24"/>
        </w:rPr>
        <w:t xml:space="preserve">W zakresie szczegółowego przedstawienia </w:t>
      </w:r>
      <w:r w:rsidR="005B2B69" w:rsidRPr="005B7F27">
        <w:rPr>
          <w:sz w:val="24"/>
          <w:szCs w:val="24"/>
        </w:rPr>
        <w:t xml:space="preserve">warunków umów z instytucjami bankowymi </w:t>
      </w:r>
      <w:r w:rsidR="00EF5D58">
        <w:rPr>
          <w:sz w:val="24"/>
          <w:szCs w:val="24"/>
        </w:rPr>
        <w:br/>
      </w:r>
      <w:r w:rsidR="005B2B69" w:rsidRPr="005B7F27">
        <w:rPr>
          <w:sz w:val="24"/>
          <w:szCs w:val="24"/>
        </w:rPr>
        <w:t xml:space="preserve">i Miastem Poznań na sfinansowanie I etapu programu „Najem z dojściem do własności”, a w szczególności, na ile lat, z jakim oprocentowaniem itp. </w:t>
      </w:r>
    </w:p>
    <w:p w:rsidR="005B2B69" w:rsidRDefault="005B2B69" w:rsidP="00C316FE">
      <w:pPr>
        <w:pStyle w:val="Akapitzlist"/>
        <w:tabs>
          <w:tab w:val="left" w:pos="0"/>
        </w:tabs>
        <w:jc w:val="both"/>
        <w:rPr>
          <w:sz w:val="24"/>
          <w:szCs w:val="24"/>
        </w:rPr>
      </w:pPr>
    </w:p>
    <w:p w:rsidR="00EB7042" w:rsidRPr="001901C3" w:rsidRDefault="00EB7042" w:rsidP="00EB7042">
      <w:pPr>
        <w:spacing w:line="360" w:lineRule="auto"/>
        <w:jc w:val="both"/>
        <w:rPr>
          <w:bCs/>
          <w:sz w:val="24"/>
          <w:szCs w:val="24"/>
        </w:rPr>
      </w:pPr>
      <w:r>
        <w:rPr>
          <w:sz w:val="24"/>
          <w:szCs w:val="24"/>
        </w:rPr>
        <w:tab/>
      </w:r>
      <w:r w:rsidRPr="001901C3">
        <w:rPr>
          <w:bCs/>
          <w:sz w:val="24"/>
          <w:szCs w:val="24"/>
        </w:rPr>
        <w:t>Zarząd Spółki przedstawia poniżej następujące informacje:</w:t>
      </w:r>
    </w:p>
    <w:p w:rsidR="00EB7042" w:rsidRPr="001901C3" w:rsidRDefault="00EB7042" w:rsidP="007D6CBF">
      <w:pPr>
        <w:pStyle w:val="Akapitzlist"/>
        <w:numPr>
          <w:ilvl w:val="0"/>
          <w:numId w:val="11"/>
        </w:numPr>
        <w:spacing w:after="160" w:line="360" w:lineRule="auto"/>
        <w:jc w:val="both"/>
        <w:rPr>
          <w:bCs/>
          <w:sz w:val="24"/>
          <w:szCs w:val="24"/>
        </w:rPr>
      </w:pPr>
      <w:r w:rsidRPr="001901C3">
        <w:rPr>
          <w:bCs/>
          <w:sz w:val="24"/>
          <w:szCs w:val="24"/>
        </w:rPr>
        <w:t>Kredyt z EBI</w:t>
      </w:r>
    </w:p>
    <w:p w:rsidR="00E26172" w:rsidRDefault="00E26172" w:rsidP="00F72CD3">
      <w:pPr>
        <w:pStyle w:val="NormalnyWeb"/>
        <w:ind w:left="709" w:hanging="1"/>
        <w:jc w:val="both"/>
        <w:rPr>
          <w:rFonts w:eastAsia="Times New Roman"/>
          <w:sz w:val="24"/>
          <w:szCs w:val="24"/>
        </w:rPr>
      </w:pPr>
      <w:bookmarkStart w:id="1" w:name="_Hlk126066712"/>
      <w:r w:rsidRPr="00E54C2A">
        <w:rPr>
          <w:rFonts w:eastAsia="Times New Roman"/>
          <w:sz w:val="24"/>
          <w:szCs w:val="24"/>
        </w:rPr>
        <w:t xml:space="preserve">Spółka wyjaśnia, iż </w:t>
      </w:r>
      <w:r>
        <w:rPr>
          <w:rFonts w:eastAsia="Times New Roman"/>
          <w:sz w:val="24"/>
          <w:szCs w:val="24"/>
        </w:rPr>
        <w:t>u</w:t>
      </w:r>
      <w:r w:rsidRPr="00C6430E">
        <w:rPr>
          <w:rFonts w:eastAsia="Times New Roman"/>
          <w:sz w:val="24"/>
          <w:szCs w:val="24"/>
        </w:rPr>
        <w:t xml:space="preserve">mowa </w:t>
      </w:r>
      <w:r>
        <w:rPr>
          <w:rFonts w:eastAsia="Times New Roman"/>
          <w:sz w:val="24"/>
          <w:szCs w:val="24"/>
        </w:rPr>
        <w:t>f</w:t>
      </w:r>
      <w:r w:rsidRPr="00C6430E">
        <w:rPr>
          <w:rFonts w:eastAsia="Times New Roman"/>
          <w:sz w:val="24"/>
          <w:szCs w:val="24"/>
        </w:rPr>
        <w:t>inansowa z</w:t>
      </w:r>
      <w:r>
        <w:rPr>
          <w:rFonts w:eastAsia="Times New Roman"/>
          <w:sz w:val="24"/>
          <w:szCs w:val="24"/>
        </w:rPr>
        <w:t>awarta z</w:t>
      </w:r>
      <w:r w:rsidRPr="00E54C2A">
        <w:rPr>
          <w:rFonts w:eastAsia="Times New Roman"/>
          <w:sz w:val="24"/>
          <w:szCs w:val="24"/>
        </w:rPr>
        <w:t xml:space="preserve"> E</w:t>
      </w:r>
      <w:r>
        <w:rPr>
          <w:rFonts w:eastAsia="Times New Roman"/>
          <w:sz w:val="24"/>
          <w:szCs w:val="24"/>
        </w:rPr>
        <w:t xml:space="preserve">uropejskim </w:t>
      </w:r>
      <w:r w:rsidRPr="00E54C2A">
        <w:rPr>
          <w:rFonts w:eastAsia="Times New Roman"/>
          <w:sz w:val="24"/>
          <w:szCs w:val="24"/>
        </w:rPr>
        <w:t>B</w:t>
      </w:r>
      <w:r>
        <w:rPr>
          <w:rFonts w:eastAsia="Times New Roman"/>
          <w:sz w:val="24"/>
          <w:szCs w:val="24"/>
        </w:rPr>
        <w:t xml:space="preserve">ankiem </w:t>
      </w:r>
      <w:r w:rsidRPr="00E54C2A">
        <w:rPr>
          <w:rFonts w:eastAsia="Times New Roman"/>
          <w:sz w:val="24"/>
          <w:szCs w:val="24"/>
        </w:rPr>
        <w:t>I</w:t>
      </w:r>
      <w:r>
        <w:rPr>
          <w:rFonts w:eastAsia="Times New Roman"/>
          <w:sz w:val="24"/>
          <w:szCs w:val="24"/>
        </w:rPr>
        <w:t xml:space="preserve">nwestycyjnym (dalej „EBI”) </w:t>
      </w:r>
      <w:r w:rsidRPr="00E54C2A">
        <w:rPr>
          <w:rFonts w:eastAsia="Times New Roman"/>
          <w:sz w:val="24"/>
          <w:szCs w:val="24"/>
        </w:rPr>
        <w:t>została zawarta</w:t>
      </w:r>
      <w:r>
        <w:rPr>
          <w:rFonts w:eastAsia="Times New Roman"/>
          <w:sz w:val="24"/>
          <w:szCs w:val="24"/>
        </w:rPr>
        <w:t xml:space="preserve"> ze Spółką</w:t>
      </w:r>
      <w:r w:rsidRPr="00E54C2A">
        <w:rPr>
          <w:rFonts w:eastAsia="Times New Roman"/>
          <w:sz w:val="24"/>
          <w:szCs w:val="24"/>
        </w:rPr>
        <w:t xml:space="preserve"> w dn</w:t>
      </w:r>
      <w:r w:rsidR="00E10F96">
        <w:rPr>
          <w:rFonts w:eastAsia="Times New Roman"/>
          <w:sz w:val="24"/>
          <w:szCs w:val="24"/>
        </w:rPr>
        <w:t>iu</w:t>
      </w:r>
      <w:r w:rsidRPr="00E54C2A">
        <w:rPr>
          <w:rFonts w:eastAsia="Times New Roman"/>
          <w:sz w:val="24"/>
          <w:szCs w:val="24"/>
        </w:rPr>
        <w:t xml:space="preserve"> 21 grudnia 2016 r. </w:t>
      </w:r>
      <w:r w:rsidR="00EF5D58">
        <w:rPr>
          <w:rFonts w:eastAsia="Times New Roman"/>
          <w:sz w:val="24"/>
          <w:szCs w:val="24"/>
        </w:rPr>
        <w:t xml:space="preserve">na okres 30 lat. </w:t>
      </w:r>
      <w:r w:rsidR="004563F6">
        <w:rPr>
          <w:rFonts w:eastAsia="Times New Roman"/>
          <w:sz w:val="24"/>
          <w:szCs w:val="24"/>
        </w:rPr>
        <w:t>U</w:t>
      </w:r>
      <w:r>
        <w:rPr>
          <w:rFonts w:eastAsia="Times New Roman"/>
          <w:sz w:val="24"/>
          <w:szCs w:val="24"/>
        </w:rPr>
        <w:t xml:space="preserve">mowa </w:t>
      </w:r>
      <w:r w:rsidR="004563F6">
        <w:rPr>
          <w:rFonts w:eastAsia="Times New Roman"/>
          <w:sz w:val="24"/>
          <w:szCs w:val="24"/>
        </w:rPr>
        <w:t xml:space="preserve">ta </w:t>
      </w:r>
      <w:r>
        <w:rPr>
          <w:rFonts w:eastAsia="Times New Roman"/>
          <w:sz w:val="24"/>
          <w:szCs w:val="24"/>
        </w:rPr>
        <w:t>(dalej</w:t>
      </w:r>
      <w:r w:rsidR="00EF5D58">
        <w:rPr>
          <w:rFonts w:eastAsia="Times New Roman"/>
          <w:sz w:val="24"/>
          <w:szCs w:val="24"/>
        </w:rPr>
        <w:t>:</w:t>
      </w:r>
      <w:r>
        <w:rPr>
          <w:rFonts w:eastAsia="Times New Roman"/>
          <w:sz w:val="24"/>
          <w:szCs w:val="24"/>
        </w:rPr>
        <w:t xml:space="preserve"> „</w:t>
      </w:r>
      <w:r w:rsidRPr="00E54C2A">
        <w:rPr>
          <w:rFonts w:eastAsia="Times New Roman"/>
          <w:sz w:val="24"/>
          <w:szCs w:val="24"/>
        </w:rPr>
        <w:t>Umow</w:t>
      </w:r>
      <w:r>
        <w:rPr>
          <w:rFonts w:eastAsia="Times New Roman"/>
          <w:sz w:val="24"/>
          <w:szCs w:val="24"/>
        </w:rPr>
        <w:t>ą</w:t>
      </w:r>
      <w:r w:rsidRPr="00E54C2A">
        <w:rPr>
          <w:rFonts w:eastAsia="Times New Roman"/>
          <w:sz w:val="24"/>
          <w:szCs w:val="24"/>
        </w:rPr>
        <w:t xml:space="preserve"> Finansow</w:t>
      </w:r>
      <w:r>
        <w:rPr>
          <w:rFonts w:eastAsia="Times New Roman"/>
          <w:sz w:val="24"/>
          <w:szCs w:val="24"/>
        </w:rPr>
        <w:t>ą”)</w:t>
      </w:r>
      <w:r w:rsidRPr="00E54C2A">
        <w:rPr>
          <w:rFonts w:eastAsia="Times New Roman"/>
          <w:sz w:val="24"/>
          <w:szCs w:val="24"/>
        </w:rPr>
        <w:t xml:space="preserve"> nie wskazuje oprocentowania dla całej wartości kredytu. EBI wypłaca na finansowanie </w:t>
      </w:r>
      <w:r>
        <w:rPr>
          <w:rFonts w:eastAsia="Times New Roman"/>
          <w:sz w:val="24"/>
          <w:szCs w:val="24"/>
        </w:rPr>
        <w:t xml:space="preserve">poszczególnych </w:t>
      </w:r>
      <w:r w:rsidRPr="00E54C2A">
        <w:rPr>
          <w:rFonts w:eastAsia="Times New Roman"/>
          <w:sz w:val="24"/>
          <w:szCs w:val="24"/>
        </w:rPr>
        <w:t xml:space="preserve">inwestycji transze w </w:t>
      </w:r>
      <w:r w:rsidR="004563F6">
        <w:rPr>
          <w:rFonts w:eastAsia="Times New Roman"/>
          <w:sz w:val="24"/>
          <w:szCs w:val="24"/>
        </w:rPr>
        <w:t xml:space="preserve">wysokości do 50% kosztów </w:t>
      </w:r>
      <w:r w:rsidRPr="00E54C2A">
        <w:rPr>
          <w:rFonts w:eastAsia="Times New Roman"/>
          <w:sz w:val="24"/>
          <w:szCs w:val="24"/>
        </w:rPr>
        <w:t xml:space="preserve">inwestycji. </w:t>
      </w:r>
      <w:r>
        <w:rPr>
          <w:rFonts w:eastAsia="Times New Roman"/>
          <w:sz w:val="24"/>
          <w:szCs w:val="24"/>
        </w:rPr>
        <w:t xml:space="preserve">Finansowanie inwestycji </w:t>
      </w:r>
      <w:r w:rsidR="004563F6">
        <w:rPr>
          <w:rFonts w:eastAsia="Times New Roman"/>
          <w:sz w:val="24"/>
          <w:szCs w:val="24"/>
        </w:rPr>
        <w:t xml:space="preserve">w ramach Najem z Dojściem do Własności </w:t>
      </w:r>
      <w:r>
        <w:rPr>
          <w:rFonts w:eastAsia="Times New Roman"/>
          <w:sz w:val="24"/>
          <w:szCs w:val="24"/>
        </w:rPr>
        <w:t xml:space="preserve">nastąpiło w ramach jednej transzy. Dla każdej transzy EBI składa Spółce propozycję </w:t>
      </w:r>
      <w:r w:rsidRPr="00E54C2A">
        <w:rPr>
          <w:rFonts w:eastAsia="Times New Roman"/>
          <w:sz w:val="24"/>
          <w:szCs w:val="24"/>
        </w:rPr>
        <w:t>oprocentowani</w:t>
      </w:r>
      <w:r>
        <w:rPr>
          <w:rFonts w:eastAsia="Times New Roman"/>
          <w:sz w:val="24"/>
          <w:szCs w:val="24"/>
        </w:rPr>
        <w:t>a</w:t>
      </w:r>
      <w:r w:rsidRPr="00E54C2A">
        <w:rPr>
          <w:rFonts w:eastAsia="Times New Roman"/>
          <w:sz w:val="24"/>
          <w:szCs w:val="24"/>
        </w:rPr>
        <w:t xml:space="preserve"> danej transzy na wybrany okres, </w:t>
      </w:r>
      <w:r w:rsidRPr="00F72CD3">
        <w:rPr>
          <w:rFonts w:eastAsia="Times New Roman"/>
          <w:sz w:val="24"/>
          <w:szCs w:val="24"/>
        </w:rPr>
        <w:t>planowaną datę weryfikacji/ konwersji</w:t>
      </w:r>
      <w:r w:rsidRPr="00E54C2A">
        <w:rPr>
          <w:rFonts w:eastAsia="Times New Roman"/>
          <w:sz w:val="24"/>
          <w:szCs w:val="24"/>
        </w:rPr>
        <w:t>, do której obowiązywać będzie wskazane oprocentowanie, terminy płatności</w:t>
      </w:r>
      <w:r w:rsidR="004563F6">
        <w:rPr>
          <w:rFonts w:eastAsia="Times New Roman"/>
          <w:sz w:val="24"/>
          <w:szCs w:val="24"/>
        </w:rPr>
        <w:t>.</w:t>
      </w:r>
    </w:p>
    <w:p w:rsidR="002E0FC7" w:rsidRPr="00E54C2A" w:rsidRDefault="002E0FC7" w:rsidP="00F72CD3">
      <w:pPr>
        <w:pStyle w:val="NormalnyWeb"/>
        <w:ind w:left="709" w:hanging="1"/>
        <w:jc w:val="both"/>
        <w:rPr>
          <w:rFonts w:eastAsia="Times New Roman"/>
          <w:sz w:val="24"/>
          <w:szCs w:val="24"/>
        </w:rPr>
      </w:pPr>
      <w:r>
        <w:rPr>
          <w:rFonts w:eastAsia="Times New Roman"/>
          <w:sz w:val="24"/>
          <w:szCs w:val="24"/>
        </w:rPr>
        <w:t>Kredyt z EBI został Spółce udzielony w złotych polskich, stąd oprocentowanie oparte jest o WIBOR.</w:t>
      </w:r>
    </w:p>
    <w:p w:rsidR="00E26172" w:rsidRDefault="00E26172" w:rsidP="00F72CD3">
      <w:pPr>
        <w:pStyle w:val="NormalnyWeb"/>
        <w:ind w:left="708"/>
        <w:jc w:val="both"/>
        <w:rPr>
          <w:bCs/>
          <w:sz w:val="24"/>
          <w:szCs w:val="24"/>
        </w:rPr>
      </w:pPr>
      <w:r w:rsidRPr="00E54C2A">
        <w:rPr>
          <w:rFonts w:eastAsia="Times New Roman"/>
          <w:sz w:val="24"/>
          <w:szCs w:val="24"/>
        </w:rPr>
        <w:t>Finansując budowę nieruchomości</w:t>
      </w:r>
      <w:r w:rsidR="004563F6">
        <w:rPr>
          <w:rFonts w:eastAsia="Times New Roman"/>
          <w:sz w:val="24"/>
          <w:szCs w:val="24"/>
        </w:rPr>
        <w:t xml:space="preserve"> w ramach programu Najem z Dojściem do Własności</w:t>
      </w:r>
      <w:r w:rsidRPr="00E54C2A">
        <w:rPr>
          <w:rFonts w:eastAsia="Times New Roman"/>
          <w:sz w:val="24"/>
          <w:szCs w:val="24"/>
        </w:rPr>
        <w:t>, PTBS zaciągnęło transzę z oprocentowaniem stałym w</w:t>
      </w:r>
      <w:r w:rsidRPr="007C1739">
        <w:rPr>
          <w:rFonts w:eastAsia="Times New Roman"/>
          <w:sz w:val="24"/>
          <w:szCs w:val="24"/>
        </w:rPr>
        <w:t xml:space="preserve"> okresie 4-letnim. Oprocentowanie to wynosiło 2,966% w skali roku, a stawka WIBOR 3M wynosiła na dzień złożenia oferty 1,70%. </w:t>
      </w:r>
      <w:r w:rsidR="004018E3" w:rsidRPr="001901C3">
        <w:rPr>
          <w:bCs/>
          <w:sz w:val="24"/>
          <w:szCs w:val="24"/>
        </w:rPr>
        <w:t xml:space="preserve">Oprocentowanie </w:t>
      </w:r>
      <w:r w:rsidR="00C13BFD">
        <w:rPr>
          <w:bCs/>
          <w:sz w:val="24"/>
          <w:szCs w:val="24"/>
        </w:rPr>
        <w:t xml:space="preserve">to </w:t>
      </w:r>
      <w:r w:rsidR="004018E3" w:rsidRPr="001901C3">
        <w:rPr>
          <w:bCs/>
          <w:sz w:val="24"/>
          <w:szCs w:val="24"/>
        </w:rPr>
        <w:t>podlega</w:t>
      </w:r>
      <w:r w:rsidR="004018E3">
        <w:rPr>
          <w:bCs/>
          <w:sz w:val="24"/>
          <w:szCs w:val="24"/>
        </w:rPr>
        <w:t>ło pierwszej</w:t>
      </w:r>
      <w:r w:rsidR="004018E3" w:rsidRPr="001901C3">
        <w:rPr>
          <w:bCs/>
          <w:sz w:val="24"/>
          <w:szCs w:val="24"/>
        </w:rPr>
        <w:t xml:space="preserve"> rewizji </w:t>
      </w:r>
      <w:r w:rsidR="004018E3">
        <w:rPr>
          <w:bCs/>
          <w:sz w:val="24"/>
          <w:szCs w:val="24"/>
        </w:rPr>
        <w:t xml:space="preserve">po upływie </w:t>
      </w:r>
      <w:r w:rsidR="004018E3" w:rsidRPr="001901C3">
        <w:rPr>
          <w:bCs/>
          <w:sz w:val="24"/>
          <w:szCs w:val="24"/>
        </w:rPr>
        <w:t>4 lat</w:t>
      </w:r>
      <w:r w:rsidR="004018E3">
        <w:rPr>
          <w:bCs/>
          <w:sz w:val="24"/>
          <w:szCs w:val="24"/>
        </w:rPr>
        <w:t>, tj.</w:t>
      </w:r>
      <w:r w:rsidR="004018E3" w:rsidRPr="001901C3">
        <w:rPr>
          <w:bCs/>
          <w:sz w:val="24"/>
          <w:szCs w:val="24"/>
        </w:rPr>
        <w:t xml:space="preserve"> </w:t>
      </w:r>
      <w:r w:rsidRPr="007C1739">
        <w:rPr>
          <w:rFonts w:eastAsia="Times New Roman"/>
          <w:sz w:val="24"/>
          <w:szCs w:val="24"/>
        </w:rPr>
        <w:t xml:space="preserve">15 czerwca </w:t>
      </w:r>
      <w:r w:rsidR="004018E3">
        <w:rPr>
          <w:rFonts w:eastAsia="Times New Roman"/>
          <w:sz w:val="24"/>
          <w:szCs w:val="24"/>
        </w:rPr>
        <w:t xml:space="preserve">2022 </w:t>
      </w:r>
      <w:r w:rsidRPr="007C1739">
        <w:rPr>
          <w:rFonts w:eastAsia="Times New Roman"/>
          <w:sz w:val="24"/>
          <w:szCs w:val="24"/>
        </w:rPr>
        <w:t xml:space="preserve">r. </w:t>
      </w:r>
    </w:p>
    <w:p w:rsidR="00EB7042" w:rsidRPr="001901C3" w:rsidRDefault="00F0229D" w:rsidP="00D15ABB">
      <w:pPr>
        <w:pStyle w:val="Akapitzlist"/>
        <w:jc w:val="both"/>
        <w:rPr>
          <w:bCs/>
          <w:sz w:val="24"/>
          <w:szCs w:val="24"/>
        </w:rPr>
      </w:pPr>
      <w:r>
        <w:rPr>
          <w:bCs/>
          <w:sz w:val="24"/>
          <w:szCs w:val="24"/>
        </w:rPr>
        <w:t>Oprocentowanie kredytu z EBI k</w:t>
      </w:r>
      <w:r w:rsidR="00EB7042" w:rsidRPr="001901C3">
        <w:rPr>
          <w:bCs/>
          <w:sz w:val="24"/>
          <w:szCs w:val="24"/>
        </w:rPr>
        <w:t>ształtowało się następująco w poszczególnych latach od momentu wypłaty I transzy kredytu:</w:t>
      </w:r>
    </w:p>
    <w:p w:rsidR="00EB7042" w:rsidRPr="001901C3" w:rsidRDefault="00EB7042" w:rsidP="00490D3A">
      <w:pPr>
        <w:pStyle w:val="Akapitzlist"/>
        <w:numPr>
          <w:ilvl w:val="0"/>
          <w:numId w:val="12"/>
        </w:numPr>
        <w:jc w:val="both"/>
        <w:rPr>
          <w:bCs/>
          <w:sz w:val="24"/>
          <w:szCs w:val="24"/>
        </w:rPr>
      </w:pPr>
      <w:r w:rsidRPr="001901C3">
        <w:rPr>
          <w:bCs/>
          <w:sz w:val="24"/>
          <w:szCs w:val="24"/>
        </w:rPr>
        <w:t xml:space="preserve">za lata 2018 - 2022: </w:t>
      </w:r>
      <w:r w:rsidRPr="001901C3">
        <w:rPr>
          <w:b/>
          <w:sz w:val="24"/>
          <w:szCs w:val="24"/>
        </w:rPr>
        <w:t>2,9</w:t>
      </w:r>
      <w:r w:rsidR="0057041E">
        <w:rPr>
          <w:b/>
          <w:sz w:val="24"/>
          <w:szCs w:val="24"/>
        </w:rPr>
        <w:t>96</w:t>
      </w:r>
      <w:r w:rsidRPr="001901C3">
        <w:rPr>
          <w:b/>
          <w:sz w:val="24"/>
          <w:szCs w:val="24"/>
        </w:rPr>
        <w:t>% (w tym czasie</w:t>
      </w:r>
      <w:r w:rsidR="0004162B">
        <w:rPr>
          <w:b/>
          <w:sz w:val="24"/>
          <w:szCs w:val="24"/>
        </w:rPr>
        <w:t>, do XI 2022 r.</w:t>
      </w:r>
      <w:r w:rsidRPr="001901C3">
        <w:rPr>
          <w:b/>
          <w:sz w:val="24"/>
          <w:szCs w:val="24"/>
        </w:rPr>
        <w:t xml:space="preserve"> najemcy zasobów </w:t>
      </w:r>
      <w:r w:rsidR="0004162B">
        <w:rPr>
          <w:b/>
          <w:sz w:val="24"/>
          <w:szCs w:val="24"/>
        </w:rPr>
        <w:t xml:space="preserve">I etapu </w:t>
      </w:r>
      <w:r w:rsidRPr="001901C3">
        <w:rPr>
          <w:b/>
          <w:sz w:val="24"/>
          <w:szCs w:val="24"/>
        </w:rPr>
        <w:t>„Najem z dojściem do własności” nie otrzymywali podwyżki stawki czynszu)</w:t>
      </w:r>
      <w:r w:rsidRPr="001901C3">
        <w:rPr>
          <w:bCs/>
          <w:sz w:val="24"/>
          <w:szCs w:val="24"/>
        </w:rPr>
        <w:t>,</w:t>
      </w:r>
    </w:p>
    <w:p w:rsidR="00EB7042" w:rsidRPr="001901C3" w:rsidRDefault="00EB7042" w:rsidP="00490D3A">
      <w:pPr>
        <w:pStyle w:val="Akapitzlist"/>
        <w:numPr>
          <w:ilvl w:val="0"/>
          <w:numId w:val="12"/>
        </w:numPr>
        <w:jc w:val="both"/>
        <w:rPr>
          <w:bCs/>
          <w:sz w:val="24"/>
          <w:szCs w:val="24"/>
        </w:rPr>
      </w:pPr>
      <w:r w:rsidRPr="001901C3">
        <w:rPr>
          <w:bCs/>
          <w:sz w:val="24"/>
          <w:szCs w:val="24"/>
        </w:rPr>
        <w:lastRenderedPageBreak/>
        <w:t xml:space="preserve">w </w:t>
      </w:r>
      <w:r w:rsidR="00881E53">
        <w:rPr>
          <w:bCs/>
          <w:sz w:val="24"/>
          <w:szCs w:val="24"/>
        </w:rPr>
        <w:t xml:space="preserve">czerwcu </w:t>
      </w:r>
      <w:r w:rsidRPr="001901C3">
        <w:rPr>
          <w:bCs/>
          <w:sz w:val="24"/>
          <w:szCs w:val="24"/>
        </w:rPr>
        <w:t xml:space="preserve">2022 </w:t>
      </w:r>
      <w:r w:rsidR="00881E53">
        <w:rPr>
          <w:bCs/>
          <w:sz w:val="24"/>
          <w:szCs w:val="24"/>
        </w:rPr>
        <w:t xml:space="preserve">r. </w:t>
      </w:r>
      <w:r w:rsidRPr="001901C3">
        <w:rPr>
          <w:bCs/>
          <w:sz w:val="24"/>
          <w:szCs w:val="24"/>
        </w:rPr>
        <w:t xml:space="preserve">miała miejsce pierwsza rewizja oprocentowania. Po jej przeprowadzeniu </w:t>
      </w:r>
      <w:r w:rsidR="00881E53">
        <w:rPr>
          <w:bCs/>
          <w:sz w:val="24"/>
          <w:szCs w:val="24"/>
        </w:rPr>
        <w:t xml:space="preserve">oprocentowanie kredytu wzrosło do 6,92% w skali roku, co oznacza, że </w:t>
      </w:r>
      <w:r w:rsidRPr="001901C3">
        <w:rPr>
          <w:bCs/>
          <w:sz w:val="24"/>
          <w:szCs w:val="24"/>
        </w:rPr>
        <w:t xml:space="preserve">średnie oprocentowanie za rok 2022 wyniosło: </w:t>
      </w:r>
      <w:r w:rsidRPr="001901C3">
        <w:rPr>
          <w:b/>
          <w:sz w:val="24"/>
          <w:szCs w:val="24"/>
        </w:rPr>
        <w:t>4,94%</w:t>
      </w:r>
      <w:r w:rsidRPr="001901C3">
        <w:rPr>
          <w:bCs/>
          <w:sz w:val="24"/>
          <w:szCs w:val="24"/>
        </w:rPr>
        <w:t xml:space="preserve">, </w:t>
      </w:r>
    </w:p>
    <w:p w:rsidR="00EB7042" w:rsidRPr="00C73F35" w:rsidRDefault="00EB7042" w:rsidP="00925081">
      <w:pPr>
        <w:pStyle w:val="Akapitzlist"/>
        <w:numPr>
          <w:ilvl w:val="0"/>
          <w:numId w:val="12"/>
        </w:numPr>
        <w:jc w:val="both"/>
        <w:rPr>
          <w:bCs/>
          <w:sz w:val="24"/>
          <w:szCs w:val="24"/>
        </w:rPr>
      </w:pPr>
      <w:r w:rsidRPr="001901C3">
        <w:rPr>
          <w:bCs/>
          <w:sz w:val="24"/>
          <w:szCs w:val="24"/>
        </w:rPr>
        <w:t xml:space="preserve">oprocentowanie po I rewizji na lata 2022-2026: </w:t>
      </w:r>
      <w:r w:rsidRPr="001901C3">
        <w:rPr>
          <w:b/>
          <w:sz w:val="24"/>
          <w:szCs w:val="24"/>
        </w:rPr>
        <w:t>6,92%</w:t>
      </w:r>
      <w:r w:rsidR="00925081">
        <w:rPr>
          <w:bCs/>
          <w:sz w:val="24"/>
          <w:szCs w:val="24"/>
        </w:rPr>
        <w:t xml:space="preserve">; </w:t>
      </w:r>
      <w:bookmarkEnd w:id="1"/>
      <w:r w:rsidRPr="00C73F35">
        <w:rPr>
          <w:bCs/>
          <w:sz w:val="24"/>
          <w:szCs w:val="24"/>
        </w:rPr>
        <w:t xml:space="preserve">Oprocentowanie kredytu po I rewizji wzrosło o </w:t>
      </w:r>
      <w:r w:rsidRPr="00C73F35">
        <w:rPr>
          <w:b/>
          <w:sz w:val="24"/>
          <w:szCs w:val="24"/>
        </w:rPr>
        <w:t>233%.</w:t>
      </w:r>
    </w:p>
    <w:p w:rsidR="00EB7042" w:rsidRPr="00C73F35" w:rsidRDefault="00EB7042" w:rsidP="00C73F35">
      <w:pPr>
        <w:ind w:left="708"/>
        <w:jc w:val="both"/>
        <w:rPr>
          <w:bCs/>
          <w:sz w:val="24"/>
          <w:szCs w:val="24"/>
        </w:rPr>
      </w:pPr>
      <w:r w:rsidRPr="00C73F35">
        <w:rPr>
          <w:bCs/>
          <w:sz w:val="24"/>
          <w:szCs w:val="24"/>
        </w:rPr>
        <w:t>Dla porównania średnie oprocentowanie kredytów hipotecznych udzielanych przez banki na zakup mieszkań na wolnym rynku kształtowało się następująco:</w:t>
      </w:r>
    </w:p>
    <w:p w:rsidR="00EB7042" w:rsidRPr="001901C3" w:rsidRDefault="00EB7042" w:rsidP="0009126D">
      <w:pPr>
        <w:pStyle w:val="Akapitzlist"/>
        <w:numPr>
          <w:ilvl w:val="0"/>
          <w:numId w:val="12"/>
        </w:numPr>
        <w:ind w:left="1434" w:hanging="357"/>
        <w:jc w:val="both"/>
        <w:rPr>
          <w:bCs/>
          <w:sz w:val="24"/>
          <w:szCs w:val="24"/>
        </w:rPr>
      </w:pPr>
      <w:r w:rsidRPr="001901C3">
        <w:rPr>
          <w:bCs/>
          <w:sz w:val="24"/>
          <w:szCs w:val="24"/>
        </w:rPr>
        <w:t xml:space="preserve">w roku 2021: </w:t>
      </w:r>
      <w:r w:rsidRPr="001901C3">
        <w:rPr>
          <w:b/>
          <w:sz w:val="24"/>
          <w:szCs w:val="24"/>
        </w:rPr>
        <w:t>3,06%</w:t>
      </w:r>
      <w:r w:rsidRPr="001901C3">
        <w:rPr>
          <w:bCs/>
          <w:sz w:val="24"/>
          <w:szCs w:val="24"/>
        </w:rPr>
        <w:t>,</w:t>
      </w:r>
    </w:p>
    <w:p w:rsidR="00EB7042" w:rsidRDefault="00EB7042" w:rsidP="0009126D">
      <w:pPr>
        <w:pStyle w:val="Akapitzlist"/>
        <w:numPr>
          <w:ilvl w:val="0"/>
          <w:numId w:val="12"/>
        </w:numPr>
        <w:ind w:left="1434" w:hanging="357"/>
        <w:rPr>
          <w:bCs/>
          <w:sz w:val="24"/>
          <w:szCs w:val="24"/>
        </w:rPr>
      </w:pPr>
      <w:r w:rsidRPr="001901C3">
        <w:rPr>
          <w:bCs/>
          <w:sz w:val="24"/>
          <w:szCs w:val="24"/>
        </w:rPr>
        <w:t xml:space="preserve">w roku 2022: </w:t>
      </w:r>
      <w:r w:rsidRPr="001901C3">
        <w:rPr>
          <w:b/>
          <w:sz w:val="24"/>
          <w:szCs w:val="24"/>
        </w:rPr>
        <w:t>7,61%</w:t>
      </w:r>
      <w:r w:rsidRPr="001901C3">
        <w:rPr>
          <w:bCs/>
          <w:sz w:val="24"/>
          <w:szCs w:val="24"/>
        </w:rPr>
        <w:t>,</w:t>
      </w:r>
      <w:r w:rsidR="00401040">
        <w:rPr>
          <w:bCs/>
          <w:sz w:val="24"/>
          <w:szCs w:val="24"/>
        </w:rPr>
        <w:t xml:space="preserve"> przy czym w momencie rewizji oprocentowania WIBOR 3M wynosił ok. 6,4%, a marża pobierana przez banki przy kredytach hipotecznych wynosiła w 2022 r. od 1,30 % do 3,50% (</w:t>
      </w:r>
      <w:hyperlink r:id="rId7" w:history="1">
        <w:r w:rsidR="00401040" w:rsidRPr="001672CF">
          <w:rPr>
            <w:rStyle w:val="Hipercze"/>
            <w:bCs/>
            <w:sz w:val="24"/>
            <w:szCs w:val="24"/>
          </w:rPr>
          <w:t>https://finanse.rankomat.pl/poradniki/marza-kredytu-hipotecznego/</w:t>
        </w:r>
      </w:hyperlink>
      <w:r w:rsidR="00401040">
        <w:rPr>
          <w:bCs/>
          <w:sz w:val="24"/>
          <w:szCs w:val="24"/>
        </w:rPr>
        <w:t>)</w:t>
      </w:r>
    </w:p>
    <w:p w:rsidR="00EB7042" w:rsidRPr="003C3711" w:rsidRDefault="00EB7042" w:rsidP="00EB7042">
      <w:pPr>
        <w:pStyle w:val="Akapitzlist"/>
        <w:spacing w:line="360" w:lineRule="auto"/>
        <w:jc w:val="both"/>
        <w:rPr>
          <w:bCs/>
          <w:sz w:val="24"/>
          <w:szCs w:val="24"/>
        </w:rPr>
      </w:pPr>
      <w:r w:rsidRPr="001901C3">
        <w:rPr>
          <w:bCs/>
          <w:sz w:val="24"/>
          <w:szCs w:val="24"/>
        </w:rPr>
        <w:t xml:space="preserve">- prognozowane na rok 2023: </w:t>
      </w:r>
      <w:r w:rsidRPr="003C3711">
        <w:rPr>
          <w:bCs/>
          <w:sz w:val="24"/>
          <w:szCs w:val="24"/>
        </w:rPr>
        <w:t>10,30%.</w:t>
      </w:r>
    </w:p>
    <w:p w:rsidR="00EB7042" w:rsidRPr="001901C3" w:rsidRDefault="00EB7042" w:rsidP="00EB7042">
      <w:pPr>
        <w:spacing w:line="360" w:lineRule="auto"/>
        <w:ind w:left="709"/>
        <w:jc w:val="both"/>
        <w:rPr>
          <w:bCs/>
          <w:sz w:val="24"/>
          <w:szCs w:val="24"/>
        </w:rPr>
      </w:pPr>
      <w:r w:rsidRPr="001901C3">
        <w:rPr>
          <w:noProof/>
        </w:rPr>
        <w:drawing>
          <wp:inline distT="0" distB="0" distL="0" distR="0">
            <wp:extent cx="4547870" cy="2415540"/>
            <wp:effectExtent l="0" t="0" r="5080" b="3810"/>
            <wp:docPr id="2" name="Wykres 2">
              <a:extLst xmlns:a="http://schemas.openxmlformats.org/drawingml/2006/main">
                <a:ext uri="{FF2B5EF4-FFF2-40B4-BE49-F238E27FC236}">
                  <a16:creationId xmlns:a16="http://schemas.microsoft.com/office/drawing/2014/main" id="{A7F500AE-E401-48E9-9E83-00CD93045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7042" w:rsidRPr="001901C3" w:rsidRDefault="00EB7042" w:rsidP="00EB7042">
      <w:pPr>
        <w:spacing w:line="360" w:lineRule="auto"/>
        <w:jc w:val="both"/>
        <w:rPr>
          <w:bCs/>
          <w:sz w:val="24"/>
          <w:szCs w:val="24"/>
        </w:rPr>
      </w:pPr>
    </w:p>
    <w:p w:rsidR="00E91B2E" w:rsidRDefault="00EB7042" w:rsidP="007D6CBF">
      <w:pPr>
        <w:pStyle w:val="Akapitzlist"/>
        <w:numPr>
          <w:ilvl w:val="0"/>
          <w:numId w:val="11"/>
        </w:numPr>
        <w:spacing w:after="160"/>
        <w:jc w:val="both"/>
        <w:rPr>
          <w:bCs/>
          <w:sz w:val="24"/>
          <w:szCs w:val="24"/>
        </w:rPr>
      </w:pPr>
      <w:r w:rsidRPr="001901C3">
        <w:rPr>
          <w:bCs/>
          <w:sz w:val="24"/>
          <w:szCs w:val="24"/>
        </w:rPr>
        <w:t xml:space="preserve">Pożyczka z Miasta Poznań. </w:t>
      </w:r>
    </w:p>
    <w:p w:rsidR="005944DD" w:rsidRDefault="00E91B2E" w:rsidP="0019640F">
      <w:pPr>
        <w:pStyle w:val="NormalnyWeb"/>
        <w:ind w:left="1068"/>
        <w:jc w:val="both"/>
        <w:rPr>
          <w:rFonts w:asciiTheme="minorHAnsi" w:hAnsiTheme="minorHAnsi" w:cstheme="minorHAnsi"/>
          <w:sz w:val="24"/>
          <w:szCs w:val="24"/>
        </w:rPr>
      </w:pPr>
      <w:r>
        <w:rPr>
          <w:rFonts w:asciiTheme="minorHAnsi" w:hAnsiTheme="minorHAnsi" w:cstheme="minorHAnsi"/>
          <w:sz w:val="24"/>
          <w:szCs w:val="24"/>
        </w:rPr>
        <w:t>W</w:t>
      </w:r>
      <w:r w:rsidRPr="003A61DD">
        <w:rPr>
          <w:rFonts w:asciiTheme="minorHAnsi" w:hAnsiTheme="minorHAnsi" w:cstheme="minorHAnsi"/>
          <w:sz w:val="24"/>
          <w:szCs w:val="24"/>
        </w:rPr>
        <w:t xml:space="preserve"> dniu 2 lutego 2018 r. </w:t>
      </w:r>
      <w:r>
        <w:rPr>
          <w:rFonts w:asciiTheme="minorHAnsi" w:hAnsiTheme="minorHAnsi" w:cstheme="minorHAnsi"/>
          <w:sz w:val="24"/>
          <w:szCs w:val="24"/>
        </w:rPr>
        <w:t xml:space="preserve">Spółka </w:t>
      </w:r>
      <w:r w:rsidRPr="003A61DD">
        <w:rPr>
          <w:rFonts w:asciiTheme="minorHAnsi" w:hAnsiTheme="minorHAnsi" w:cstheme="minorHAnsi"/>
          <w:sz w:val="24"/>
          <w:szCs w:val="24"/>
        </w:rPr>
        <w:t>zawarł</w:t>
      </w:r>
      <w:r>
        <w:rPr>
          <w:rFonts w:asciiTheme="minorHAnsi" w:hAnsiTheme="minorHAnsi" w:cstheme="minorHAnsi"/>
          <w:sz w:val="24"/>
          <w:szCs w:val="24"/>
        </w:rPr>
        <w:t>a</w:t>
      </w:r>
      <w:r w:rsidRPr="003A61DD">
        <w:rPr>
          <w:rFonts w:asciiTheme="minorHAnsi" w:hAnsiTheme="minorHAnsi" w:cstheme="minorHAnsi"/>
          <w:sz w:val="24"/>
          <w:szCs w:val="24"/>
        </w:rPr>
        <w:t xml:space="preserve"> z Miastem Poznań Porozumienie w sprawie udzielenia pożyczek na dofinansowanie inwestycji w rejonie ul. Koszalińskiej w Poznaniu. Na mocy ww. Porozumienia w dniu 3 lipca 2019 r. Spółk</w:t>
      </w:r>
      <w:r>
        <w:rPr>
          <w:rFonts w:asciiTheme="minorHAnsi" w:hAnsiTheme="minorHAnsi" w:cstheme="minorHAnsi"/>
          <w:sz w:val="24"/>
          <w:szCs w:val="24"/>
        </w:rPr>
        <w:t>a</w:t>
      </w:r>
      <w:r w:rsidRPr="003A61DD">
        <w:rPr>
          <w:rFonts w:asciiTheme="minorHAnsi" w:hAnsiTheme="minorHAnsi" w:cstheme="minorHAnsi"/>
          <w:sz w:val="24"/>
          <w:szCs w:val="24"/>
        </w:rPr>
        <w:t xml:space="preserve"> zawarł</w:t>
      </w:r>
      <w:r>
        <w:rPr>
          <w:rFonts w:asciiTheme="minorHAnsi" w:hAnsiTheme="minorHAnsi" w:cstheme="minorHAnsi"/>
          <w:sz w:val="24"/>
          <w:szCs w:val="24"/>
        </w:rPr>
        <w:t>a</w:t>
      </w:r>
      <w:r w:rsidRPr="003A61DD">
        <w:rPr>
          <w:rFonts w:asciiTheme="minorHAnsi" w:hAnsiTheme="minorHAnsi" w:cstheme="minorHAnsi"/>
          <w:sz w:val="24"/>
          <w:szCs w:val="24"/>
        </w:rPr>
        <w:t xml:space="preserve"> z Miastem Poznań umowę pożyczki </w:t>
      </w:r>
      <w:r w:rsidRPr="0048529C">
        <w:rPr>
          <w:rFonts w:asciiTheme="minorHAnsi" w:hAnsiTheme="minorHAnsi" w:cstheme="minorHAnsi"/>
          <w:i/>
          <w:iCs/>
          <w:sz w:val="24"/>
          <w:szCs w:val="24"/>
        </w:rPr>
        <w:t>nr NW-III.0232.7.68.2018 (</w:t>
      </w:r>
      <w:proofErr w:type="spellStart"/>
      <w:r w:rsidRPr="0048529C">
        <w:rPr>
          <w:rFonts w:asciiTheme="minorHAnsi" w:hAnsiTheme="minorHAnsi" w:cstheme="minorHAnsi"/>
          <w:i/>
          <w:iCs/>
          <w:sz w:val="24"/>
          <w:szCs w:val="24"/>
        </w:rPr>
        <w:t>Fn</w:t>
      </w:r>
      <w:proofErr w:type="spellEnd"/>
      <w:r w:rsidRPr="0048529C">
        <w:rPr>
          <w:rFonts w:asciiTheme="minorHAnsi" w:hAnsiTheme="minorHAnsi" w:cstheme="minorHAnsi"/>
          <w:i/>
          <w:iCs/>
          <w:sz w:val="24"/>
          <w:szCs w:val="24"/>
        </w:rPr>
        <w:t xml:space="preserve"> 5232/19) na dofinansowanie inwestycji na polu inwestycyjnym 5MW w rejonie ul. Koszalińskiej (aktualny adres: ul. Żołnierzy Wyklętych/ E. </w:t>
      </w:r>
      <w:proofErr w:type="spellStart"/>
      <w:r w:rsidRPr="0048529C">
        <w:rPr>
          <w:rFonts w:asciiTheme="minorHAnsi" w:hAnsiTheme="minorHAnsi" w:cstheme="minorHAnsi"/>
          <w:i/>
          <w:iCs/>
          <w:sz w:val="24"/>
          <w:szCs w:val="24"/>
        </w:rPr>
        <w:t>Zawackiej</w:t>
      </w:r>
      <w:proofErr w:type="spellEnd"/>
      <w:r w:rsidRPr="0048529C">
        <w:rPr>
          <w:rFonts w:asciiTheme="minorHAnsi" w:hAnsiTheme="minorHAnsi" w:cstheme="minorHAnsi"/>
          <w:i/>
          <w:iCs/>
          <w:sz w:val="24"/>
          <w:szCs w:val="24"/>
        </w:rPr>
        <w:t>)</w:t>
      </w:r>
      <w:r w:rsidRPr="003A61DD">
        <w:rPr>
          <w:rFonts w:asciiTheme="minorHAnsi" w:hAnsiTheme="minorHAnsi" w:cstheme="minorHAnsi"/>
          <w:sz w:val="24"/>
          <w:szCs w:val="24"/>
        </w:rPr>
        <w:t xml:space="preserve">. </w:t>
      </w:r>
      <w:r w:rsidR="00E55C03">
        <w:rPr>
          <w:rFonts w:asciiTheme="minorHAnsi" w:hAnsiTheme="minorHAnsi" w:cstheme="minorHAnsi"/>
          <w:sz w:val="24"/>
          <w:szCs w:val="24"/>
        </w:rPr>
        <w:t>Ostateczny termin spłaty pożyczki, to 31 grudnia 2047 r.</w:t>
      </w:r>
      <w:r w:rsidR="005F12F0">
        <w:rPr>
          <w:rFonts w:asciiTheme="minorHAnsi" w:hAnsiTheme="minorHAnsi" w:cstheme="minorHAnsi"/>
          <w:sz w:val="24"/>
          <w:szCs w:val="24"/>
        </w:rPr>
        <w:t xml:space="preserve"> </w:t>
      </w:r>
      <w:r w:rsidR="005F12F0">
        <w:rPr>
          <w:rFonts w:asciiTheme="minorHAnsi" w:hAnsiTheme="minorHAnsi" w:cstheme="minorHAnsi"/>
          <w:sz w:val="24"/>
          <w:szCs w:val="24"/>
        </w:rPr>
        <w:br/>
      </w:r>
    </w:p>
    <w:p w:rsidR="00E91B2E" w:rsidRPr="00C73F35" w:rsidRDefault="00174DAD" w:rsidP="00C316FE">
      <w:pPr>
        <w:pStyle w:val="NormalnyWeb"/>
        <w:ind w:left="1068"/>
        <w:jc w:val="both"/>
        <w:rPr>
          <w:rFonts w:asciiTheme="minorHAnsi" w:hAnsiTheme="minorHAnsi" w:cstheme="minorHAnsi"/>
          <w:i/>
          <w:iCs/>
          <w:sz w:val="24"/>
          <w:szCs w:val="24"/>
        </w:rPr>
      </w:pPr>
      <w:r>
        <w:rPr>
          <w:rFonts w:asciiTheme="minorHAnsi" w:hAnsiTheme="minorHAnsi" w:cstheme="minorHAnsi"/>
          <w:sz w:val="24"/>
          <w:szCs w:val="24"/>
        </w:rPr>
        <w:t>Ww. u</w:t>
      </w:r>
      <w:r w:rsidR="00E91B2E" w:rsidRPr="003A61DD">
        <w:rPr>
          <w:rFonts w:asciiTheme="minorHAnsi" w:hAnsiTheme="minorHAnsi" w:cstheme="minorHAnsi"/>
          <w:sz w:val="24"/>
          <w:szCs w:val="24"/>
        </w:rPr>
        <w:t>mowa pożyczki</w:t>
      </w:r>
      <w:r w:rsidR="00E91B2E">
        <w:rPr>
          <w:rFonts w:asciiTheme="minorHAnsi" w:hAnsiTheme="minorHAnsi" w:cstheme="minorHAnsi"/>
          <w:sz w:val="24"/>
          <w:szCs w:val="24"/>
        </w:rPr>
        <w:t xml:space="preserve"> </w:t>
      </w:r>
      <w:r w:rsidR="00E91B2E" w:rsidRPr="003A61DD">
        <w:rPr>
          <w:rFonts w:asciiTheme="minorHAnsi" w:hAnsiTheme="minorHAnsi" w:cstheme="minorHAnsi"/>
          <w:sz w:val="24"/>
          <w:szCs w:val="24"/>
        </w:rPr>
        <w:t>określa oprocentowanie w następujący sposób:</w:t>
      </w:r>
      <w:r w:rsidR="001764C8">
        <w:rPr>
          <w:rFonts w:asciiTheme="minorHAnsi" w:hAnsiTheme="minorHAnsi" w:cstheme="minorHAnsi"/>
          <w:sz w:val="24"/>
          <w:szCs w:val="24"/>
        </w:rPr>
        <w:t xml:space="preserve"> </w:t>
      </w:r>
      <w:r w:rsidR="00E91B2E" w:rsidRPr="00C73F35">
        <w:rPr>
          <w:rFonts w:asciiTheme="minorHAnsi" w:hAnsiTheme="minorHAnsi" w:cstheme="minorHAnsi"/>
          <w:i/>
          <w:iCs/>
          <w:sz w:val="24"/>
          <w:szCs w:val="24"/>
        </w:rPr>
        <w:t xml:space="preserve">„Oprocentowanie pożyczki jest zmienne, ustalone na podstawie sumy stawki referencyjnej i wskaźnika </w:t>
      </w:r>
      <w:r w:rsidR="00E91B2E" w:rsidRPr="00C73F35">
        <w:rPr>
          <w:rFonts w:asciiTheme="minorHAnsi" w:hAnsiTheme="minorHAnsi" w:cstheme="minorHAnsi"/>
          <w:i/>
          <w:iCs/>
          <w:sz w:val="24"/>
          <w:szCs w:val="24"/>
        </w:rPr>
        <w:lastRenderedPageBreak/>
        <w:t xml:space="preserve">oprocentowania, który w okresie 5 lat licząc od daty podpisania Porozumienia wynosi 1,09 </w:t>
      </w:r>
      <w:proofErr w:type="spellStart"/>
      <w:r w:rsidR="00E91B2E" w:rsidRPr="00C73F35">
        <w:rPr>
          <w:rFonts w:asciiTheme="minorHAnsi" w:hAnsiTheme="minorHAnsi" w:cstheme="minorHAnsi"/>
          <w:i/>
          <w:iCs/>
          <w:sz w:val="24"/>
          <w:szCs w:val="24"/>
        </w:rPr>
        <w:t>p.p.p.a</w:t>
      </w:r>
      <w:proofErr w:type="spellEnd"/>
      <w:r w:rsidR="00E91B2E" w:rsidRPr="00C73F35">
        <w:rPr>
          <w:rFonts w:asciiTheme="minorHAnsi" w:hAnsiTheme="minorHAnsi" w:cstheme="minorHAnsi"/>
          <w:i/>
          <w:iCs/>
          <w:sz w:val="24"/>
          <w:szCs w:val="24"/>
        </w:rPr>
        <w:t>. Po tym okresie pożyczkodawca może zaproponować rewizję wskaźnika oprocentowania. Stawkę referencyjną stanowi stawka WIBOR dla złotowych depozytów trzymiesięcznych na rynku międzybankowym (WIBOR3M). Stawka WIBOR3M ustalana będzie dla danego okresu obrachunkowego na podstawie notowań publikowanych na stronach Reutersa w dniu 26-ym każdego miesiąca, za który naliczane jest oprocentowanie. W przypadku braku notowań wskaźnika WIBOR w dniu 26-ym, do wyliczenia stopy procentowej stosuje się odpowiednio notowania z dnia poprzedzającego, w którym było prowadzone notowanie stawki WIBOR.</w:t>
      </w:r>
    </w:p>
    <w:p w:rsidR="00E91B2E" w:rsidRPr="00C73F35" w:rsidRDefault="00E91B2E" w:rsidP="00C73F35">
      <w:pPr>
        <w:ind w:left="1068"/>
        <w:jc w:val="both"/>
        <w:rPr>
          <w:rFonts w:asciiTheme="minorHAnsi" w:hAnsiTheme="minorHAnsi" w:cstheme="minorHAnsi"/>
          <w:i/>
          <w:iCs/>
          <w:sz w:val="24"/>
          <w:szCs w:val="24"/>
        </w:rPr>
      </w:pPr>
      <w:r w:rsidRPr="00C73F35">
        <w:rPr>
          <w:rFonts w:asciiTheme="minorHAnsi" w:hAnsiTheme="minorHAnsi" w:cstheme="minorHAnsi"/>
          <w:i/>
          <w:iCs/>
          <w:sz w:val="24"/>
          <w:szCs w:val="24"/>
        </w:rPr>
        <w:t>Odsetki naliczane będą w oparciu o następującą formułę:</w:t>
      </w:r>
    </w:p>
    <w:p w:rsidR="00E91B2E" w:rsidRPr="003A61DD" w:rsidRDefault="00E91B2E" w:rsidP="00C73F35">
      <w:pPr>
        <w:pStyle w:val="Tekstpodstawowywcity"/>
        <w:ind w:left="1068"/>
        <w:rPr>
          <w:rFonts w:asciiTheme="minorHAnsi" w:eastAsiaTheme="minorHAnsi" w:hAnsiTheme="minorHAnsi" w:cstheme="minorHAnsi"/>
          <w:b/>
          <w:bCs/>
          <w:i/>
          <w:iCs/>
        </w:rPr>
      </w:pPr>
      <w:r w:rsidRPr="003A61DD">
        <w:rPr>
          <w:rFonts w:asciiTheme="minorHAnsi" w:eastAsiaTheme="minorHAnsi" w:hAnsiTheme="minorHAnsi" w:cstheme="minorHAnsi"/>
          <w:b/>
          <w:bCs/>
          <w:i/>
          <w:iCs/>
        </w:rPr>
        <w:t>O = Z x (WIBOR 3M + W) x L / 365</w:t>
      </w:r>
    </w:p>
    <w:p w:rsidR="00E91B2E" w:rsidRPr="003A61DD" w:rsidRDefault="00E91B2E" w:rsidP="00C73F35">
      <w:pPr>
        <w:pStyle w:val="Tekstpodstawowywcity"/>
        <w:ind w:left="1068"/>
        <w:rPr>
          <w:rFonts w:asciiTheme="minorHAnsi" w:eastAsiaTheme="minorHAnsi" w:hAnsiTheme="minorHAnsi" w:cstheme="minorHAnsi"/>
          <w:i/>
          <w:iCs/>
        </w:rPr>
      </w:pPr>
      <w:r w:rsidRPr="003A61DD">
        <w:rPr>
          <w:rFonts w:asciiTheme="minorHAnsi" w:eastAsiaTheme="minorHAnsi" w:hAnsiTheme="minorHAnsi" w:cstheme="minorHAnsi"/>
          <w:i/>
          <w:iCs/>
        </w:rPr>
        <w:t>O – odsetki od aktualnego zadłużenia za dany miesiąc,</w:t>
      </w:r>
    </w:p>
    <w:p w:rsidR="00E91B2E" w:rsidRPr="003A61DD" w:rsidRDefault="00E91B2E" w:rsidP="00C73F35">
      <w:pPr>
        <w:pStyle w:val="Tekstpodstawowywcity"/>
        <w:ind w:left="1068"/>
        <w:rPr>
          <w:rFonts w:asciiTheme="minorHAnsi" w:eastAsiaTheme="minorHAnsi" w:hAnsiTheme="minorHAnsi" w:cstheme="minorHAnsi"/>
          <w:i/>
          <w:iCs/>
        </w:rPr>
      </w:pPr>
      <w:r w:rsidRPr="003A61DD">
        <w:rPr>
          <w:rFonts w:asciiTheme="minorHAnsi" w:eastAsiaTheme="minorHAnsi" w:hAnsiTheme="minorHAnsi" w:cstheme="minorHAnsi"/>
          <w:i/>
          <w:iCs/>
        </w:rPr>
        <w:t>Z – aktualny stan zadłużenia,</w:t>
      </w:r>
    </w:p>
    <w:p w:rsidR="00E91B2E" w:rsidRPr="003A61DD" w:rsidRDefault="00E91B2E" w:rsidP="00C73F35">
      <w:pPr>
        <w:pStyle w:val="Tekstpodstawowywcity"/>
        <w:ind w:left="1068"/>
        <w:rPr>
          <w:rFonts w:asciiTheme="minorHAnsi" w:eastAsiaTheme="minorHAnsi" w:hAnsiTheme="minorHAnsi" w:cstheme="minorHAnsi"/>
          <w:i/>
          <w:iCs/>
        </w:rPr>
      </w:pPr>
      <w:r w:rsidRPr="003A61DD">
        <w:rPr>
          <w:rFonts w:asciiTheme="minorHAnsi" w:eastAsiaTheme="minorHAnsi" w:hAnsiTheme="minorHAnsi" w:cstheme="minorHAnsi"/>
          <w:i/>
          <w:iCs/>
        </w:rPr>
        <w:t xml:space="preserve">L – rzeczywista liczba dni w miesiącu </w:t>
      </w:r>
    </w:p>
    <w:p w:rsidR="00E91B2E" w:rsidRPr="003A61DD" w:rsidRDefault="00E91B2E" w:rsidP="00E91B2E">
      <w:pPr>
        <w:pStyle w:val="Tekstpodstawowywcity"/>
        <w:numPr>
          <w:ilvl w:val="0"/>
          <w:numId w:val="11"/>
        </w:numPr>
        <w:rPr>
          <w:rFonts w:asciiTheme="minorHAnsi" w:hAnsiTheme="minorHAnsi" w:cstheme="minorHAnsi"/>
          <w:i/>
          <w:iCs/>
        </w:rPr>
      </w:pPr>
      <w:r w:rsidRPr="003A61DD">
        <w:rPr>
          <w:rFonts w:asciiTheme="minorHAnsi" w:eastAsiaTheme="minorHAnsi" w:hAnsiTheme="minorHAnsi" w:cstheme="minorHAnsi"/>
          <w:i/>
          <w:iCs/>
        </w:rPr>
        <w:t>W – wskaźnik oprocentowania</w:t>
      </w:r>
      <w:r w:rsidRPr="003A61DD">
        <w:rPr>
          <w:rFonts w:asciiTheme="minorHAnsi" w:hAnsiTheme="minorHAnsi" w:cstheme="minorHAnsi"/>
        </w:rPr>
        <w:t>.</w:t>
      </w:r>
      <w:r w:rsidRPr="003A61DD">
        <w:rPr>
          <w:rFonts w:asciiTheme="minorHAnsi" w:hAnsiTheme="minorHAnsi" w:cstheme="minorHAnsi"/>
          <w:i/>
          <w:iCs/>
        </w:rPr>
        <w:t>”</w:t>
      </w:r>
    </w:p>
    <w:p w:rsidR="00EB7042" w:rsidRPr="00C316FE" w:rsidRDefault="00EB7042" w:rsidP="00C316FE">
      <w:pPr>
        <w:spacing w:after="160"/>
        <w:ind w:left="12" w:firstLine="708"/>
        <w:jc w:val="both"/>
        <w:rPr>
          <w:bCs/>
          <w:sz w:val="24"/>
          <w:szCs w:val="24"/>
        </w:rPr>
      </w:pPr>
      <w:r w:rsidRPr="00C316FE">
        <w:rPr>
          <w:bCs/>
          <w:sz w:val="24"/>
          <w:szCs w:val="24"/>
        </w:rPr>
        <w:t>Średnioroczne oprocentowanie pożyczki kształtowało się następująco:</w:t>
      </w:r>
    </w:p>
    <w:p w:rsidR="00EB7042" w:rsidRPr="001901C3" w:rsidRDefault="00EB7042" w:rsidP="00D15ABB">
      <w:pPr>
        <w:pStyle w:val="Akapitzlist"/>
        <w:jc w:val="both"/>
        <w:rPr>
          <w:bCs/>
          <w:sz w:val="24"/>
          <w:szCs w:val="24"/>
        </w:rPr>
      </w:pPr>
      <w:r w:rsidRPr="001901C3">
        <w:rPr>
          <w:bCs/>
          <w:sz w:val="24"/>
          <w:szCs w:val="24"/>
        </w:rPr>
        <w:t xml:space="preserve">- w roku 2021: </w:t>
      </w:r>
      <w:r w:rsidRPr="001901C3">
        <w:rPr>
          <w:b/>
          <w:sz w:val="24"/>
          <w:szCs w:val="24"/>
        </w:rPr>
        <w:t>1,67%</w:t>
      </w:r>
      <w:r w:rsidRPr="001901C3">
        <w:rPr>
          <w:bCs/>
          <w:sz w:val="24"/>
          <w:szCs w:val="24"/>
        </w:rPr>
        <w:t>,</w:t>
      </w:r>
    </w:p>
    <w:p w:rsidR="00EB7042" w:rsidRPr="001901C3" w:rsidRDefault="00EB7042" w:rsidP="00D15ABB">
      <w:pPr>
        <w:pStyle w:val="Akapitzlist"/>
        <w:jc w:val="both"/>
        <w:rPr>
          <w:bCs/>
          <w:sz w:val="24"/>
          <w:szCs w:val="24"/>
        </w:rPr>
      </w:pPr>
      <w:r w:rsidRPr="001901C3">
        <w:rPr>
          <w:bCs/>
          <w:sz w:val="24"/>
          <w:szCs w:val="24"/>
        </w:rPr>
        <w:t xml:space="preserve">- w roku 2022: </w:t>
      </w:r>
      <w:r w:rsidRPr="001901C3">
        <w:rPr>
          <w:b/>
          <w:sz w:val="24"/>
          <w:szCs w:val="24"/>
        </w:rPr>
        <w:t>7,07%</w:t>
      </w:r>
      <w:r w:rsidRPr="001901C3">
        <w:rPr>
          <w:bCs/>
          <w:sz w:val="24"/>
          <w:szCs w:val="24"/>
        </w:rPr>
        <w:t>,</w:t>
      </w:r>
    </w:p>
    <w:p w:rsidR="00EB7042" w:rsidRPr="001901C3" w:rsidRDefault="00EB7042" w:rsidP="00D15ABB">
      <w:pPr>
        <w:pStyle w:val="Akapitzlist"/>
        <w:jc w:val="both"/>
        <w:rPr>
          <w:bCs/>
          <w:sz w:val="24"/>
          <w:szCs w:val="24"/>
        </w:rPr>
      </w:pPr>
      <w:r w:rsidRPr="001901C3">
        <w:rPr>
          <w:bCs/>
          <w:sz w:val="24"/>
          <w:szCs w:val="24"/>
        </w:rPr>
        <w:t xml:space="preserve">- prognozowane na rok 2023: </w:t>
      </w:r>
      <w:r w:rsidRPr="001901C3">
        <w:rPr>
          <w:b/>
          <w:sz w:val="24"/>
          <w:szCs w:val="24"/>
        </w:rPr>
        <w:t>10,30%</w:t>
      </w:r>
      <w:r w:rsidRPr="001901C3">
        <w:rPr>
          <w:bCs/>
          <w:sz w:val="24"/>
          <w:szCs w:val="24"/>
        </w:rPr>
        <w:t>.</w:t>
      </w:r>
    </w:p>
    <w:p w:rsidR="00EB7042" w:rsidRPr="00EB7042" w:rsidRDefault="00EB7042" w:rsidP="00EB7042">
      <w:pPr>
        <w:tabs>
          <w:tab w:val="left" w:pos="0"/>
        </w:tabs>
        <w:jc w:val="both"/>
        <w:rPr>
          <w:sz w:val="24"/>
          <w:szCs w:val="24"/>
        </w:rPr>
      </w:pPr>
    </w:p>
    <w:p w:rsidR="00DA2EDD" w:rsidRDefault="005B2B69" w:rsidP="007D6CBF">
      <w:pPr>
        <w:pStyle w:val="Akapitzlist"/>
        <w:numPr>
          <w:ilvl w:val="0"/>
          <w:numId w:val="1"/>
        </w:numPr>
        <w:tabs>
          <w:tab w:val="left" w:pos="0"/>
        </w:tabs>
        <w:jc w:val="both"/>
        <w:rPr>
          <w:sz w:val="24"/>
          <w:szCs w:val="24"/>
        </w:rPr>
      </w:pPr>
      <w:r w:rsidRPr="005B7F27">
        <w:rPr>
          <w:sz w:val="24"/>
          <w:szCs w:val="24"/>
        </w:rPr>
        <w:t xml:space="preserve">W zakresie pytania, „dlaczego, skoro kredyt jest na preferencyjnych warunkach, koszty najemców mieszkań jako najemców i </w:t>
      </w:r>
      <w:proofErr w:type="spellStart"/>
      <w:r w:rsidRPr="005B7F27">
        <w:rPr>
          <w:sz w:val="24"/>
          <w:szCs w:val="24"/>
        </w:rPr>
        <w:t>partycypantów</w:t>
      </w:r>
      <w:proofErr w:type="spellEnd"/>
      <w:r w:rsidRPr="005B7F27">
        <w:rPr>
          <w:sz w:val="24"/>
          <w:szCs w:val="24"/>
        </w:rPr>
        <w:t xml:space="preserve"> kształtują się tak, jak zaciągnęliby kredyt hipoteczny  w polskim banku jako osoby fizyczne</w:t>
      </w:r>
      <w:r w:rsidR="001F0DE2" w:rsidRPr="005B7F27">
        <w:rPr>
          <w:sz w:val="24"/>
          <w:szCs w:val="24"/>
        </w:rPr>
        <w:t>”</w:t>
      </w:r>
      <w:r w:rsidR="00161A22">
        <w:rPr>
          <w:sz w:val="24"/>
          <w:szCs w:val="24"/>
        </w:rPr>
        <w:t>.</w:t>
      </w:r>
    </w:p>
    <w:p w:rsidR="002E125F" w:rsidRPr="005B7F27" w:rsidRDefault="00161A22" w:rsidP="005B2B69">
      <w:pPr>
        <w:pStyle w:val="Akapitzlist"/>
        <w:tabs>
          <w:tab w:val="left" w:pos="0"/>
        </w:tabs>
        <w:jc w:val="both"/>
        <w:rPr>
          <w:sz w:val="24"/>
          <w:szCs w:val="24"/>
        </w:rPr>
      </w:pPr>
      <w:r>
        <w:rPr>
          <w:sz w:val="24"/>
          <w:szCs w:val="24"/>
        </w:rPr>
        <w:t xml:space="preserve">Zarząd Spółki </w:t>
      </w:r>
      <w:r w:rsidR="00EC57BF">
        <w:rPr>
          <w:sz w:val="24"/>
          <w:szCs w:val="24"/>
        </w:rPr>
        <w:t>informuje</w:t>
      </w:r>
      <w:r>
        <w:rPr>
          <w:sz w:val="24"/>
          <w:szCs w:val="24"/>
        </w:rPr>
        <w:t xml:space="preserve">, iż program Najem z Dojściem do Własności korzysta </w:t>
      </w:r>
      <w:r w:rsidR="00EC57BF">
        <w:rPr>
          <w:sz w:val="24"/>
          <w:szCs w:val="24"/>
        </w:rPr>
        <w:br/>
      </w:r>
      <w:r>
        <w:rPr>
          <w:sz w:val="24"/>
          <w:szCs w:val="24"/>
        </w:rPr>
        <w:t xml:space="preserve">z preferencyjnych warunków oprocentowania </w:t>
      </w:r>
      <w:r w:rsidR="00EC57BF">
        <w:rPr>
          <w:sz w:val="24"/>
          <w:szCs w:val="24"/>
        </w:rPr>
        <w:t xml:space="preserve">kredytu EBI </w:t>
      </w:r>
      <w:r>
        <w:rPr>
          <w:sz w:val="24"/>
          <w:szCs w:val="24"/>
        </w:rPr>
        <w:t xml:space="preserve">w porównaniu do kredytów </w:t>
      </w:r>
      <w:r w:rsidR="00637326">
        <w:rPr>
          <w:sz w:val="24"/>
          <w:szCs w:val="24"/>
        </w:rPr>
        <w:t xml:space="preserve">hipotecznych </w:t>
      </w:r>
      <w:r>
        <w:rPr>
          <w:sz w:val="24"/>
          <w:szCs w:val="24"/>
        </w:rPr>
        <w:t>zaciąganych przez osoby fizyczne. Dodatkowo i</w:t>
      </w:r>
      <w:r w:rsidR="006506CF" w:rsidRPr="005B7F27">
        <w:rPr>
          <w:sz w:val="24"/>
          <w:szCs w:val="24"/>
        </w:rPr>
        <w:t>stotnym faktem jest brak konieczności ponoszenia przez najemców dodatkowych kosztów</w:t>
      </w:r>
      <w:r w:rsidR="00637326">
        <w:rPr>
          <w:sz w:val="24"/>
          <w:szCs w:val="24"/>
        </w:rPr>
        <w:t xml:space="preserve"> zabezpieczeń</w:t>
      </w:r>
      <w:r w:rsidR="006506CF" w:rsidRPr="005B7F27">
        <w:rPr>
          <w:sz w:val="24"/>
          <w:szCs w:val="24"/>
        </w:rPr>
        <w:t>, któr</w:t>
      </w:r>
      <w:r w:rsidR="00637326">
        <w:rPr>
          <w:sz w:val="24"/>
          <w:szCs w:val="24"/>
        </w:rPr>
        <w:t>e</w:t>
      </w:r>
      <w:r w:rsidR="006506CF" w:rsidRPr="005B7F27">
        <w:rPr>
          <w:sz w:val="24"/>
          <w:szCs w:val="24"/>
        </w:rPr>
        <w:t xml:space="preserve"> </w:t>
      </w:r>
      <w:r w:rsidR="00637326">
        <w:rPr>
          <w:sz w:val="24"/>
          <w:szCs w:val="24"/>
        </w:rPr>
        <w:t xml:space="preserve">występują przy </w:t>
      </w:r>
      <w:r w:rsidR="006506CF" w:rsidRPr="005B7F27">
        <w:rPr>
          <w:sz w:val="24"/>
          <w:szCs w:val="24"/>
        </w:rPr>
        <w:t>zaciąg</w:t>
      </w:r>
      <w:r w:rsidR="00637326">
        <w:rPr>
          <w:sz w:val="24"/>
          <w:szCs w:val="24"/>
        </w:rPr>
        <w:t>nięciu</w:t>
      </w:r>
      <w:r w:rsidR="006506CF" w:rsidRPr="005B7F27">
        <w:rPr>
          <w:sz w:val="24"/>
          <w:szCs w:val="24"/>
        </w:rPr>
        <w:t xml:space="preserve"> kredyt</w:t>
      </w:r>
      <w:r w:rsidR="00637326">
        <w:rPr>
          <w:sz w:val="24"/>
          <w:szCs w:val="24"/>
        </w:rPr>
        <w:t>u</w:t>
      </w:r>
      <w:r w:rsidR="006506CF" w:rsidRPr="005B7F27">
        <w:rPr>
          <w:sz w:val="24"/>
          <w:szCs w:val="24"/>
        </w:rPr>
        <w:t xml:space="preserve"> komercyjn</w:t>
      </w:r>
      <w:r w:rsidR="00637326">
        <w:rPr>
          <w:sz w:val="24"/>
          <w:szCs w:val="24"/>
        </w:rPr>
        <w:t>ego</w:t>
      </w:r>
      <w:r w:rsidR="006506CF" w:rsidRPr="005B7F27">
        <w:rPr>
          <w:sz w:val="24"/>
          <w:szCs w:val="24"/>
        </w:rPr>
        <w:t xml:space="preserve"> jako osoba fizyczna</w:t>
      </w:r>
      <w:r w:rsidR="002E125F" w:rsidRPr="005B7F27">
        <w:rPr>
          <w:sz w:val="24"/>
          <w:szCs w:val="24"/>
        </w:rPr>
        <w:t xml:space="preserve"> – np. polis</w:t>
      </w:r>
      <w:r w:rsidR="00637326">
        <w:rPr>
          <w:sz w:val="24"/>
          <w:szCs w:val="24"/>
        </w:rPr>
        <w:t>a</w:t>
      </w:r>
      <w:r w:rsidR="002E125F" w:rsidRPr="005B7F27">
        <w:rPr>
          <w:sz w:val="24"/>
          <w:szCs w:val="24"/>
        </w:rPr>
        <w:t xml:space="preserve"> na życie, koszt</w:t>
      </w:r>
      <w:r w:rsidR="00637326">
        <w:rPr>
          <w:sz w:val="24"/>
          <w:szCs w:val="24"/>
        </w:rPr>
        <w:t>y</w:t>
      </w:r>
      <w:r w:rsidR="002E125F" w:rsidRPr="005B7F27">
        <w:rPr>
          <w:sz w:val="24"/>
          <w:szCs w:val="24"/>
        </w:rPr>
        <w:t xml:space="preserve"> związan</w:t>
      </w:r>
      <w:r w:rsidR="00637326">
        <w:rPr>
          <w:sz w:val="24"/>
          <w:szCs w:val="24"/>
        </w:rPr>
        <w:t>e</w:t>
      </w:r>
      <w:r w:rsidR="002E125F" w:rsidRPr="005B7F27">
        <w:rPr>
          <w:sz w:val="24"/>
          <w:szCs w:val="24"/>
        </w:rPr>
        <w:t xml:space="preserve"> z ustanowieniem hipoteki czy koszt</w:t>
      </w:r>
      <w:r w:rsidR="00637326">
        <w:rPr>
          <w:sz w:val="24"/>
          <w:szCs w:val="24"/>
        </w:rPr>
        <w:t>y</w:t>
      </w:r>
      <w:r w:rsidR="002E125F" w:rsidRPr="005B7F27">
        <w:rPr>
          <w:sz w:val="24"/>
          <w:szCs w:val="24"/>
        </w:rPr>
        <w:t xml:space="preserve"> aktu notarialnego w przypadku konieczności poręczenia kredytu </w:t>
      </w:r>
      <w:r w:rsidR="00637326">
        <w:rPr>
          <w:sz w:val="24"/>
          <w:szCs w:val="24"/>
        </w:rPr>
        <w:t xml:space="preserve">zgodnie z kodeksem </w:t>
      </w:r>
      <w:r w:rsidR="002E125F" w:rsidRPr="005B7F27">
        <w:rPr>
          <w:sz w:val="24"/>
          <w:szCs w:val="24"/>
        </w:rPr>
        <w:t>cywiln</w:t>
      </w:r>
      <w:r w:rsidR="00637326">
        <w:rPr>
          <w:sz w:val="24"/>
          <w:szCs w:val="24"/>
        </w:rPr>
        <w:t>ym</w:t>
      </w:r>
      <w:r w:rsidR="006506CF" w:rsidRPr="005B7F27">
        <w:rPr>
          <w:sz w:val="24"/>
          <w:szCs w:val="24"/>
        </w:rPr>
        <w:t xml:space="preserve">. </w:t>
      </w:r>
      <w:r w:rsidR="005B2B69" w:rsidRPr="005B7F27">
        <w:rPr>
          <w:sz w:val="24"/>
          <w:szCs w:val="24"/>
        </w:rPr>
        <w:t>Przy oprocentowaniu kredytu</w:t>
      </w:r>
      <w:r>
        <w:rPr>
          <w:sz w:val="24"/>
          <w:szCs w:val="24"/>
        </w:rPr>
        <w:t xml:space="preserve"> przykładowo</w:t>
      </w:r>
      <w:r w:rsidR="005B2B69" w:rsidRPr="005B7F27">
        <w:rPr>
          <w:sz w:val="24"/>
          <w:szCs w:val="24"/>
        </w:rPr>
        <w:t xml:space="preserve"> na poziomie 8,5% w skali roku, RRSO wynosi od </w:t>
      </w:r>
      <w:r w:rsidR="006506CF" w:rsidRPr="005B7F27">
        <w:rPr>
          <w:sz w:val="24"/>
          <w:szCs w:val="24"/>
        </w:rPr>
        <w:t xml:space="preserve">8,94% do nawet </w:t>
      </w:r>
      <w:r w:rsidR="00127A76" w:rsidRPr="005B7F27">
        <w:rPr>
          <w:sz w:val="24"/>
          <w:szCs w:val="24"/>
        </w:rPr>
        <w:t>kilkunastu procent</w:t>
      </w:r>
      <w:r w:rsidR="006506CF" w:rsidRPr="005B7F27">
        <w:rPr>
          <w:sz w:val="24"/>
          <w:szCs w:val="24"/>
        </w:rPr>
        <w:t xml:space="preserve"> w skali roku. </w:t>
      </w:r>
      <w:r w:rsidR="00127A76" w:rsidRPr="005B7F27">
        <w:rPr>
          <w:sz w:val="24"/>
          <w:szCs w:val="24"/>
        </w:rPr>
        <w:t>Powyższe można sprawdzić w internetowych kalkulatorach RRSO</w:t>
      </w:r>
      <w:r w:rsidR="00640D64">
        <w:rPr>
          <w:sz w:val="24"/>
          <w:szCs w:val="24"/>
        </w:rPr>
        <w:t xml:space="preserve"> – np. </w:t>
      </w:r>
      <w:hyperlink r:id="rId9" w:history="1">
        <w:r w:rsidR="002E125F" w:rsidRPr="005B7F27">
          <w:rPr>
            <w:rStyle w:val="Hipercze"/>
            <w:sz w:val="24"/>
            <w:szCs w:val="24"/>
          </w:rPr>
          <w:t>https://www.totalmoney.pl/kalkulatory/kredyt-gotowkowy-kalkulator-rrso</w:t>
        </w:r>
      </w:hyperlink>
    </w:p>
    <w:p w:rsidR="00131324" w:rsidRPr="005B7F27" w:rsidRDefault="00131324" w:rsidP="005B2B69">
      <w:pPr>
        <w:pStyle w:val="Akapitzlist"/>
        <w:tabs>
          <w:tab w:val="left" w:pos="0"/>
        </w:tabs>
        <w:jc w:val="both"/>
        <w:rPr>
          <w:sz w:val="24"/>
          <w:szCs w:val="24"/>
        </w:rPr>
      </w:pPr>
    </w:p>
    <w:p w:rsidR="002E125F" w:rsidRDefault="002E125F" w:rsidP="005B2B69">
      <w:pPr>
        <w:pStyle w:val="Akapitzlist"/>
        <w:tabs>
          <w:tab w:val="left" w:pos="0"/>
        </w:tabs>
        <w:jc w:val="both"/>
      </w:pPr>
    </w:p>
    <w:p w:rsidR="005B2B69" w:rsidRDefault="0020126E" w:rsidP="00310A5F">
      <w:pPr>
        <w:pStyle w:val="Akapitzlist"/>
        <w:tabs>
          <w:tab w:val="left" w:pos="0"/>
        </w:tabs>
        <w:jc w:val="both"/>
      </w:pPr>
      <w:r>
        <w:tab/>
      </w:r>
      <w:r>
        <w:tab/>
      </w:r>
      <w:r>
        <w:tab/>
      </w:r>
      <w:r>
        <w:tab/>
      </w:r>
      <w:r>
        <w:tab/>
      </w:r>
      <w:r>
        <w:tab/>
      </w:r>
      <w:r>
        <w:tab/>
      </w:r>
      <w:r>
        <w:tab/>
      </w:r>
      <w:r>
        <w:tab/>
        <w:t>Z poważaniem</w:t>
      </w:r>
    </w:p>
    <w:p w:rsidR="00E87E5D" w:rsidRDefault="00E87E5D" w:rsidP="00310A5F">
      <w:pPr>
        <w:pStyle w:val="Akapitzlist"/>
        <w:tabs>
          <w:tab w:val="left" w:pos="0"/>
        </w:tabs>
        <w:jc w:val="both"/>
      </w:pPr>
    </w:p>
    <w:p w:rsidR="00E87E5D" w:rsidRDefault="00E87E5D" w:rsidP="00310A5F">
      <w:pPr>
        <w:pStyle w:val="Akapitzlist"/>
        <w:tabs>
          <w:tab w:val="left" w:pos="0"/>
        </w:tabs>
        <w:jc w:val="both"/>
      </w:pPr>
    </w:p>
    <w:p w:rsidR="00E87E5D" w:rsidRDefault="00C35749" w:rsidP="00C35749">
      <w:pPr>
        <w:pStyle w:val="Akapitzlist"/>
        <w:tabs>
          <w:tab w:val="left" w:pos="0"/>
        </w:tabs>
        <w:ind w:firstLine="6368"/>
        <w:jc w:val="both"/>
      </w:pPr>
      <w:r>
        <w:t>Prezes Zarządu</w:t>
      </w:r>
    </w:p>
    <w:p w:rsidR="00C35749" w:rsidRDefault="00C35749" w:rsidP="00C35749">
      <w:pPr>
        <w:pStyle w:val="Akapitzlist"/>
        <w:tabs>
          <w:tab w:val="left" w:pos="0"/>
        </w:tabs>
        <w:ind w:firstLine="6368"/>
        <w:jc w:val="both"/>
      </w:pPr>
      <w:r>
        <w:t>(-) Andrzej Konieczny</w:t>
      </w:r>
    </w:p>
    <w:p w:rsidR="00E87E5D" w:rsidRDefault="00E87E5D" w:rsidP="00310A5F">
      <w:pPr>
        <w:pStyle w:val="Akapitzlist"/>
        <w:tabs>
          <w:tab w:val="left" w:pos="0"/>
        </w:tabs>
        <w:jc w:val="both"/>
      </w:pPr>
    </w:p>
    <w:p w:rsidR="0000691C" w:rsidRDefault="0000691C" w:rsidP="00E87E5D">
      <w:pPr>
        <w:spacing w:line="100" w:lineRule="atLeast"/>
        <w:contextualSpacing/>
        <w:rPr>
          <w:rFonts w:ascii="Arial Narrow" w:hAnsi="Arial Narrow"/>
          <w:sz w:val="18"/>
          <w:szCs w:val="18"/>
          <w:u w:val="single"/>
        </w:rPr>
      </w:pPr>
    </w:p>
    <w:p w:rsidR="0000691C" w:rsidRDefault="0000691C" w:rsidP="00E87E5D">
      <w:pPr>
        <w:spacing w:line="100" w:lineRule="atLeast"/>
        <w:contextualSpacing/>
        <w:rPr>
          <w:rFonts w:ascii="Arial Narrow" w:hAnsi="Arial Narrow"/>
          <w:sz w:val="18"/>
          <w:szCs w:val="18"/>
          <w:u w:val="single"/>
        </w:rPr>
      </w:pPr>
    </w:p>
    <w:p w:rsidR="0000691C" w:rsidRDefault="0000691C" w:rsidP="00E87E5D">
      <w:pPr>
        <w:spacing w:line="100" w:lineRule="atLeast"/>
        <w:contextualSpacing/>
        <w:rPr>
          <w:rFonts w:ascii="Arial Narrow" w:hAnsi="Arial Narrow"/>
          <w:sz w:val="18"/>
          <w:szCs w:val="18"/>
          <w:u w:val="single"/>
        </w:rPr>
      </w:pPr>
    </w:p>
    <w:p w:rsidR="0000691C" w:rsidRDefault="0000691C" w:rsidP="00E87E5D">
      <w:pPr>
        <w:spacing w:line="100" w:lineRule="atLeast"/>
        <w:contextualSpacing/>
        <w:rPr>
          <w:rFonts w:ascii="Arial Narrow" w:hAnsi="Arial Narrow"/>
          <w:sz w:val="18"/>
          <w:szCs w:val="18"/>
          <w:u w:val="single"/>
        </w:rPr>
      </w:pPr>
    </w:p>
    <w:p w:rsidR="0000691C" w:rsidRDefault="0000691C" w:rsidP="00E87E5D">
      <w:pPr>
        <w:spacing w:line="100" w:lineRule="atLeast"/>
        <w:contextualSpacing/>
        <w:rPr>
          <w:rFonts w:ascii="Arial Narrow" w:hAnsi="Arial Narrow"/>
          <w:sz w:val="18"/>
          <w:szCs w:val="18"/>
          <w:u w:val="single"/>
        </w:rPr>
      </w:pPr>
    </w:p>
    <w:p w:rsidR="003628F2" w:rsidRDefault="003628F2" w:rsidP="00E87E5D">
      <w:pPr>
        <w:spacing w:line="100" w:lineRule="atLeast"/>
        <w:contextualSpacing/>
        <w:rPr>
          <w:rFonts w:ascii="Arial Narrow" w:hAnsi="Arial Narrow"/>
          <w:sz w:val="18"/>
          <w:szCs w:val="18"/>
          <w:u w:val="single"/>
        </w:rPr>
      </w:pPr>
    </w:p>
    <w:p w:rsidR="00E87E5D" w:rsidRPr="000701B9" w:rsidRDefault="00E87E5D" w:rsidP="00E87E5D">
      <w:pPr>
        <w:spacing w:line="100" w:lineRule="atLeast"/>
        <w:contextualSpacing/>
        <w:rPr>
          <w:rFonts w:ascii="Arial Narrow" w:hAnsi="Arial Narrow"/>
          <w:sz w:val="18"/>
          <w:szCs w:val="18"/>
          <w:u w:val="single"/>
        </w:rPr>
      </w:pPr>
      <w:r w:rsidRPr="000701B9">
        <w:rPr>
          <w:rFonts w:ascii="Arial Narrow" w:hAnsi="Arial Narrow"/>
          <w:sz w:val="18"/>
          <w:szCs w:val="18"/>
          <w:u w:val="single"/>
        </w:rPr>
        <w:t>Sprawę prowadzi:</w:t>
      </w:r>
    </w:p>
    <w:p w:rsidR="00E87E5D" w:rsidRPr="000701B9" w:rsidRDefault="00E87E5D" w:rsidP="00E87E5D">
      <w:pPr>
        <w:spacing w:line="100" w:lineRule="atLeast"/>
        <w:contextualSpacing/>
        <w:rPr>
          <w:rFonts w:ascii="Arial Narrow" w:hAnsi="Arial Narrow"/>
          <w:sz w:val="18"/>
          <w:szCs w:val="18"/>
        </w:rPr>
      </w:pPr>
      <w:r w:rsidRPr="000701B9">
        <w:rPr>
          <w:rFonts w:ascii="Arial Narrow" w:hAnsi="Arial Narrow"/>
          <w:sz w:val="18"/>
          <w:szCs w:val="18"/>
        </w:rPr>
        <w:t>Magdalena Cyganik</w:t>
      </w:r>
    </w:p>
    <w:p w:rsidR="00E87E5D" w:rsidRDefault="00E87E5D" w:rsidP="00E87E5D">
      <w:pPr>
        <w:spacing w:line="100" w:lineRule="atLeast"/>
        <w:contextualSpacing/>
      </w:pPr>
      <w:r w:rsidRPr="000701B9">
        <w:rPr>
          <w:rFonts w:ascii="Arial Narrow" w:hAnsi="Arial Narrow"/>
          <w:sz w:val="18"/>
          <w:szCs w:val="18"/>
        </w:rPr>
        <w:t xml:space="preserve">Dyrektor Finansowy, tel. 61 850 83 21, e-mail: </w:t>
      </w:r>
      <w:hyperlink r:id="rId10" w:history="1">
        <w:r w:rsidRPr="000701B9">
          <w:rPr>
            <w:rStyle w:val="Hipercze"/>
            <w:rFonts w:ascii="Arial Narrow" w:hAnsi="Arial Narrow"/>
            <w:sz w:val="18"/>
            <w:szCs w:val="18"/>
          </w:rPr>
          <w:t>magdalena.cyganik@ptbs.pl</w:t>
        </w:r>
      </w:hyperlink>
    </w:p>
    <w:p w:rsidR="00E87E5D" w:rsidRDefault="00E87E5D" w:rsidP="00310A5F">
      <w:pPr>
        <w:pStyle w:val="Akapitzlist"/>
        <w:tabs>
          <w:tab w:val="left" w:pos="0"/>
        </w:tabs>
        <w:jc w:val="both"/>
      </w:pPr>
      <w:bookmarkStart w:id="2" w:name="_GoBack"/>
      <w:bookmarkEnd w:id="2"/>
    </w:p>
    <w:sectPr w:rsidR="00E87E5D" w:rsidSect="00FE7E25">
      <w:headerReference w:type="default" r:id="rId11"/>
      <w:footerReference w:type="default" r:id="rId12"/>
      <w:pgSz w:w="11906" w:h="16838"/>
      <w:pgMar w:top="567" w:right="851" w:bottom="851" w:left="1418" w:header="209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8AD" w:rsidRDefault="00B778AD">
      <w:r>
        <w:separator/>
      </w:r>
    </w:p>
  </w:endnote>
  <w:endnote w:type="continuationSeparator" w:id="0">
    <w:p w:rsidR="00B778AD" w:rsidRDefault="00B7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A87" w:rsidRDefault="00B778AD">
    <w:pPr>
      <w:pStyle w:val="Stopka"/>
    </w:pPr>
    <w:r>
      <w:rPr>
        <w:noProof/>
      </w:rPr>
      <w:pict>
        <v:shapetype id="_x0000_t202" coordsize="21600,21600" o:spt="202" path="m,l,21600r21600,l21600,xe">
          <v:stroke joinstyle="miter"/>
          <v:path gradientshapeok="t" o:connecttype="rect"/>
        </v:shapetype>
        <v:shape id="Pole tekstowe 6" o:spid="_x0000_s2050" type="#_x0000_t202" style="position:absolute;margin-left:187.7pt;margin-top:773.55pt;width:126.15pt;height:24.8pt;z-index:251662336;visibility:visible;mso-height-percent:200;mso-wrap-distance-top:3.6pt;mso-wrap-distance-bottom:3.6p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" filled="f" stroked="f">
          <v:textbox style="mso-fit-shape-to-text:t" inset="0,0,0,0">
            <w:txbxContent>
              <w:p w:rsidR="00AC3BAE" w:rsidRPr="00AC3BAE" w:rsidRDefault="00131324" w:rsidP="00AC3BAE">
                <w:pPr>
                  <w:spacing w:line="216" w:lineRule="auto"/>
                  <w:rPr>
                    <w:rFonts w:ascii="Arial Narrow" w:hAnsi="Arial Narrow"/>
                    <w:sz w:val="16"/>
                    <w:szCs w:val="16"/>
                  </w:rPr>
                </w:pPr>
                <w:r w:rsidRPr="00AC3BAE">
                  <w:rPr>
                    <w:rFonts w:ascii="Arial Narrow" w:hAnsi="Arial Narrow"/>
                    <w:sz w:val="16"/>
                    <w:szCs w:val="16"/>
                  </w:rPr>
                  <w:t>sekretariat@ptbs.pl, www.ptbs.pl</w:t>
                </w:r>
              </w:p>
              <w:p w:rsidR="00AC3BAE" w:rsidRPr="00AC3BAE" w:rsidRDefault="00131324" w:rsidP="00AC3BAE">
                <w:pPr>
                  <w:spacing w:line="216" w:lineRule="auto"/>
                  <w:rPr>
                    <w:rFonts w:ascii="Arial Narrow" w:hAnsi="Arial Narrow"/>
                    <w:sz w:val="16"/>
                    <w:szCs w:val="16"/>
                  </w:rPr>
                </w:pPr>
                <w:r w:rsidRPr="00AC3BAE">
                  <w:rPr>
                    <w:rFonts w:ascii="Arial Narrow" w:hAnsi="Arial Narrow"/>
                    <w:sz w:val="16"/>
                    <w:szCs w:val="16"/>
                  </w:rPr>
                  <w:t>NIP 778-12-25-831, REGON 630682977</w:t>
                </w:r>
              </w:p>
              <w:p w:rsidR="00AC3BAE" w:rsidRPr="00AC3BAE" w:rsidRDefault="00131324" w:rsidP="00AC3BAE">
                <w:pPr>
                  <w:spacing w:line="216" w:lineRule="auto"/>
                  <w:rPr>
                    <w:rFonts w:ascii="Arial Narrow" w:hAnsi="Arial Narrow"/>
                    <w:sz w:val="16"/>
                    <w:szCs w:val="16"/>
                  </w:rPr>
                </w:pPr>
                <w:r>
                  <w:rPr>
                    <w:rFonts w:ascii="Arial Narrow" w:hAnsi="Arial Narrow"/>
                    <w:sz w:val="16"/>
                    <w:szCs w:val="16"/>
                  </w:rPr>
                  <w:t>Kapitał zakładowy:  371 041 500,00 zł</w:t>
                </w:r>
              </w:p>
            </w:txbxContent>
          </v:textbox>
          <w10:wrap type="square" anchory="page"/>
        </v:shape>
      </w:pict>
    </w:r>
    <w:r>
      <w:rPr>
        <w:noProof/>
      </w:rPr>
      <w:pict>
        <v:shape id="Pole tekstowe 5" o:spid="_x0000_s2051" type="#_x0000_t202" style="position:absolute;margin-left:384.15pt;margin-top:773.55pt;width:175.75pt;height:24.8pt;z-index:251663360;visibility:visible;mso-height-percent:200;mso-wrap-distance-top:3.6pt;mso-wrap-distance-bottom:3.6pt;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" filled="f" stroked="f">
          <v:textbox style="mso-fit-shape-to-text:t" inset="0,0,0,0">
            <w:txbxContent>
              <w:p w:rsidR="00B613BF" w:rsidRPr="00B613BF" w:rsidRDefault="00131324" w:rsidP="00B613BF">
                <w:pPr>
                  <w:spacing w:line="216" w:lineRule="auto"/>
                  <w:rPr>
                    <w:rFonts w:ascii="Arial Narrow" w:hAnsi="Arial Narrow"/>
                    <w:sz w:val="16"/>
                    <w:szCs w:val="16"/>
                  </w:rPr>
                </w:pPr>
                <w:r w:rsidRPr="00B613BF">
                  <w:rPr>
                    <w:rFonts w:ascii="Arial Narrow" w:hAnsi="Arial Narrow"/>
                    <w:sz w:val="16"/>
                    <w:szCs w:val="16"/>
                  </w:rPr>
                  <w:t>KRS: 0000030524</w:t>
                </w:r>
              </w:p>
              <w:p w:rsidR="00B613BF" w:rsidRPr="00B613BF" w:rsidRDefault="00131324" w:rsidP="00B613BF">
                <w:pPr>
                  <w:spacing w:line="216" w:lineRule="auto"/>
                  <w:rPr>
                    <w:rFonts w:ascii="Arial Narrow" w:hAnsi="Arial Narrow"/>
                    <w:sz w:val="16"/>
                    <w:szCs w:val="16"/>
                  </w:rPr>
                </w:pPr>
                <w:r w:rsidRPr="00B613BF">
                  <w:rPr>
                    <w:rFonts w:ascii="Arial Narrow" w:hAnsi="Arial Narrow"/>
                    <w:sz w:val="16"/>
                    <w:szCs w:val="16"/>
                  </w:rPr>
                  <w:t>Sąd Rejonowy Poznań – Nowe Miasto i Wilda w Poznaniu</w:t>
                </w:r>
              </w:p>
              <w:p w:rsidR="00B613BF" w:rsidRPr="00AC3BAE" w:rsidRDefault="00131324" w:rsidP="00B613BF">
                <w:pPr>
                  <w:spacing w:line="216" w:lineRule="auto"/>
                  <w:rPr>
                    <w:rFonts w:ascii="Arial Narrow" w:hAnsi="Arial Narrow"/>
                    <w:sz w:val="16"/>
                    <w:szCs w:val="16"/>
                  </w:rPr>
                </w:pPr>
                <w:r w:rsidRPr="00B613BF">
                  <w:rPr>
                    <w:rFonts w:ascii="Arial Narrow" w:hAnsi="Arial Narrow"/>
                    <w:sz w:val="16"/>
                    <w:szCs w:val="16"/>
                  </w:rPr>
                  <w:t>Wydział VIII Gospodarczy Krajowego Rejestru Sądowego</w:t>
                </w:r>
              </w:p>
            </w:txbxContent>
          </v:textbox>
          <w10:wrap type="square" anchorx="page" anchory="page"/>
        </v:shape>
      </w:pict>
    </w:r>
    <w:r>
      <w:rPr>
        <w:noProof/>
      </w:rPr>
      <w:pict>
        <v:shape id="Pole tekstowe 4" o:spid="_x0000_s2052" type="#_x0000_t202" style="position:absolute;margin-left:-.1pt;margin-top:773.55pt;width:189.05pt;height:24.8pt;z-index:251661312;visibility:visible;mso-height-percent:200;mso-wrap-distance-top:3.6pt;mso-wrap-distance-bottom:3.6p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" filled="f" stroked="f">
          <v:textbox style="mso-fit-shape-to-text:t" inset="0,0,0,0">
            <w:txbxContent>
              <w:p w:rsidR="00AC3BAE" w:rsidRPr="00AC3BAE" w:rsidRDefault="00131324" w:rsidP="00AC3BAE">
                <w:pPr>
                  <w:spacing w:line="216" w:lineRule="auto"/>
                  <w:rPr>
                    <w:rFonts w:ascii="Arial Narrow" w:hAnsi="Arial Narrow"/>
                    <w:sz w:val="16"/>
                    <w:szCs w:val="16"/>
                  </w:rPr>
                </w:pPr>
                <w:r w:rsidRPr="00B613BF">
                  <w:rPr>
                    <w:rFonts w:ascii="Arial Narrow" w:hAnsi="Arial Narrow"/>
                    <w:sz w:val="16"/>
                    <w:szCs w:val="16"/>
                  </w:rPr>
                  <w:t>Poznańskie Towarzystwo Budownictwa Społecznego sp. z o.o.</w:t>
                </w:r>
                <w:r w:rsidRPr="00B613BF">
                  <w:rPr>
                    <w:rFonts w:ascii="Arial Narrow" w:hAnsi="Arial Narrow"/>
                    <w:sz w:val="16"/>
                    <w:szCs w:val="16"/>
                  </w:rPr>
                  <w:br/>
                </w:r>
                <w:r w:rsidRPr="00AC3BAE">
                  <w:rPr>
                    <w:rFonts w:ascii="Arial Narrow" w:hAnsi="Arial Narrow"/>
                    <w:sz w:val="16"/>
                    <w:szCs w:val="16"/>
                  </w:rPr>
                  <w:t>ul. Konfederacka 4, 60-281 Poznań</w:t>
                </w:r>
                <w:r>
                  <w:rPr>
                    <w:rFonts w:ascii="Arial Narrow" w:hAnsi="Arial Narrow"/>
                    <w:sz w:val="16"/>
                    <w:szCs w:val="16"/>
                  </w:rPr>
                  <w:br/>
                </w:r>
                <w:r w:rsidRPr="00AC3BAE">
                  <w:rPr>
                    <w:rFonts w:ascii="Arial Narrow" w:hAnsi="Arial Narrow"/>
                    <w:sz w:val="16"/>
                    <w:szCs w:val="16"/>
                  </w:rPr>
                  <w:t>Sekretariat tel. +48 61 850 83 21, fax. +48 61 850 83 00</w:t>
                </w:r>
              </w:p>
            </w:txbxContent>
          </v:textbox>
          <w10:wrap type="square" anchory="page"/>
        </v:shape>
      </w:pict>
    </w:r>
    <w:r>
      <w:rPr>
        <w:noProof/>
      </w:rPr>
      <w:pict>
        <v:line id="Łącznik prosty 3" o:spid="_x0000_s2053" style="position:absolute;z-index:251660288;visibility:visible;mso-wrap-distance-top:-3e-5mm;mso-wrap-distance-bottom:-3e-5mm;mso-position-horizontal-relative:page;mso-position-vertical-relative:page;mso-width-relative:margin" from="70.9pt,768.3pt" to="552.8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" strokecolor="black [3213]" strokeweight=".5pt">
          <v:stroke joinstyle="miter"/>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8AD" w:rsidRDefault="00B778AD">
      <w:r>
        <w:separator/>
      </w:r>
    </w:p>
  </w:footnote>
  <w:footnote w:type="continuationSeparator" w:id="0">
    <w:p w:rsidR="00B778AD" w:rsidRDefault="00B77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9DD" w:rsidRPr="00D8290E" w:rsidRDefault="00131324" w:rsidP="00D8290E">
    <w:pPr>
      <w:pStyle w:val="Nagwek"/>
      <w:jc w:val="right"/>
      <w:rPr>
        <w:rFonts w:ascii="Arial Narrow" w:hAnsi="Arial Narrow"/>
      </w:rPr>
    </w:pPr>
    <w:r w:rsidRPr="00D8290E">
      <w:rPr>
        <w:rFonts w:ascii="Arial Narrow" w:hAnsi="Arial Narrow"/>
        <w:noProof/>
      </w:rPr>
      <w:drawing>
        <wp:anchor distT="0" distB="0" distL="114300" distR="114300" simplePos="0" relativeHeight="251659264" behindDoc="0" locked="0" layoutInCell="1" allowOverlap="0">
          <wp:simplePos x="0" y="0"/>
          <wp:positionH relativeFrom="page">
            <wp:posOffset>900430</wp:posOffset>
          </wp:positionH>
          <wp:positionV relativeFrom="page">
            <wp:posOffset>360045</wp:posOffset>
          </wp:positionV>
          <wp:extent cx="1904400" cy="828000"/>
          <wp:effectExtent l="0" t="0" r="635" b="0"/>
          <wp:wrapNone/>
          <wp:docPr id="1" name="Obraz 1" descr="E:\GRAFIKA - Prace\PTBS\2 - papier firmowy\logo-ciemny-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RAFIKA - Prace\PTBS\2 - papier firmowy\logo-ciemny-clai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28000"/>
                  </a:xfrm>
                  <a:prstGeom prst="rect">
                    <a:avLst/>
                  </a:prstGeom>
                  <a:noFill/>
                  <a:ln>
                    <a:noFill/>
                  </a:ln>
                </pic:spPr>
              </pic:pic>
            </a:graphicData>
          </a:graphic>
        </wp:anchor>
      </w:drawing>
    </w:r>
  </w:p>
  <w:p w:rsidR="006809DD" w:rsidRDefault="00B778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DEB"/>
    <w:multiLevelType w:val="hybridMultilevel"/>
    <w:tmpl w:val="4B4619B4"/>
    <w:lvl w:ilvl="0" w:tplc="57329BAA">
      <w:start w:val="1"/>
      <w:numFmt w:val="upperLetter"/>
      <w:lvlText w:val="%1."/>
      <w:lvlJc w:val="left"/>
      <w:pPr>
        <w:ind w:left="1353" w:hanging="360"/>
      </w:pPr>
      <w:rPr>
        <w:rFonts w:hint="default"/>
        <w:b/>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 w15:restartNumberingAfterBreak="0">
    <w:nsid w:val="04A023A0"/>
    <w:multiLevelType w:val="hybridMultilevel"/>
    <w:tmpl w:val="E1C4AA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C18433C"/>
    <w:multiLevelType w:val="hybridMultilevel"/>
    <w:tmpl w:val="64081250"/>
    <w:lvl w:ilvl="0" w:tplc="54DA9A42">
      <w:start w:val="1"/>
      <w:numFmt w:val="upp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0725132"/>
    <w:multiLevelType w:val="hybridMultilevel"/>
    <w:tmpl w:val="5550422A"/>
    <w:lvl w:ilvl="0" w:tplc="9A82D9C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33767777"/>
    <w:multiLevelType w:val="hybridMultilevel"/>
    <w:tmpl w:val="AA3C71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62279D2"/>
    <w:multiLevelType w:val="hybridMultilevel"/>
    <w:tmpl w:val="5A6EC30E"/>
    <w:lvl w:ilvl="0" w:tplc="D80A8AEE">
      <w:start w:val="1"/>
      <w:numFmt w:val="lowerLetter"/>
      <w:lvlText w:val="%1)"/>
      <w:lvlJc w:val="left"/>
      <w:pPr>
        <w:ind w:left="1312" w:hanging="396"/>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6" w15:restartNumberingAfterBreak="0">
    <w:nsid w:val="3BD340AC"/>
    <w:multiLevelType w:val="multilevel"/>
    <w:tmpl w:val="89BC65F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D7C7BE8"/>
    <w:multiLevelType w:val="hybridMultilevel"/>
    <w:tmpl w:val="38EAE798"/>
    <w:lvl w:ilvl="0" w:tplc="BD5AD806">
      <w:start w:val="1"/>
      <w:numFmt w:val="lowerLetter"/>
      <w:lvlText w:val="%1)"/>
      <w:lvlJc w:val="left"/>
      <w:pPr>
        <w:ind w:left="1080" w:hanging="360"/>
      </w:pPr>
      <w:rPr>
        <w:rFonts w:hint="default"/>
      </w:rPr>
    </w:lvl>
    <w:lvl w:ilvl="1" w:tplc="04150001">
      <w:start w:val="1"/>
      <w:numFmt w:val="bullet"/>
      <w:lvlText w:val=""/>
      <w:lvlJc w:val="left"/>
      <w:pPr>
        <w:ind w:left="15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1B916BA"/>
    <w:multiLevelType w:val="hybridMultilevel"/>
    <w:tmpl w:val="56460F8C"/>
    <w:lvl w:ilvl="0" w:tplc="4C84CB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B26AB9"/>
    <w:multiLevelType w:val="hybridMultilevel"/>
    <w:tmpl w:val="29EEE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ED4328"/>
    <w:multiLevelType w:val="hybridMultilevel"/>
    <w:tmpl w:val="11B84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AB42DD"/>
    <w:multiLevelType w:val="hybridMultilevel"/>
    <w:tmpl w:val="BA1C777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10"/>
  </w:num>
  <w:num w:numId="2">
    <w:abstractNumId w:val="2"/>
  </w:num>
  <w:num w:numId="3">
    <w:abstractNumId w:val="5"/>
  </w:num>
  <w:num w:numId="4">
    <w:abstractNumId w:val="6"/>
  </w:num>
  <w:num w:numId="5">
    <w:abstractNumId w:val="0"/>
  </w:num>
  <w:num w:numId="6">
    <w:abstractNumId w:val="11"/>
  </w:num>
  <w:num w:numId="7">
    <w:abstractNumId w:val="7"/>
  </w:num>
  <w:num w:numId="8">
    <w:abstractNumId w:val="9"/>
  </w:num>
  <w:num w:numId="9">
    <w:abstractNumId w:val="8"/>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2EFE"/>
    <w:rsid w:val="000007C4"/>
    <w:rsid w:val="0000691C"/>
    <w:rsid w:val="00011AB6"/>
    <w:rsid w:val="00011F08"/>
    <w:rsid w:val="0004162B"/>
    <w:rsid w:val="00042287"/>
    <w:rsid w:val="00053D0F"/>
    <w:rsid w:val="00060943"/>
    <w:rsid w:val="000662E0"/>
    <w:rsid w:val="00072C8A"/>
    <w:rsid w:val="000763C8"/>
    <w:rsid w:val="0009126D"/>
    <w:rsid w:val="00091F82"/>
    <w:rsid w:val="000D066D"/>
    <w:rsid w:val="000D43A6"/>
    <w:rsid w:val="000E15D2"/>
    <w:rsid w:val="000F0466"/>
    <w:rsid w:val="00105D9C"/>
    <w:rsid w:val="00117098"/>
    <w:rsid w:val="00127A76"/>
    <w:rsid w:val="00127CF2"/>
    <w:rsid w:val="00131324"/>
    <w:rsid w:val="001365C8"/>
    <w:rsid w:val="00141AFC"/>
    <w:rsid w:val="00161A22"/>
    <w:rsid w:val="00174DAD"/>
    <w:rsid w:val="001764C8"/>
    <w:rsid w:val="00191F65"/>
    <w:rsid w:val="00194CF4"/>
    <w:rsid w:val="0019640F"/>
    <w:rsid w:val="001A3235"/>
    <w:rsid w:val="001A5C07"/>
    <w:rsid w:val="001A6B2E"/>
    <w:rsid w:val="001F0DE2"/>
    <w:rsid w:val="001F4451"/>
    <w:rsid w:val="0020126E"/>
    <w:rsid w:val="00220C61"/>
    <w:rsid w:val="00226980"/>
    <w:rsid w:val="00234969"/>
    <w:rsid w:val="002823D8"/>
    <w:rsid w:val="00293F77"/>
    <w:rsid w:val="002C1A26"/>
    <w:rsid w:val="002D54A9"/>
    <w:rsid w:val="002E09EE"/>
    <w:rsid w:val="002E0FC7"/>
    <w:rsid w:val="002E125F"/>
    <w:rsid w:val="002F57FB"/>
    <w:rsid w:val="00310A5F"/>
    <w:rsid w:val="00322024"/>
    <w:rsid w:val="003255DB"/>
    <w:rsid w:val="00327275"/>
    <w:rsid w:val="0034798F"/>
    <w:rsid w:val="003628F2"/>
    <w:rsid w:val="003637B9"/>
    <w:rsid w:val="0036458F"/>
    <w:rsid w:val="003910A6"/>
    <w:rsid w:val="003A7A4E"/>
    <w:rsid w:val="003C3711"/>
    <w:rsid w:val="003D7A74"/>
    <w:rsid w:val="003F5E5F"/>
    <w:rsid w:val="00401040"/>
    <w:rsid w:val="004018E3"/>
    <w:rsid w:val="00410EA3"/>
    <w:rsid w:val="00424581"/>
    <w:rsid w:val="004251A7"/>
    <w:rsid w:val="00431FB6"/>
    <w:rsid w:val="004563F6"/>
    <w:rsid w:val="004626BE"/>
    <w:rsid w:val="00490D3A"/>
    <w:rsid w:val="00494426"/>
    <w:rsid w:val="004C0257"/>
    <w:rsid w:val="004C339D"/>
    <w:rsid w:val="004C4FAB"/>
    <w:rsid w:val="004E2E0A"/>
    <w:rsid w:val="004E489B"/>
    <w:rsid w:val="00501E4B"/>
    <w:rsid w:val="00543B8D"/>
    <w:rsid w:val="005605EC"/>
    <w:rsid w:val="0057041E"/>
    <w:rsid w:val="00571E03"/>
    <w:rsid w:val="00586A5B"/>
    <w:rsid w:val="005944DD"/>
    <w:rsid w:val="00596951"/>
    <w:rsid w:val="005A363E"/>
    <w:rsid w:val="005A43AC"/>
    <w:rsid w:val="005B2B69"/>
    <w:rsid w:val="005B7F27"/>
    <w:rsid w:val="005C6F61"/>
    <w:rsid w:val="005D5B4F"/>
    <w:rsid w:val="005E5FD4"/>
    <w:rsid w:val="005F12F0"/>
    <w:rsid w:val="005F420D"/>
    <w:rsid w:val="006129E1"/>
    <w:rsid w:val="006205AF"/>
    <w:rsid w:val="00637326"/>
    <w:rsid w:val="00640D64"/>
    <w:rsid w:val="00646A19"/>
    <w:rsid w:val="00646DB1"/>
    <w:rsid w:val="006506CF"/>
    <w:rsid w:val="00655AD5"/>
    <w:rsid w:val="00661F87"/>
    <w:rsid w:val="0066378A"/>
    <w:rsid w:val="00697056"/>
    <w:rsid w:val="006B4E7F"/>
    <w:rsid w:val="006C237E"/>
    <w:rsid w:val="006F5E85"/>
    <w:rsid w:val="00714311"/>
    <w:rsid w:val="007401EE"/>
    <w:rsid w:val="00742763"/>
    <w:rsid w:val="00776795"/>
    <w:rsid w:val="007A17F0"/>
    <w:rsid w:val="007C0E7D"/>
    <w:rsid w:val="007D6CBF"/>
    <w:rsid w:val="007D7191"/>
    <w:rsid w:val="007F6402"/>
    <w:rsid w:val="008129D4"/>
    <w:rsid w:val="008431FD"/>
    <w:rsid w:val="00874331"/>
    <w:rsid w:val="00881E53"/>
    <w:rsid w:val="00891510"/>
    <w:rsid w:val="00897252"/>
    <w:rsid w:val="008E58C2"/>
    <w:rsid w:val="00912A97"/>
    <w:rsid w:val="00921D4D"/>
    <w:rsid w:val="00925081"/>
    <w:rsid w:val="00943084"/>
    <w:rsid w:val="009571BE"/>
    <w:rsid w:val="009700F2"/>
    <w:rsid w:val="00984EF7"/>
    <w:rsid w:val="00993E73"/>
    <w:rsid w:val="009A2EFE"/>
    <w:rsid w:val="009A503B"/>
    <w:rsid w:val="009A7D5D"/>
    <w:rsid w:val="009D29A2"/>
    <w:rsid w:val="00A25BE3"/>
    <w:rsid w:val="00A40D48"/>
    <w:rsid w:val="00A616B7"/>
    <w:rsid w:val="00A61FC0"/>
    <w:rsid w:val="00A81398"/>
    <w:rsid w:val="00AA0356"/>
    <w:rsid w:val="00AF6B7A"/>
    <w:rsid w:val="00B32678"/>
    <w:rsid w:val="00B4025B"/>
    <w:rsid w:val="00B672E7"/>
    <w:rsid w:val="00B778AD"/>
    <w:rsid w:val="00B93890"/>
    <w:rsid w:val="00BC3A73"/>
    <w:rsid w:val="00BE588F"/>
    <w:rsid w:val="00C07DE3"/>
    <w:rsid w:val="00C13BFD"/>
    <w:rsid w:val="00C14833"/>
    <w:rsid w:val="00C23EC0"/>
    <w:rsid w:val="00C30331"/>
    <w:rsid w:val="00C316FE"/>
    <w:rsid w:val="00C35749"/>
    <w:rsid w:val="00C3756A"/>
    <w:rsid w:val="00C409D3"/>
    <w:rsid w:val="00C51503"/>
    <w:rsid w:val="00C55D19"/>
    <w:rsid w:val="00C62344"/>
    <w:rsid w:val="00C631F6"/>
    <w:rsid w:val="00C66C2C"/>
    <w:rsid w:val="00C73F35"/>
    <w:rsid w:val="00C80F0D"/>
    <w:rsid w:val="00C85600"/>
    <w:rsid w:val="00CB0709"/>
    <w:rsid w:val="00CD40D9"/>
    <w:rsid w:val="00CF3C5A"/>
    <w:rsid w:val="00CF6A73"/>
    <w:rsid w:val="00D003D1"/>
    <w:rsid w:val="00D15ABB"/>
    <w:rsid w:val="00D31A19"/>
    <w:rsid w:val="00D47436"/>
    <w:rsid w:val="00D6691A"/>
    <w:rsid w:val="00DA2EDD"/>
    <w:rsid w:val="00DA3837"/>
    <w:rsid w:val="00DB21B0"/>
    <w:rsid w:val="00DB32E2"/>
    <w:rsid w:val="00DB5CDC"/>
    <w:rsid w:val="00DE26D0"/>
    <w:rsid w:val="00E10F96"/>
    <w:rsid w:val="00E12B58"/>
    <w:rsid w:val="00E14355"/>
    <w:rsid w:val="00E26172"/>
    <w:rsid w:val="00E52150"/>
    <w:rsid w:val="00E55BEB"/>
    <w:rsid w:val="00E55C03"/>
    <w:rsid w:val="00E87E5D"/>
    <w:rsid w:val="00E91B2E"/>
    <w:rsid w:val="00E93AFB"/>
    <w:rsid w:val="00EA4C89"/>
    <w:rsid w:val="00EB1A89"/>
    <w:rsid w:val="00EB7042"/>
    <w:rsid w:val="00EC1534"/>
    <w:rsid w:val="00EC3969"/>
    <w:rsid w:val="00EC57BF"/>
    <w:rsid w:val="00EF5D58"/>
    <w:rsid w:val="00F0229D"/>
    <w:rsid w:val="00F24F68"/>
    <w:rsid w:val="00F27D79"/>
    <w:rsid w:val="00F36F6C"/>
    <w:rsid w:val="00F52EDF"/>
    <w:rsid w:val="00F647FA"/>
    <w:rsid w:val="00F72CD3"/>
    <w:rsid w:val="00F86C92"/>
    <w:rsid w:val="00FC6A1E"/>
    <w:rsid w:val="00FF7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4055AB"/>
  <w15:docId w15:val="{560B2C5B-BA61-4592-8EF9-55413197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A2EFE"/>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rrow12">
    <w:name w:val="Narrow 12"/>
    <w:basedOn w:val="Normalny"/>
    <w:link w:val="Narrow12Znak"/>
    <w:qFormat/>
    <w:rsid w:val="009A2EFE"/>
    <w:rPr>
      <w:rFonts w:ascii="Arial Narrow" w:hAnsi="Arial Narrow"/>
      <w:sz w:val="24"/>
      <w:szCs w:val="24"/>
    </w:rPr>
  </w:style>
  <w:style w:type="paragraph" w:customStyle="1" w:styleId="NarrowItalic8">
    <w:name w:val="Narrow Italic 8"/>
    <w:basedOn w:val="Narrow12"/>
    <w:link w:val="NarrowItalic8Znak"/>
    <w:qFormat/>
    <w:rsid w:val="009A2EFE"/>
    <w:pPr>
      <w:spacing w:line="276" w:lineRule="auto"/>
    </w:pPr>
    <w:rPr>
      <w:i/>
      <w:sz w:val="16"/>
      <w:szCs w:val="16"/>
    </w:rPr>
  </w:style>
  <w:style w:type="character" w:customStyle="1" w:styleId="Narrow12Znak">
    <w:name w:val="Narrow 12 Znak"/>
    <w:basedOn w:val="Domylnaczcionkaakapitu"/>
    <w:link w:val="Narrow12"/>
    <w:rsid w:val="009A2EFE"/>
    <w:rPr>
      <w:rFonts w:ascii="Arial Narrow" w:hAnsi="Arial Narrow" w:cs="Calibri"/>
      <w:sz w:val="24"/>
      <w:szCs w:val="24"/>
      <w:lang w:eastAsia="pl-PL"/>
    </w:rPr>
  </w:style>
  <w:style w:type="paragraph" w:customStyle="1" w:styleId="NarrowBold12">
    <w:name w:val="Narrow Bold 12"/>
    <w:basedOn w:val="Narrow12"/>
    <w:link w:val="NarrowBold12Znak"/>
    <w:qFormat/>
    <w:rsid w:val="009A2EFE"/>
    <w:pPr>
      <w:spacing w:line="276" w:lineRule="auto"/>
    </w:pPr>
    <w:rPr>
      <w:b/>
    </w:rPr>
  </w:style>
  <w:style w:type="character" w:customStyle="1" w:styleId="NarrowItalic8Znak">
    <w:name w:val="Narrow Italic 8 Znak"/>
    <w:basedOn w:val="Narrow12Znak"/>
    <w:link w:val="NarrowItalic8"/>
    <w:rsid w:val="009A2EFE"/>
    <w:rPr>
      <w:rFonts w:ascii="Arial Narrow" w:hAnsi="Arial Narrow" w:cs="Calibri"/>
      <w:i/>
      <w:sz w:val="16"/>
      <w:szCs w:val="16"/>
      <w:lang w:eastAsia="pl-PL"/>
    </w:rPr>
  </w:style>
  <w:style w:type="paragraph" w:customStyle="1" w:styleId="NarrowBold14">
    <w:name w:val="Narrow Bold 14"/>
    <w:basedOn w:val="Narrow12"/>
    <w:link w:val="NarrowBold14Znak"/>
    <w:qFormat/>
    <w:rsid w:val="009A2EFE"/>
    <w:rPr>
      <w:b/>
      <w:sz w:val="28"/>
    </w:rPr>
  </w:style>
  <w:style w:type="character" w:customStyle="1" w:styleId="NarrowBold12Znak">
    <w:name w:val="Narrow Bold 12 Znak"/>
    <w:basedOn w:val="Narrow12Znak"/>
    <w:link w:val="NarrowBold12"/>
    <w:rsid w:val="009A2EFE"/>
    <w:rPr>
      <w:rFonts w:ascii="Arial Narrow" w:hAnsi="Arial Narrow" w:cs="Calibri"/>
      <w:b/>
      <w:sz w:val="24"/>
      <w:szCs w:val="24"/>
      <w:lang w:eastAsia="pl-PL"/>
    </w:rPr>
  </w:style>
  <w:style w:type="paragraph" w:styleId="Nagwek">
    <w:name w:val="header"/>
    <w:basedOn w:val="Normalny"/>
    <w:link w:val="NagwekZnak"/>
    <w:uiPriority w:val="99"/>
    <w:unhideWhenUsed/>
    <w:rsid w:val="009A2EFE"/>
    <w:pPr>
      <w:tabs>
        <w:tab w:val="center" w:pos="4536"/>
        <w:tab w:val="right" w:pos="9072"/>
      </w:tabs>
    </w:pPr>
  </w:style>
  <w:style w:type="character" w:customStyle="1" w:styleId="NagwekZnak">
    <w:name w:val="Nagłówek Znak"/>
    <w:basedOn w:val="Domylnaczcionkaakapitu"/>
    <w:link w:val="Nagwek"/>
    <w:uiPriority w:val="99"/>
    <w:rsid w:val="009A2EFE"/>
    <w:rPr>
      <w:rFonts w:ascii="Calibri" w:hAnsi="Calibri" w:cs="Calibri"/>
      <w:lang w:eastAsia="pl-PL"/>
    </w:rPr>
  </w:style>
  <w:style w:type="character" w:customStyle="1" w:styleId="NarrowBold14Znak">
    <w:name w:val="Narrow Bold 14 Znak"/>
    <w:basedOn w:val="Narrow12Znak"/>
    <w:link w:val="NarrowBold14"/>
    <w:rsid w:val="009A2EFE"/>
    <w:rPr>
      <w:rFonts w:ascii="Arial Narrow" w:hAnsi="Arial Narrow" w:cs="Calibri"/>
      <w:b/>
      <w:sz w:val="28"/>
      <w:szCs w:val="24"/>
      <w:lang w:eastAsia="pl-PL"/>
    </w:rPr>
  </w:style>
  <w:style w:type="paragraph" w:styleId="Stopka">
    <w:name w:val="footer"/>
    <w:basedOn w:val="Normalny"/>
    <w:link w:val="StopkaZnak"/>
    <w:uiPriority w:val="99"/>
    <w:unhideWhenUsed/>
    <w:rsid w:val="009A2EFE"/>
    <w:pPr>
      <w:tabs>
        <w:tab w:val="center" w:pos="4536"/>
        <w:tab w:val="right" w:pos="9072"/>
      </w:tabs>
    </w:pPr>
  </w:style>
  <w:style w:type="character" w:customStyle="1" w:styleId="StopkaZnak">
    <w:name w:val="Stopka Znak"/>
    <w:basedOn w:val="Domylnaczcionkaakapitu"/>
    <w:link w:val="Stopka"/>
    <w:uiPriority w:val="99"/>
    <w:rsid w:val="009A2EFE"/>
    <w:rPr>
      <w:rFonts w:ascii="Calibri" w:hAnsi="Calibri" w:cs="Calibri"/>
      <w:lang w:eastAsia="pl-PL"/>
    </w:rPr>
  </w:style>
  <w:style w:type="paragraph" w:styleId="Akapitzlist">
    <w:name w:val="List Paragraph"/>
    <w:basedOn w:val="Normalny"/>
    <w:uiPriority w:val="34"/>
    <w:qFormat/>
    <w:rsid w:val="009A2EFE"/>
    <w:pPr>
      <w:ind w:left="720"/>
      <w:contextualSpacing/>
    </w:pPr>
  </w:style>
  <w:style w:type="paragraph" w:styleId="NormalnyWeb">
    <w:name w:val="Normal (Web)"/>
    <w:basedOn w:val="Normalny"/>
    <w:uiPriority w:val="99"/>
    <w:unhideWhenUsed/>
    <w:rsid w:val="009A2EFE"/>
    <w:pPr>
      <w:spacing w:before="100" w:beforeAutospacing="1" w:after="100" w:afterAutospacing="1"/>
    </w:pPr>
  </w:style>
  <w:style w:type="character" w:styleId="Odwoaniedokomentarza">
    <w:name w:val="annotation reference"/>
    <w:basedOn w:val="Domylnaczcionkaakapitu"/>
    <w:uiPriority w:val="99"/>
    <w:semiHidden/>
    <w:unhideWhenUsed/>
    <w:rsid w:val="009A2EFE"/>
    <w:rPr>
      <w:sz w:val="16"/>
      <w:szCs w:val="16"/>
    </w:rPr>
  </w:style>
  <w:style w:type="paragraph" w:styleId="Tekstkomentarza">
    <w:name w:val="annotation text"/>
    <w:basedOn w:val="Normalny"/>
    <w:link w:val="TekstkomentarzaZnak"/>
    <w:uiPriority w:val="99"/>
    <w:semiHidden/>
    <w:unhideWhenUsed/>
    <w:rsid w:val="009A2EFE"/>
    <w:rPr>
      <w:sz w:val="20"/>
      <w:szCs w:val="20"/>
    </w:rPr>
  </w:style>
  <w:style w:type="character" w:customStyle="1" w:styleId="TekstkomentarzaZnak">
    <w:name w:val="Tekst komentarza Znak"/>
    <w:basedOn w:val="Domylnaczcionkaakapitu"/>
    <w:link w:val="Tekstkomentarza"/>
    <w:uiPriority w:val="99"/>
    <w:semiHidden/>
    <w:rsid w:val="009A2EFE"/>
    <w:rPr>
      <w:rFonts w:ascii="Calibri" w:hAnsi="Calibri" w:cs="Calibri"/>
      <w:sz w:val="20"/>
      <w:szCs w:val="20"/>
      <w:lang w:eastAsia="pl-PL"/>
    </w:rPr>
  </w:style>
  <w:style w:type="paragraph" w:customStyle="1" w:styleId="ustustnpkodeksu">
    <w:name w:val="ustustnpkodeksu"/>
    <w:basedOn w:val="Normalny"/>
    <w:rsid w:val="009A2EFE"/>
    <w:pPr>
      <w:spacing w:before="100" w:beforeAutospacing="1" w:after="100" w:afterAutospacing="1"/>
    </w:pPr>
    <w:rPr>
      <w:rFonts w:ascii="Times New Roman" w:eastAsia="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4E489B"/>
    <w:rPr>
      <w:b/>
      <w:bCs/>
    </w:rPr>
  </w:style>
  <w:style w:type="character" w:customStyle="1" w:styleId="TematkomentarzaZnak">
    <w:name w:val="Temat komentarza Znak"/>
    <w:basedOn w:val="TekstkomentarzaZnak"/>
    <w:link w:val="Tematkomentarza"/>
    <w:uiPriority w:val="99"/>
    <w:semiHidden/>
    <w:rsid w:val="004E489B"/>
    <w:rPr>
      <w:rFonts w:ascii="Calibri" w:hAnsi="Calibri" w:cs="Calibri"/>
      <w:b/>
      <w:bCs/>
      <w:sz w:val="20"/>
      <w:szCs w:val="20"/>
      <w:lang w:eastAsia="pl-PL"/>
    </w:rPr>
  </w:style>
  <w:style w:type="character" w:styleId="Hipercze">
    <w:name w:val="Hyperlink"/>
    <w:basedOn w:val="Domylnaczcionkaakapitu"/>
    <w:uiPriority w:val="99"/>
    <w:unhideWhenUsed/>
    <w:rsid w:val="002E125F"/>
    <w:rPr>
      <w:color w:val="0563C1" w:themeColor="hyperlink"/>
      <w:u w:val="single"/>
    </w:rPr>
  </w:style>
  <w:style w:type="character" w:customStyle="1" w:styleId="Nierozpoznanawzmianka1">
    <w:name w:val="Nierozpoznana wzmianka1"/>
    <w:basedOn w:val="Domylnaczcionkaakapitu"/>
    <w:uiPriority w:val="99"/>
    <w:semiHidden/>
    <w:unhideWhenUsed/>
    <w:rsid w:val="002E125F"/>
    <w:rPr>
      <w:color w:val="605E5C"/>
      <w:shd w:val="clear" w:color="auto" w:fill="E1DFDD"/>
    </w:rPr>
  </w:style>
  <w:style w:type="paragraph" w:styleId="Zwykytekst">
    <w:name w:val="Plain Text"/>
    <w:basedOn w:val="Normalny"/>
    <w:link w:val="ZwykytekstZnak"/>
    <w:uiPriority w:val="99"/>
    <w:semiHidden/>
    <w:unhideWhenUsed/>
    <w:rsid w:val="001F0DE2"/>
    <w:rPr>
      <w:rFonts w:cstheme="minorBidi"/>
      <w:szCs w:val="21"/>
      <w:lang w:eastAsia="en-US"/>
    </w:rPr>
  </w:style>
  <w:style w:type="character" w:customStyle="1" w:styleId="ZwykytekstZnak">
    <w:name w:val="Zwykły tekst Znak"/>
    <w:basedOn w:val="Domylnaczcionkaakapitu"/>
    <w:link w:val="Zwykytekst"/>
    <w:uiPriority w:val="99"/>
    <w:semiHidden/>
    <w:rsid w:val="001F0DE2"/>
    <w:rPr>
      <w:rFonts w:ascii="Calibri" w:hAnsi="Calibri"/>
      <w:szCs w:val="21"/>
    </w:rPr>
  </w:style>
  <w:style w:type="paragraph" w:styleId="Tekstdymka">
    <w:name w:val="Balloon Text"/>
    <w:basedOn w:val="Normalny"/>
    <w:link w:val="TekstdymkaZnak"/>
    <w:uiPriority w:val="99"/>
    <w:semiHidden/>
    <w:unhideWhenUsed/>
    <w:rsid w:val="005A363E"/>
    <w:rPr>
      <w:rFonts w:ascii="Tahoma" w:hAnsi="Tahoma" w:cs="Tahoma"/>
      <w:sz w:val="16"/>
      <w:szCs w:val="16"/>
    </w:rPr>
  </w:style>
  <w:style w:type="character" w:customStyle="1" w:styleId="TekstdymkaZnak">
    <w:name w:val="Tekst dymka Znak"/>
    <w:basedOn w:val="Domylnaczcionkaakapitu"/>
    <w:link w:val="Tekstdymka"/>
    <w:uiPriority w:val="99"/>
    <w:semiHidden/>
    <w:rsid w:val="005A363E"/>
    <w:rPr>
      <w:rFonts w:ascii="Tahoma" w:hAnsi="Tahoma" w:cs="Tahoma"/>
      <w:sz w:val="16"/>
      <w:szCs w:val="16"/>
      <w:lang w:eastAsia="pl-PL"/>
    </w:rPr>
  </w:style>
  <w:style w:type="paragraph" w:styleId="Poprawka">
    <w:name w:val="Revision"/>
    <w:hidden/>
    <w:uiPriority w:val="99"/>
    <w:semiHidden/>
    <w:rsid w:val="004C4FAB"/>
    <w:pPr>
      <w:spacing w:after="0" w:line="240" w:lineRule="auto"/>
    </w:pPr>
    <w:rPr>
      <w:rFonts w:ascii="Calibri" w:hAnsi="Calibri" w:cs="Calibri"/>
      <w:lang w:eastAsia="pl-PL"/>
    </w:rPr>
  </w:style>
  <w:style w:type="paragraph" w:styleId="Tekstpodstawowywcity">
    <w:name w:val="Body Text Indent"/>
    <w:basedOn w:val="Normalny"/>
    <w:link w:val="TekstpodstawowywcityZnak"/>
    <w:uiPriority w:val="99"/>
    <w:rsid w:val="00E91B2E"/>
    <w:pPr>
      <w:ind w:left="426"/>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E91B2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54321">
      <w:bodyDiv w:val="1"/>
      <w:marLeft w:val="0"/>
      <w:marRight w:val="0"/>
      <w:marTop w:val="0"/>
      <w:marBottom w:val="0"/>
      <w:divBdr>
        <w:top w:val="none" w:sz="0" w:space="0" w:color="auto"/>
        <w:left w:val="none" w:sz="0" w:space="0" w:color="auto"/>
        <w:bottom w:val="none" w:sz="0" w:space="0" w:color="auto"/>
        <w:right w:val="none" w:sz="0" w:space="0" w:color="auto"/>
      </w:divBdr>
    </w:div>
    <w:div w:id="205338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se.rankomat.pl/poradniki/marza-kredytu-hipoteczneg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gdalena.cyganik@ptbs.pl" TargetMode="External"/><Relationship Id="rId4" Type="http://schemas.openxmlformats.org/officeDocument/2006/relationships/webSettings" Target="webSettings.xml"/><Relationship Id="rId9" Type="http://schemas.openxmlformats.org/officeDocument/2006/relationships/hyperlink" Target="https://www.totalmoney.pl/kalkulatory/kredyt-gotowkowy-kalkulator-rrs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ptbsDC\dokumenty\Analizy\Plan%20finansowy\Plan%202023\Uwagi%20BNW%20i%20BSL\2022_12_22%20NZDW%20vs%20rynek%20(0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Spłata kredytu i pożyczki w czynszu PTBS  w porównaniu do spłaty w warunkach rynkowych (zł/m</a:t>
            </a:r>
            <a:r>
              <a:rPr lang="pl-PL" baseline="30000"/>
              <a:t>2</a:t>
            </a:r>
            <a:r>
              <a:rPr lang="pl-PL"/>
              <a:t>)</a:t>
            </a:r>
          </a:p>
        </c:rich>
      </c:tx>
      <c:overlay val="0"/>
      <c:spPr>
        <a:noFill/>
        <a:ln>
          <a:noFill/>
        </a:ln>
        <a:effectLst/>
      </c:spPr>
    </c:title>
    <c:autoTitleDeleted val="0"/>
    <c:plotArea>
      <c:layout/>
      <c:barChart>
        <c:barDir val="col"/>
        <c:grouping val="clustered"/>
        <c:varyColors val="0"/>
        <c:ser>
          <c:idx val="0"/>
          <c:order val="0"/>
          <c:tx>
            <c:strRef>
              <c:f>'dane z informacji final_wykres'!$A$21</c:f>
              <c:strCache>
                <c:ptCount val="1"/>
                <c:pt idx="0">
                  <c:v>Spłata kredytu w czynszu / 1 m2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'dane z informacji final_wykres'!$B$17:$D$17</c:f>
              <c:strCache>
                <c:ptCount val="3"/>
                <c:pt idx="0">
                  <c:v>2021 r.</c:v>
                </c:pt>
                <c:pt idx="1">
                  <c:v>2022 r.</c:v>
                </c:pt>
                <c:pt idx="2">
                  <c:v>Plan 2023 r.</c:v>
                </c:pt>
              </c:strCache>
            </c:strRef>
          </c:cat>
          <c:val>
            <c:numRef>
              <c:f>'dane z informacji final_wykres'!$B$21:$D$21</c:f>
              <c:numCache>
                <c:formatCode>#,##0.00</c:formatCode>
                <c:ptCount val="3"/>
                <c:pt idx="0">
                  <c:v>15.12</c:v>
                </c:pt>
                <c:pt idx="1">
                  <c:v>16.739999999999988</c:v>
                </c:pt>
                <c:pt idx="2">
                  <c:v>25.77</c:v>
                </c:pt>
              </c:numCache>
            </c:numRef>
          </c:val>
          <c:extLst>
            <c:ext xmlns:c16="http://schemas.microsoft.com/office/drawing/2014/chart" uri="{C3380CC4-5D6E-409C-BE32-E72D297353CC}">
              <c16:uniqueId val="{00000000-A675-418C-8464-0B6571B8E256}"/>
            </c:ext>
          </c:extLst>
        </c:ser>
        <c:ser>
          <c:idx val="1"/>
          <c:order val="1"/>
          <c:tx>
            <c:strRef>
              <c:f>'dane z informacji final_wykres'!$A$22</c:f>
              <c:strCache>
                <c:ptCount val="1"/>
                <c:pt idx="0">
                  <c:v>Spłata kredytu - warunki rynkowe / 1 m2</c:v>
                </c:pt>
              </c:strCache>
            </c:strRef>
          </c:tx>
          <c:spPr>
            <a:solidFill>
              <a:schemeClr val="accent2"/>
            </a:solidFill>
            <a:ln>
              <a:noFill/>
            </a:ln>
            <a:effectLst/>
          </c:spPr>
          <c:invertIfNegative val="0"/>
          <c:dLbls>
            <c:dLbl>
              <c:idx val="0"/>
              <c:tx>
                <c:rich>
                  <a:bodyPr/>
                  <a:lstStyle/>
                  <a:p>
                    <a:fld id="{4906E9B5-AE0F-473C-83E7-74BC836132B7}" type="CELLRANGE">
                      <a:rPr lang="en-US"/>
                      <a:pPr/>
                      <a:t>[ZAKRES KOMÓREK]</a:t>
                    </a:fld>
                    <a:endParaRPr lang="pl-PL"/>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675-418C-8464-0B6571B8E256}"/>
                </c:ext>
              </c:extLst>
            </c:dLbl>
            <c:dLbl>
              <c:idx val="1"/>
              <c:tx>
                <c:rich>
                  <a:bodyPr/>
                  <a:lstStyle/>
                  <a:p>
                    <a:fld id="{86C77D61-2A40-48AF-925E-B36F03BC248D}" type="CELLRANGE">
                      <a:rPr lang="pl-PL"/>
                      <a:pPr/>
                      <a:t>[ZAKRES KOMÓREK]</a:t>
                    </a:fld>
                    <a:endParaRPr lang="pl-P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675-418C-8464-0B6571B8E256}"/>
                </c:ext>
              </c:extLst>
            </c:dLbl>
            <c:dLbl>
              <c:idx val="2"/>
              <c:tx>
                <c:rich>
                  <a:bodyPr/>
                  <a:lstStyle/>
                  <a:p>
                    <a:fld id="{462D7771-81A6-489C-8C9A-1005ABC0533B}" type="CELLRANGE">
                      <a:rPr lang="pl-PL"/>
                      <a:pPr/>
                      <a:t>[ZAKRES KOMÓREK]</a:t>
                    </a:fld>
                    <a:endParaRPr lang="pl-P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675-418C-8464-0B6571B8E2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'dane z informacji final_wykres'!$B$17:$D$17</c:f>
              <c:strCache>
                <c:ptCount val="3"/>
                <c:pt idx="0">
                  <c:v>2021 r.</c:v>
                </c:pt>
                <c:pt idx="1">
                  <c:v>2022 r.</c:v>
                </c:pt>
                <c:pt idx="2">
                  <c:v>Plan 2023 r.</c:v>
                </c:pt>
              </c:strCache>
            </c:strRef>
          </c:cat>
          <c:val>
            <c:numRef>
              <c:f>'dane z informacji final_wykres'!$B$22:$D$22</c:f>
              <c:numCache>
                <c:formatCode>#,##0.00</c:formatCode>
                <c:ptCount val="3"/>
                <c:pt idx="0">
                  <c:v>19.3</c:v>
                </c:pt>
                <c:pt idx="1">
                  <c:v>28.75</c:v>
                </c:pt>
                <c:pt idx="2">
                  <c:v>30.7</c:v>
                </c:pt>
              </c:numCache>
            </c:numRef>
          </c:val>
          <c:extLst>
            <c:ext xmlns:c15="http://schemas.microsoft.com/office/drawing/2012/chart" uri="{02D57815-91ED-43cb-92C2-25804820EDAC}">
              <c15:datalabelsRange>
                <c15:f>'dane z informacji final_wykres'!$J$56:$L$56</c15:f>
                <c15:dlblRangeCache>
                  <c:ptCount val="3"/>
                  <c:pt idx="0">
                    <c:v>17,30</c:v>
                  </c:pt>
                  <c:pt idx="1">
                    <c:v>26,75</c:v>
                  </c:pt>
                  <c:pt idx="2">
                    <c:v>28,70</c:v>
                  </c:pt>
                </c15:dlblRangeCache>
              </c15:datalabelsRange>
            </c:ext>
            <c:ext xmlns:c16="http://schemas.microsoft.com/office/drawing/2014/chart" uri="{C3380CC4-5D6E-409C-BE32-E72D297353CC}">
              <c16:uniqueId val="{00000004-A675-418C-8464-0B6571B8E256}"/>
            </c:ext>
          </c:extLst>
        </c:ser>
        <c:dLbls>
          <c:showLegendKey val="0"/>
          <c:showVal val="1"/>
          <c:showCatName val="0"/>
          <c:showSerName val="0"/>
          <c:showPercent val="0"/>
          <c:showBubbleSize val="0"/>
        </c:dLbls>
        <c:gapWidth val="219"/>
        <c:overlap val="-27"/>
        <c:axId val="172812160"/>
        <c:axId val="172813696"/>
        <c:extLst/>
      </c:barChart>
      <c:catAx>
        <c:axId val="17281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2813696"/>
        <c:crosses val="autoZero"/>
        <c:auto val="1"/>
        <c:lblAlgn val="ctr"/>
        <c:lblOffset val="100"/>
        <c:noMultiLvlLbl val="0"/>
      </c:catAx>
      <c:valAx>
        <c:axId val="172813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281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3201</Words>
  <Characters>19210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Cyganik</dc:creator>
  <cp:lastModifiedBy>Daria</cp:lastModifiedBy>
  <cp:revision>3</cp:revision>
  <cp:lastPrinted>2023-02-01T12:55:00Z</cp:lastPrinted>
  <dcterms:created xsi:type="dcterms:W3CDTF">2023-02-03T06:29:00Z</dcterms:created>
  <dcterms:modified xsi:type="dcterms:W3CDTF">2023-02-06T08:39:00Z</dcterms:modified>
</cp:coreProperties>
</file>