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320329">
        <w:t>24.07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320329">
        <w:t>155.2023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70AF3">
        <w:t>240723-244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bookmarkStart w:id="0" w:name="_GoBack"/>
      <w:bookmarkEnd w:id="0"/>
      <w:r w:rsidR="00320329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320329" w:rsidRPr="00320329" w:rsidRDefault="00127D66" w:rsidP="00320329">
      <w:r w:rsidRPr="001C3189">
        <w:t xml:space="preserve">odpowiadając </w:t>
      </w:r>
      <w:r w:rsidR="00320329" w:rsidRPr="00320329">
        <w:t>na otrzymaną za pośrednictwem Przewodniczącego Rady Miasta Poznania pismem z dnia 10 lipca 2023 r. i przekazaną mi przez Prezydenta Miasta Poznania do rozpatrzenia interpelację Pana Radnego w sprawie sytuacji i przyszłości miejskiego targowiska Bukowska, uprzejmie informuję:</w:t>
      </w:r>
    </w:p>
    <w:p w:rsidR="00320329" w:rsidRPr="00320329" w:rsidRDefault="00320329" w:rsidP="00320329">
      <w:pPr>
        <w:rPr>
          <w:b/>
        </w:rPr>
      </w:pPr>
      <w:r w:rsidRPr="00320329">
        <w:rPr>
          <w:b/>
        </w:rPr>
        <w:t xml:space="preserve">Ad. 1) „Jaka jest aktualna ogólna sytuacja miejskiego targowiska Bukowska, w tym aktualna liczba wszystkich stanowisk i aktualna liczba wykorzystywanych (wynajętych) stanowisk do prowadzenia działalności na tym placu targowym?” </w:t>
      </w:r>
    </w:p>
    <w:p w:rsidR="00320329" w:rsidRDefault="00320329" w:rsidP="00320329">
      <w:r w:rsidRPr="00320329">
        <w:t>Targowisko na ul. Bukowskiej, jest targowiskiem sezonowym, który działa w okresie od kwietnia do września. Asortyment targowiska to głównie ogrodnictwo. W poniższej tabeli zaprezentowano dane od spółki Targowiska w zakresie zajętości stanowisk.</w:t>
      </w:r>
    </w:p>
    <w:p w:rsidR="00320329" w:rsidRDefault="00320329" w:rsidP="00320329"/>
    <w:p w:rsidR="00320329" w:rsidRPr="00320329" w:rsidRDefault="00320329" w:rsidP="0032032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258"/>
        <w:gridCol w:w="1463"/>
        <w:gridCol w:w="1533"/>
        <w:gridCol w:w="1349"/>
        <w:gridCol w:w="1853"/>
        <w:gridCol w:w="1906"/>
      </w:tblGrid>
      <w:tr w:rsidR="00320329" w:rsidRPr="00320329" w:rsidTr="004C7AC0">
        <w:trPr>
          <w:trHeight w:val="1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lastRenderedPageBreak/>
              <w:t>Lp.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7"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Dane kwartalne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7"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Powierzchnia ogółem (m2)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7"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Powierzchnia sprzedażna (m2)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7"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Ilość stanowisk ogółem (szt.)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7"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Ilość stanowisk wykorzystanych (szt.)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7"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% wykorzystania powierzchni sprzedażnej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 kw. 2018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 kw. 2018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58%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III kw. 2018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58%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IV kw. 2018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53%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 kw. 2019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6.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 kw. 2019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III kw. 2019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IV kw. 2019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9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9.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 kw. 2020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9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10.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 kw. 2020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11.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III kw. 2020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42%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12.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IV kw. 2020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42%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13.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 kw. 2021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42%</w:t>
            </w:r>
          </w:p>
        </w:tc>
      </w:tr>
      <w:tr w:rsidR="00320329" w:rsidRPr="00320329" w:rsidTr="00320329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14.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 kw. 2021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42%</w:t>
            </w:r>
          </w:p>
        </w:tc>
      </w:tr>
      <w:tr w:rsidR="00320329" w:rsidRPr="00320329" w:rsidTr="00320329">
        <w:trPr>
          <w:trHeight w:val="28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lastRenderedPageBreak/>
              <w:t>15.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III kw. 2021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16.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IV kw. 2021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17.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 kw. 2022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 kw. 2022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III kw. 2022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37%</w:t>
            </w:r>
          </w:p>
        </w:tc>
      </w:tr>
      <w:tr w:rsidR="00320329" w:rsidRPr="00320329" w:rsidTr="004C7AC0">
        <w:trPr>
          <w:trHeight w:val="28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20.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IV kw. 2022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37%</w:t>
            </w:r>
          </w:p>
        </w:tc>
      </w:tr>
    </w:tbl>
    <w:p w:rsidR="00320329" w:rsidRPr="00320329" w:rsidRDefault="00320329" w:rsidP="00320329">
      <w:pPr>
        <w:rPr>
          <w:b/>
          <w:i/>
        </w:rPr>
      </w:pPr>
    </w:p>
    <w:p w:rsidR="00320329" w:rsidRPr="00320329" w:rsidRDefault="00320329" w:rsidP="00320329">
      <w:pPr>
        <w:rPr>
          <w:b/>
        </w:rPr>
      </w:pPr>
      <w:r w:rsidRPr="00320329">
        <w:rPr>
          <w:b/>
        </w:rPr>
        <w:t xml:space="preserve">Ad. 2) „Jaka była rentowność (dochodowość) miejskiego targowiska Bukowska dla jednostki zarządzającej tym placem targowym w poszczególnych latach od 2018 roku do połowy 2023 roku?” </w:t>
      </w:r>
    </w:p>
    <w:p w:rsidR="00320329" w:rsidRPr="00320329" w:rsidRDefault="00320329" w:rsidP="00320329">
      <w:r w:rsidRPr="00320329">
        <w:t xml:space="preserve">W poniższej tabeli zaprezentowano dane finansowe przekazane przez spółkę Targowiska.  </w:t>
      </w:r>
    </w:p>
    <w:tbl>
      <w:tblPr>
        <w:tblW w:w="96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357"/>
        <w:gridCol w:w="1313"/>
        <w:gridCol w:w="1358"/>
        <w:gridCol w:w="1381"/>
        <w:gridCol w:w="1391"/>
        <w:gridCol w:w="1398"/>
      </w:tblGrid>
      <w:tr w:rsidR="00320329" w:rsidRPr="00320329" w:rsidTr="004C7AC0">
        <w:trPr>
          <w:trHeight w:val="37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Lp.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Treść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31.12.2018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31.12.2019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31.12.2020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31.12.2021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31.12.2022</w:t>
            </w:r>
          </w:p>
        </w:tc>
      </w:tr>
      <w:tr w:rsidR="00320329" w:rsidRPr="00320329" w:rsidTr="004C7AC0">
        <w:trPr>
          <w:trHeight w:val="379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Przychody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33 796,20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27 210,89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29 939,99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27 823,92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27 575,43</w:t>
            </w:r>
          </w:p>
        </w:tc>
      </w:tr>
      <w:tr w:rsidR="00320329" w:rsidRPr="00320329" w:rsidTr="004C7AC0">
        <w:trPr>
          <w:trHeight w:val="379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Koszty bezpośrednie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19 158,56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13 693,37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13 955,35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14 087,10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13 148,65</w:t>
            </w:r>
          </w:p>
        </w:tc>
      </w:tr>
      <w:tr w:rsidR="00320329" w:rsidRPr="00320329" w:rsidTr="004C7AC0">
        <w:trPr>
          <w:trHeight w:val="379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Wynik finansowy I stopnia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14 637,64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13 517,52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15 984,64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13 736,82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14 426,78</w:t>
            </w:r>
          </w:p>
        </w:tc>
      </w:tr>
      <w:tr w:rsidR="00320329" w:rsidRPr="00320329" w:rsidTr="00320329">
        <w:trPr>
          <w:trHeight w:val="379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Narzut kosztów pośrednich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5 512,86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3 893,63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4 073,54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4 341,57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3 281,05</w:t>
            </w:r>
          </w:p>
        </w:tc>
      </w:tr>
    </w:tbl>
    <w:p w:rsidR="00320329" w:rsidRDefault="00320329"/>
    <w:tbl>
      <w:tblPr>
        <w:tblW w:w="96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357"/>
        <w:gridCol w:w="1313"/>
        <w:gridCol w:w="1358"/>
        <w:gridCol w:w="1381"/>
        <w:gridCol w:w="1391"/>
        <w:gridCol w:w="1398"/>
      </w:tblGrid>
      <w:tr w:rsidR="00320329" w:rsidRPr="00320329" w:rsidTr="00320329">
        <w:trPr>
          <w:trHeight w:val="37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lastRenderedPageBreak/>
              <w:t>5.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Narzut kosztów ogólnozakładowych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8 980,62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5 661,84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5 568,99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6 480,10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4 443,08</w:t>
            </w:r>
          </w:p>
        </w:tc>
      </w:tr>
      <w:tr w:rsidR="00320329" w:rsidRPr="00320329" w:rsidTr="004C7AC0">
        <w:trPr>
          <w:trHeight w:val="379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6.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</w:rPr>
            </w:pPr>
            <w:r w:rsidRPr="00320329">
              <w:rPr>
                <w:b/>
                <w:bCs/>
              </w:rPr>
              <w:t>Wynik finansowy II stopnia (ze sprzedaży)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144,16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3 962,05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6 342,11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2 915,15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r w:rsidRPr="00320329">
              <w:t>6 702,65</w:t>
            </w:r>
          </w:p>
        </w:tc>
      </w:tr>
    </w:tbl>
    <w:p w:rsidR="00320329" w:rsidRPr="00320329" w:rsidRDefault="00320329" w:rsidP="00320329"/>
    <w:p w:rsidR="00320329" w:rsidRPr="00320329" w:rsidRDefault="00320329" w:rsidP="00320329">
      <w:pPr>
        <w:rPr>
          <w:b/>
        </w:rPr>
      </w:pPr>
      <w:r w:rsidRPr="00320329">
        <w:rPr>
          <w:b/>
        </w:rPr>
        <w:t>Ad. 3) „Czy w ostatnich latach doszło do znacznej zmiany w zakresie kosztów utrzymania targowiska Bukowska, a jeśli tak, to z jakich przyczyn, a ponadto czy jednostka zarządzająca tym placem targowym ma zapewnione finansowanie ewentualnego zwiększenia tych kosztów?”</w:t>
      </w:r>
    </w:p>
    <w:p w:rsidR="00320329" w:rsidRPr="00320329" w:rsidRDefault="00320329" w:rsidP="00320329">
      <w:r w:rsidRPr="00320329">
        <w:t>W ostatnich latach nie dochodziło do znacznych zmian w zakresie kosztów utrzymania targowiska. Poniżej przedstawiono zestawienie roczne niektórych kosztów bezpośrednich targowiska - lata 2018 -2022.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332"/>
        <w:gridCol w:w="1332"/>
        <w:gridCol w:w="1333"/>
        <w:gridCol w:w="1332"/>
        <w:gridCol w:w="1758"/>
      </w:tblGrid>
      <w:tr w:rsidR="00320329" w:rsidRPr="00320329" w:rsidTr="0032032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Rodzaj kosztu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Rok 2018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Rok 2019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Rok 2020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Rok 2021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0329" w:rsidRPr="00320329" w:rsidRDefault="00320329" w:rsidP="00320329">
            <w:pPr>
              <w:rPr>
                <w:b/>
                <w:bCs/>
                <w:iCs/>
              </w:rPr>
            </w:pPr>
            <w:r w:rsidRPr="00320329">
              <w:rPr>
                <w:b/>
                <w:bCs/>
                <w:iCs/>
              </w:rPr>
              <w:t>Rok 2022</w:t>
            </w:r>
          </w:p>
        </w:tc>
      </w:tr>
      <w:tr w:rsidR="00320329" w:rsidRPr="00320329" w:rsidTr="00320329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Usługi najmu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6 132,24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5 478,24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5 478,24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5 478,24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5 512,68</w:t>
            </w:r>
          </w:p>
        </w:tc>
      </w:tr>
      <w:tr w:rsidR="00320329" w:rsidRPr="00320329" w:rsidTr="00320329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Energia i woda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367,42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275,15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534,04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823,39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326,30</w:t>
            </w:r>
          </w:p>
        </w:tc>
      </w:tr>
      <w:tr w:rsidR="00320329" w:rsidRPr="00320329" w:rsidTr="00320329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Usługi porządkowe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324,07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0,00</w:t>
            </w:r>
          </w:p>
        </w:tc>
      </w:tr>
      <w:tr w:rsidR="00320329" w:rsidRPr="00320329" w:rsidTr="00320329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Wywóz śmieci i ścieki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1 132,60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1 984,30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2 943,80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3 481,00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2 623,75</w:t>
            </w:r>
          </w:p>
        </w:tc>
      </w:tr>
      <w:tr w:rsidR="00320329" w:rsidRPr="00320329" w:rsidTr="00320329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Podatki i opłaty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1 531,77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1 652,35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1 041,16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760,00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1 331,10</w:t>
            </w:r>
          </w:p>
        </w:tc>
      </w:tr>
      <w:tr w:rsidR="00320329" w:rsidRPr="00320329" w:rsidTr="00320329">
        <w:trPr>
          <w:trHeight w:val="3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- w tym podatek od nieruchomości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808,00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816,00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760,00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776,00</w:t>
            </w:r>
          </w:p>
        </w:tc>
      </w:tr>
      <w:tr w:rsidR="00320329" w:rsidRPr="00320329" w:rsidTr="00320329">
        <w:trPr>
          <w:trHeight w:val="3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lastRenderedPageBreak/>
              <w:t>- w tym opłata komunalna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731,77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844,35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225,16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329" w:rsidRPr="00320329" w:rsidRDefault="00320329" w:rsidP="00320329">
            <w:r w:rsidRPr="00320329">
              <w:t>555,10</w:t>
            </w:r>
          </w:p>
        </w:tc>
      </w:tr>
    </w:tbl>
    <w:p w:rsidR="00320329" w:rsidRPr="00320329" w:rsidRDefault="00320329" w:rsidP="00320329"/>
    <w:p w:rsidR="00320329" w:rsidRPr="00320329" w:rsidRDefault="00320329" w:rsidP="00320329">
      <w:pPr>
        <w:rPr>
          <w:b/>
        </w:rPr>
      </w:pPr>
      <w:r w:rsidRPr="00320329">
        <w:rPr>
          <w:b/>
        </w:rPr>
        <w:t>Ad. 4) „Jakie są mocne strony (atuty, zalety), słabe strony (słabości, wady), szanse (opcje korzystnej zmiany) i zagrożenia (opcje niekorzystnej zmiany) dla miejskiego targowiska Bukowska?”</w:t>
      </w:r>
    </w:p>
    <w:p w:rsidR="00320329" w:rsidRPr="00320329" w:rsidRDefault="00320329" w:rsidP="00320329">
      <w:r w:rsidRPr="00320329">
        <w:t xml:space="preserve">Targowisko na ul. Bukowskiej jest targowiskiem sezonowym i działa wyłącznie w okresie od kwietnia do września, jest to targowisko kwietno-warzywne. Dużą jego wartością jest to, że przeważają tam producenci roślin, owoców i warzyw – dając mieszkańcom możliwość zaopatrywania się w produkty niedostępne w okolicznych sklepach wielkopowierzchniowych. Mocną stroną targowiska jest również zapewnienie dostępności parkingowej – na targowisku jest miejsce do zaparkowania zarówno dla klientów, jak i kontrahentów. Targowisko jest także dobrze skomunikowane pod względem rowerowym. Słabą stroną jest jego dostępność dla pieszych, stan infrastruktury targowej oraz brak infrastruktury technicznej pozwalającej na funkcjonowanie w miesiącach jesienno-zimowych, a także brak promocji miejsca. Szansą dla targowiska jest zwiększająca się liczba mieszkańców najbliższej okolicy (nowe budynki mieszkalne i biurowce na Marcelinie, Ławicy) oraz zachowania konsumenckie/moda na kupowanie roślin i żywności bezpośrednio u wytwórców. Zagrożeniem jest konkurencja okolicznych sklepów i galerii handlowej. </w:t>
      </w:r>
    </w:p>
    <w:p w:rsidR="00320329" w:rsidRPr="00320329" w:rsidRDefault="00320329" w:rsidP="00320329">
      <w:pPr>
        <w:rPr>
          <w:b/>
        </w:rPr>
      </w:pPr>
      <w:r w:rsidRPr="00320329">
        <w:rPr>
          <w:b/>
        </w:rPr>
        <w:t>Ad. 5) „Jaka będzie przyszłość miejskiego targowiska Bukowska, w tym jakie działania będą podejmowane w przyszłości w celu rozwoju tego placu targowego?”</w:t>
      </w:r>
    </w:p>
    <w:p w:rsidR="00320329" w:rsidRPr="00320329" w:rsidRDefault="00320329" w:rsidP="00320329">
      <w:r w:rsidRPr="00320329">
        <w:t xml:space="preserve">W wymiarze społecznym targowiska mają istotne znaczenie dla budowania poczucia przynależności do lokalnej społeczności. Są to przestrzenie otwarte i </w:t>
      </w:r>
      <w:proofErr w:type="spellStart"/>
      <w:r w:rsidRPr="00320329">
        <w:t>inkluzywne</w:t>
      </w:r>
      <w:proofErr w:type="spellEnd"/>
      <w:r w:rsidRPr="00320329">
        <w:t xml:space="preserve">, pozwalające na wspólne przebywanie wszystkich grup społecznych i wiekowych. Targowiska to miejsca, w których mieszkańcy się spotykają. Ich funkcjonowanie sprzyja więc podtrzymywaniu więzi oraz poczucia </w:t>
      </w:r>
      <w:r w:rsidRPr="00320329">
        <w:lastRenderedPageBreak/>
        <w:t>przynależności do wspólnoty. Dla członków lokalnych społeczności targowiska ważne są nie tylko ze względu na faktyczne zwyczaje zakupowe, ale również na styl życia.</w:t>
      </w:r>
    </w:p>
    <w:p w:rsidR="00E9439A" w:rsidRPr="001C3189" w:rsidRDefault="008F70E3" w:rsidP="00320329">
      <w:pPr>
        <w:ind w:left="4536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320329">
        <w:t xml:space="preserve">Bartosz </w:t>
      </w:r>
      <w:proofErr w:type="spellStart"/>
      <w:r w:rsidR="00320329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7B4" w:rsidRDefault="008047B4">
      <w:pPr>
        <w:spacing w:after="0" w:line="240" w:lineRule="auto"/>
      </w:pPr>
      <w:r>
        <w:separator/>
      </w:r>
    </w:p>
  </w:endnote>
  <w:endnote w:type="continuationSeparator" w:id="0">
    <w:p w:rsidR="008047B4" w:rsidRDefault="0080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7B4" w:rsidRDefault="008047B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047B4" w:rsidRDefault="0080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8047B4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32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0329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37799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47B4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0AF3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C117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5543B-8BC7-45F1-84A8-030C052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155.23 w sprawie sytuacji i przyszłości miejskiego targowiska Bukowska</dc:title>
  <dc:subject/>
  <dc:creator/>
  <cp:keywords>targowisko Bukowska</cp:keywords>
  <dc:description/>
  <cp:lastModifiedBy/>
  <cp:revision>1</cp:revision>
  <dcterms:created xsi:type="dcterms:W3CDTF">2023-07-24T06:00:00Z</dcterms:created>
  <dcterms:modified xsi:type="dcterms:W3CDTF">2023-07-24T06:01:00Z</dcterms:modified>
</cp:coreProperties>
</file>