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86" w:rsidRDefault="00C94C86">
      <w:pPr>
        <w:pStyle w:val="Heading1"/>
        <w:ind w:right="-709" w:firstLine="6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napToGrid w:val="0"/>
          <w:sz w:val="20"/>
          <w:szCs w:val="20"/>
        </w:rPr>
        <w:t>do zarządzenia Nr 171/2017/P</w:t>
      </w:r>
    </w:p>
    <w:p w:rsidR="00C94C86" w:rsidRDefault="00C94C86">
      <w:pPr>
        <w:ind w:right="-709"/>
        <w:jc w:val="right"/>
        <w:rPr>
          <w:b/>
          <w:bCs/>
          <w:snapToGrid w:val="0"/>
        </w:rPr>
      </w:pPr>
      <w:r>
        <w:rPr>
          <w:b/>
          <w:bCs/>
          <w:snapToGrid w:val="0"/>
        </w:rPr>
        <w:t>PREZYDENTA MIASTA POZNANIA</w:t>
      </w:r>
    </w:p>
    <w:p w:rsidR="00C94C86" w:rsidRDefault="00C94C86">
      <w:pPr>
        <w:ind w:right="-709"/>
        <w:jc w:val="right"/>
        <w:rPr>
          <w:b/>
          <w:bCs/>
          <w:snapToGrid w:val="0"/>
        </w:rPr>
      </w:pPr>
      <w:r>
        <w:rPr>
          <w:b/>
          <w:bCs/>
          <w:snapToGrid w:val="0"/>
        </w:rPr>
        <w:t>z dnia 14.03. 2017 r.</w:t>
      </w:r>
    </w:p>
    <w:p w:rsidR="00C94C86" w:rsidRDefault="00C94C86">
      <w:pPr>
        <w:pStyle w:val="Heading2"/>
        <w:ind w:left="0" w:right="-709" w:firstLine="5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C94C86" w:rsidRDefault="00C94C86"/>
    <w:p w:rsidR="00C94C86" w:rsidRDefault="00C94C86"/>
    <w:p w:rsidR="00C94C86" w:rsidRDefault="00C94C86">
      <w:pPr>
        <w:pStyle w:val="Heading2"/>
        <w:ind w:left="0" w:firstLine="6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WYKAZ</w:t>
      </w:r>
    </w:p>
    <w:p w:rsidR="00C94C86" w:rsidRDefault="00C94C86">
      <w:pPr>
        <w:pStyle w:val="Heading2"/>
        <w:spacing w:after="120" w:line="240" w:lineRule="auto"/>
        <w:ind w:left="-720" w:right="-652" w:firstLine="6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lokali mieszkalnych przeznaczonych do sprzedaży w trybie przetargu ustnego nieograniczonego</w:t>
      </w:r>
    </w:p>
    <w:tbl>
      <w:tblPr>
        <w:tblW w:w="0" w:type="auto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20"/>
        <w:gridCol w:w="7920"/>
      </w:tblGrid>
      <w:tr w:rsidR="00C94C86">
        <w:tc>
          <w:tcPr>
            <w:tcW w:w="2520" w:type="dxa"/>
            <w:tcBorders>
              <w:top w:val="single" w:sz="2" w:space="0" w:color="auto"/>
              <w:left w:val="single" w:sz="2" w:space="0" w:color="auto"/>
            </w:tcBorders>
          </w:tcPr>
          <w:p w:rsidR="00C94C86" w:rsidRDefault="00C94C86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 w:after="60"/>
              <w:ind w:left="173" w:hanging="173"/>
              <w:jc w:val="both"/>
            </w:pPr>
            <w:r>
              <w:t xml:space="preserve"> adres nieruchomości</w:t>
            </w:r>
          </w:p>
        </w:tc>
        <w:tc>
          <w:tcPr>
            <w:tcW w:w="7920" w:type="dxa"/>
            <w:tcBorders>
              <w:top w:val="single" w:sz="2" w:space="0" w:color="auto"/>
              <w:right w:val="single" w:sz="2" w:space="0" w:color="auto"/>
            </w:tcBorders>
          </w:tcPr>
          <w:p w:rsidR="00C94C86" w:rsidRDefault="00C94C86">
            <w:pPr>
              <w:spacing w:before="60" w:after="60"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ul. Wojciecha Bogusławskiego 21 – lokal mieszkalny nr 12</w:t>
            </w:r>
          </w:p>
        </w:tc>
      </w:tr>
      <w:tr w:rsidR="00C94C86">
        <w:tc>
          <w:tcPr>
            <w:tcW w:w="2520" w:type="dxa"/>
            <w:tcBorders>
              <w:left w:val="single" w:sz="2" w:space="0" w:color="auto"/>
            </w:tcBorders>
          </w:tcPr>
          <w:p w:rsidR="00C94C86" w:rsidRDefault="00C94C86">
            <w:pPr>
              <w:numPr>
                <w:ilvl w:val="0"/>
                <w:numId w:val="14"/>
              </w:numPr>
              <w:tabs>
                <w:tab w:val="clear" w:pos="720"/>
                <w:tab w:val="left" w:pos="173"/>
              </w:tabs>
              <w:spacing w:before="60"/>
              <w:ind w:left="173" w:hanging="173"/>
              <w:jc w:val="both"/>
            </w:pPr>
            <w:r>
              <w:t xml:space="preserve"> oznaczenia geodezyjne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C94C86" w:rsidRDefault="00C94C86">
            <w:pPr>
              <w:spacing w:before="60" w:after="60"/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ul. Wojciecha Bogusławskiego 21</w:t>
            </w:r>
          </w:p>
          <w:p w:rsidR="00C94C86" w:rsidRDefault="00C94C8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obręb Łazarz arkusz 31 działka 98 (B) pow. </w:t>
            </w:r>
            <w:smartTag w:uri="urn:schemas-microsoft-com:office:smarttags" w:element="metricconverter">
              <w:smartTagPr>
                <w:attr w:name="ProductID" w:val="567 m²"/>
              </w:smartTagPr>
              <w:r>
                <w:rPr>
                  <w:snapToGrid w:val="0"/>
                </w:rPr>
                <w:t>567 m²</w:t>
              </w:r>
            </w:smartTag>
            <w:r>
              <w:rPr>
                <w:snapToGrid w:val="0"/>
              </w:rPr>
              <w:t xml:space="preserve"> KW PO1P/00101059/0</w:t>
            </w:r>
          </w:p>
          <w:p w:rsidR="00C94C86" w:rsidRDefault="00C94C86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Wg KW PO1P/00101059/0 – właściciel Miasto Poznań w udziale wynoszącym 1310/2500.</w:t>
            </w:r>
          </w:p>
          <w:p w:rsidR="00C94C86" w:rsidRDefault="00C94C86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W dziale III</w:t>
            </w:r>
            <w:r w:rsidRPr="006215E8">
              <w:rPr>
                <w:snapToGrid w:val="0"/>
              </w:rPr>
              <w:t xml:space="preserve"> KW PO1P/00101059/0</w:t>
            </w:r>
            <w:r>
              <w:rPr>
                <w:snapToGrid w:val="0"/>
              </w:rPr>
              <w:t xml:space="preserve"> znajduje się wpis:</w:t>
            </w:r>
          </w:p>
          <w:p w:rsidR="00C94C86" w:rsidRPr="00221F0D" w:rsidRDefault="00C94C86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>
              <w:rPr>
                <w:i/>
                <w:iCs/>
                <w:snapToGrid w:val="0"/>
              </w:rPr>
              <w:t>ostrzeżenie o niezgodności pomiędzy treścią księgi wieczystej a rzeczywistym stanem prawnym skierowane przeciwko prawu własności Jadwigi Ludwiczak w 1/30 na rzecz Jadwigi Ludwiczak jako każdoczesnego właściciela lokalu nr 2 w udziale 153/2500</w:t>
            </w:r>
            <w:r>
              <w:rPr>
                <w:snapToGrid w:val="0"/>
              </w:rPr>
              <w:t xml:space="preserve"> </w:t>
            </w:r>
          </w:p>
        </w:tc>
      </w:tr>
      <w:tr w:rsidR="00C94C86">
        <w:tc>
          <w:tcPr>
            <w:tcW w:w="2520" w:type="dxa"/>
            <w:tcBorders>
              <w:left w:val="single" w:sz="2" w:space="0" w:color="auto"/>
            </w:tcBorders>
          </w:tcPr>
          <w:p w:rsidR="00C94C86" w:rsidRDefault="00C94C86">
            <w:pPr>
              <w:numPr>
                <w:ilvl w:val="0"/>
                <w:numId w:val="14"/>
              </w:numPr>
              <w:tabs>
                <w:tab w:val="clear" w:pos="720"/>
              </w:tabs>
              <w:spacing w:before="60"/>
              <w:ind w:left="173" w:hanging="173"/>
              <w:jc w:val="both"/>
            </w:pPr>
            <w:r>
              <w:t xml:space="preserve"> opis nieruchomości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C94C86" w:rsidRDefault="00C94C86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spacing w:before="60"/>
              <w:ind w:left="204" w:hanging="204"/>
              <w:jc w:val="both"/>
              <w:rPr>
                <w:color w:val="0000FF"/>
              </w:rPr>
            </w:pPr>
            <w:r>
              <w:t>położona w Poznaniu przy ulicy Bogusławskiego 21;</w:t>
            </w:r>
          </w:p>
          <w:p w:rsidR="00C94C86" w:rsidRDefault="00C94C86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ind w:left="206" w:hanging="206"/>
              <w:jc w:val="both"/>
            </w:pPr>
            <w:r>
              <w:t xml:space="preserve">nieruchomość gruntowa zabudowana budynkiem wielolokalowym; </w:t>
            </w:r>
          </w:p>
          <w:p w:rsidR="00C94C86" w:rsidRDefault="00C94C86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ind w:left="206" w:hanging="206"/>
              <w:jc w:val="both"/>
            </w:pPr>
            <w:r>
              <w:t>teren wokół budynku zagospodarowany jako strefa zieleni niskiej wraz z chodnikami kom</w:t>
            </w:r>
            <w:r>
              <w:t>u</w:t>
            </w:r>
            <w:r>
              <w:t>nikacyjnymi oraz miejscami parkingowymi;</w:t>
            </w:r>
          </w:p>
          <w:p w:rsidR="00C94C86" w:rsidRDefault="00C94C86" w:rsidP="000B48A3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>bliskie sąsiedztwo stanowi zabudowa wielorodzinna, usługowo-handlowa, tereny zieleni miejskiej, obiekty oświaty oraz obiekty sportowo-rekreacyjne;</w:t>
            </w:r>
          </w:p>
          <w:p w:rsidR="00C94C86" w:rsidRDefault="00C94C86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spacing w:after="60"/>
              <w:ind w:left="204" w:hanging="204"/>
              <w:jc w:val="both"/>
            </w:pPr>
            <w:r>
              <w:t>część nieruchomości odpowiadająca niewyodrębnionemu lokalowi mieszkalnemu nr 12 objęta jest umową dzierżawy nr D/51/1031 zawartą pomiędzy Miastem Poznań a Zarządem Kom</w:t>
            </w:r>
            <w:r>
              <w:t>u</w:t>
            </w:r>
            <w:r>
              <w:t>nalnych Zasobów Lokalowych sp. z o.o. na czas nieoznaczony, obowiązującą od dnia 01.10.2013 r., przy czym zgodnie z aneksem do powyższej umowy dzierżawy, zawartym</w:t>
            </w:r>
            <w:r>
              <w:br/>
              <w:t>w dniu 19.10.2015 r., umowa wygasa w stosunku do tej części przedmiotu umowy dzierżawy, co do której nastąpiło zbycie, z dniem zbycia tej części przedmiotu umowy dzierżawy.</w:t>
            </w:r>
          </w:p>
          <w:p w:rsidR="00C94C86" w:rsidRDefault="00C94C86">
            <w:pPr>
              <w:pStyle w:val="Heading3"/>
              <w:spacing w:after="40"/>
              <w:rPr>
                <w:b w:val="0"/>
                <w:bCs w:val="0"/>
                <w:u w:val="none"/>
              </w:rPr>
            </w:pPr>
            <w:r>
              <w:t xml:space="preserve">Opis budynku mieszkalnego </w:t>
            </w:r>
            <w:r>
              <w:rPr>
                <w:b w:val="0"/>
                <w:bCs w:val="0"/>
                <w:u w:val="none"/>
              </w:rPr>
              <w:t>– rok budowy: 1938</w:t>
            </w:r>
          </w:p>
          <w:p w:rsidR="00C94C86" w:rsidRDefault="00C94C86">
            <w:pPr>
              <w:numPr>
                <w:ilvl w:val="0"/>
                <w:numId w:val="4"/>
              </w:numPr>
              <w:tabs>
                <w:tab w:val="clear" w:pos="360"/>
                <w:tab w:val="num" w:pos="206"/>
              </w:tabs>
              <w:ind w:left="206" w:hanging="206"/>
              <w:jc w:val="both"/>
            </w:pPr>
            <w:r>
              <w:rPr>
                <w:spacing w:val="-2"/>
              </w:rPr>
              <w:t xml:space="preserve">pow. użytkowa budynku – </w:t>
            </w:r>
            <w:smartTag w:uri="urn:schemas-microsoft-com:office:smarttags" w:element="metricconverter">
              <w:smartTagPr>
                <w:attr w:name="ProductID" w:val="681,30 m2"/>
              </w:smartTagPr>
              <w:r>
                <w:rPr>
                  <w:spacing w:val="-2"/>
                </w:rPr>
                <w:t>681,30 m</w:t>
              </w:r>
              <w:r>
                <w:rPr>
                  <w:spacing w:val="-2"/>
                  <w:vertAlign w:val="superscript"/>
                </w:rPr>
                <w:t>2</w:t>
              </w:r>
            </w:smartTag>
            <w:r>
              <w:rPr>
                <w:spacing w:val="-2"/>
              </w:rPr>
              <w:t xml:space="preserve">, </w:t>
            </w:r>
            <w:r>
              <w:t xml:space="preserve">pow. zabudowy </w:t>
            </w:r>
            <w:r>
              <w:rPr>
                <w:spacing w:val="-2"/>
              </w:rPr>
              <w:t>–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51 m2"/>
              </w:smartTagPr>
              <w:r>
                <w:t>251 m</w:t>
              </w:r>
              <w:r>
                <w:rPr>
                  <w:vertAlign w:val="superscript"/>
                </w:rPr>
                <w:t>2</w:t>
              </w:r>
            </w:smartTag>
            <w:r>
              <w:t xml:space="preserve">, kubatura – </w:t>
            </w:r>
            <w:smartTag w:uri="urn:schemas-microsoft-com:office:smarttags" w:element="metricconverter">
              <w:smartTagPr>
                <w:attr w:name="ProductID" w:val="3.911 m3"/>
              </w:smartTagPr>
              <w:r>
                <w:t>3.911 m</w:t>
              </w:r>
              <w:r>
                <w:rPr>
                  <w:vertAlign w:val="superscript"/>
                </w:rPr>
                <w:t>3</w:t>
              </w:r>
            </w:smartTag>
            <w:r>
              <w:t>;</w:t>
            </w:r>
          </w:p>
          <w:p w:rsidR="00C94C86" w:rsidRDefault="00C94C86">
            <w:pPr>
              <w:numPr>
                <w:ilvl w:val="0"/>
                <w:numId w:val="4"/>
              </w:numPr>
              <w:tabs>
                <w:tab w:val="clear" w:pos="360"/>
                <w:tab w:val="num" w:pos="206"/>
              </w:tabs>
              <w:ind w:left="206" w:hanging="206"/>
              <w:jc w:val="both"/>
            </w:pPr>
            <w:r>
              <w:t>budynek mieszkalny, wielolokalowy;</w:t>
            </w:r>
          </w:p>
          <w:p w:rsidR="00C94C86" w:rsidRDefault="00C94C86">
            <w:pPr>
              <w:numPr>
                <w:ilvl w:val="0"/>
                <w:numId w:val="4"/>
              </w:numPr>
              <w:tabs>
                <w:tab w:val="clear" w:pos="360"/>
                <w:tab w:val="num" w:pos="206"/>
              </w:tabs>
              <w:ind w:left="206" w:hanging="206"/>
              <w:jc w:val="both"/>
            </w:pPr>
            <w:r>
              <w:t>liczba kondygnacji nadziemnych – 5 (w tym poddasze i sutereny);</w:t>
            </w:r>
          </w:p>
          <w:p w:rsidR="00C94C86" w:rsidRDefault="00C94C86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ind w:left="206" w:hanging="206"/>
              <w:jc w:val="both"/>
            </w:pPr>
            <w:r>
              <w:t>nieocieplony, zrealizowany w technologii tradycyjnej;</w:t>
            </w:r>
          </w:p>
          <w:p w:rsidR="00C94C86" w:rsidRDefault="00C94C86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ind w:left="206" w:hanging="206"/>
              <w:jc w:val="both"/>
              <w:rPr>
                <w:color w:val="0000FF"/>
              </w:rPr>
            </w:pPr>
            <w:r>
              <w:t>ściany murowane z cegły,</w:t>
            </w:r>
            <w:r>
              <w:rPr>
                <w:color w:val="0000FF"/>
              </w:rPr>
              <w:t xml:space="preserve"> </w:t>
            </w:r>
            <w:r>
              <w:t>stropy drewniane,</w:t>
            </w:r>
            <w:r>
              <w:rPr>
                <w:color w:val="0000FF"/>
              </w:rPr>
              <w:t xml:space="preserve"> </w:t>
            </w:r>
            <w:r>
              <w:t>schody drewniane, dach drewniany kryty papą;</w:t>
            </w:r>
          </w:p>
          <w:p w:rsidR="00C94C86" w:rsidRDefault="00C94C86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ind w:left="206" w:hanging="206"/>
              <w:jc w:val="both"/>
            </w:pPr>
            <w:r>
              <w:t>wyposażony w instalacje: elektryczną, wodociągową z przyłączem do sieci miejskiej, kanal</w:t>
            </w:r>
            <w:r>
              <w:t>i</w:t>
            </w:r>
            <w:r>
              <w:t>zacyjną sanitarną z odprowadzeniem ścieków do kanalizacji miejskiej, w budynku znajduje się instalacja gazu ziemnego, brak jest natomiast instalacji centralnego ogrzewania oraz ci</w:t>
            </w:r>
            <w:r>
              <w:t>e</w:t>
            </w:r>
            <w:r>
              <w:t>płej wody użytkowej;</w:t>
            </w:r>
          </w:p>
          <w:p w:rsidR="00C94C86" w:rsidRPr="0028320A" w:rsidRDefault="00C94C86" w:rsidP="0028320A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spacing w:after="40"/>
              <w:ind w:left="204" w:hanging="204"/>
              <w:jc w:val="both"/>
              <w:rPr>
                <w:b/>
                <w:bCs/>
                <w:u w:val="single"/>
              </w:rPr>
            </w:pPr>
            <w:r>
              <w:t>budynek o nietypowym standardzie wykończenia i wyposażenia lokali.</w:t>
            </w:r>
          </w:p>
          <w:p w:rsidR="00C94C86" w:rsidRPr="0028320A" w:rsidRDefault="00C94C86" w:rsidP="0028320A">
            <w:pPr>
              <w:spacing w:after="40"/>
              <w:jc w:val="both"/>
              <w:rPr>
                <w:b/>
                <w:bCs/>
                <w:u w:val="single"/>
              </w:rPr>
            </w:pPr>
            <w:r w:rsidRPr="0028320A">
              <w:rPr>
                <w:b/>
                <w:bCs/>
                <w:u w:val="single"/>
              </w:rPr>
              <w:t>Opis lokalu mieszkalnego nr 12:</w:t>
            </w:r>
          </w:p>
          <w:p w:rsidR="00C94C86" w:rsidRDefault="00C94C86">
            <w:pPr>
              <w:numPr>
                <w:ilvl w:val="0"/>
                <w:numId w:val="8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>struktura lokalu: pokój (</w:t>
            </w:r>
            <w:smartTag w:uri="urn:schemas-microsoft-com:office:smarttags" w:element="metricconverter">
              <w:smartTagPr>
                <w:attr w:name="ProductID" w:val="16,20 m²"/>
              </w:smartTagPr>
              <w:r>
                <w:t>16,20 m²</w:t>
              </w:r>
            </w:smartTag>
            <w:r>
              <w:t>), kuchnia (</w:t>
            </w:r>
            <w:smartTag w:uri="urn:schemas-microsoft-com:office:smarttags" w:element="metricconverter">
              <w:smartTagPr>
                <w:attr w:name="ProductID" w:val="9,30 m²"/>
              </w:smartTagPr>
              <w:r>
                <w:t>9,30 m²</w:t>
              </w:r>
            </w:smartTag>
            <w:r>
              <w:t>), korytarz (</w:t>
            </w:r>
            <w:smartTag w:uri="urn:schemas-microsoft-com:office:smarttags" w:element="metricconverter">
              <w:smartTagPr>
                <w:attr w:name="ProductID" w:val="9,20 m²"/>
              </w:smartTagPr>
              <w:r>
                <w:t>9,20 m²</w:t>
              </w:r>
            </w:smartTag>
            <w:r>
              <w:t>);</w:t>
            </w:r>
          </w:p>
          <w:p w:rsidR="00C94C86" w:rsidRDefault="00C94C86">
            <w:pPr>
              <w:numPr>
                <w:ilvl w:val="0"/>
                <w:numId w:val="8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 xml:space="preserve">łączna powierzchnia użytkowa lokalu </w:t>
            </w:r>
            <w:r>
              <w:rPr>
                <w:spacing w:val="-2"/>
              </w:rPr>
              <w:t>–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4,70 m²"/>
              </w:smartTagPr>
              <w:r>
                <w:t>34,70 m²</w:t>
              </w:r>
            </w:smartTag>
            <w:r>
              <w:t>;</w:t>
            </w:r>
          </w:p>
          <w:p w:rsidR="00C94C86" w:rsidRDefault="00C94C86">
            <w:pPr>
              <w:numPr>
                <w:ilvl w:val="0"/>
                <w:numId w:val="8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>do lokalu przynależą trzy pomieszczenia przynależne: WC (</w:t>
            </w:r>
            <w:smartTag w:uri="urn:schemas-microsoft-com:office:smarttags" w:element="metricconverter">
              <w:smartTagPr>
                <w:attr w:name="ProductID" w:val="1,60 m2"/>
              </w:smartTagPr>
              <w:r>
                <w:t>1,60 m</w:t>
              </w:r>
              <w:r>
                <w:rPr>
                  <w:vertAlign w:val="superscript"/>
                </w:rPr>
                <w:t>2</w:t>
              </w:r>
            </w:smartTag>
            <w:r>
              <w:t>), piwnica (</w:t>
            </w:r>
            <w:smartTag w:uri="urn:schemas-microsoft-com:office:smarttags" w:element="metricconverter">
              <w:smartTagPr>
                <w:attr w:name="ProductID" w:val="3,60 m2"/>
              </w:smartTagPr>
              <w:r>
                <w:t>3,60 m</w:t>
              </w:r>
              <w:r>
                <w:rPr>
                  <w:vertAlign w:val="superscript"/>
                </w:rPr>
                <w:t>2</w:t>
              </w:r>
            </w:smartTag>
            <w:r>
              <w:t>), skrytka (</w:t>
            </w:r>
            <w:smartTag w:uri="urn:schemas-microsoft-com:office:smarttags" w:element="metricconverter">
              <w:smartTagPr>
                <w:attr w:name="ProductID" w:val="0,20 m2"/>
              </w:smartTagPr>
              <w:r>
                <w:t>0,20 m</w:t>
              </w:r>
              <w:r>
                <w:rPr>
                  <w:vertAlign w:val="superscript"/>
                </w:rPr>
                <w:t>2</w:t>
              </w:r>
            </w:smartTag>
            <w:r>
              <w:t>);</w:t>
            </w:r>
          </w:p>
          <w:p w:rsidR="00C94C86" w:rsidRDefault="00C94C86">
            <w:pPr>
              <w:numPr>
                <w:ilvl w:val="0"/>
                <w:numId w:val="8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 xml:space="preserve">położony w przyziemiu budynku, nie posiada balkonu, wystawa okien wschodnia; </w:t>
            </w:r>
          </w:p>
          <w:p w:rsidR="00C94C86" w:rsidRDefault="00C94C86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>rozkład funkcjonalno-użytkowy lokalu: rozkładowy;</w:t>
            </w:r>
          </w:p>
          <w:p w:rsidR="00C94C86" w:rsidRDefault="00C94C86">
            <w:pPr>
              <w:numPr>
                <w:ilvl w:val="0"/>
                <w:numId w:val="1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>pomieszczenia przynależne do lokalu: WC, skrytka oraz piwnica znajdują się na poziomie przyziemia;</w:t>
            </w:r>
          </w:p>
          <w:p w:rsidR="00C94C86" w:rsidRDefault="00C94C86" w:rsidP="00255402">
            <w:pPr>
              <w:numPr>
                <w:ilvl w:val="0"/>
                <w:numId w:val="9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>tynki oraz okładziny ścian i sufitów: pokój – ściany malowane (liczne zabrudzenia, miejscowe pęknięcia tynków), sufity malowane (miejscowe pęknięcia tynków); kuchnia – ściany mal</w:t>
            </w:r>
            <w:r>
              <w:t>o</w:t>
            </w:r>
            <w:r>
              <w:t>wane oraz tapetowane (liczne zabrudzenia, miejscowe pęknięcia tynków), sufity malowane (miejscowe pęknięcia tynków); korytarz – ściany malowane (zabrudzenia, miejscowe pękni</w:t>
            </w:r>
            <w:r>
              <w:t>ę</w:t>
            </w:r>
            <w:r>
              <w:t>cia tynków), sufity malowane (miejscowe pęknięcia tynków);</w:t>
            </w:r>
          </w:p>
          <w:p w:rsidR="00C94C86" w:rsidRDefault="00C94C86" w:rsidP="00D526C3">
            <w:pPr>
              <w:numPr>
                <w:ilvl w:val="0"/>
                <w:numId w:val="9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>podłogi i posadzki: pokój – deski podłogowe (deski zniszczone); kuchnia – deski podłogowe obłożone wykładziną dywanową; korytarz – deski podłogowe, częściowo obłożone wykładz</w:t>
            </w:r>
            <w:r>
              <w:t>i</w:t>
            </w:r>
            <w:r>
              <w:t>ną PCW (deski zniszczone);</w:t>
            </w:r>
          </w:p>
          <w:p w:rsidR="00C94C86" w:rsidRDefault="00C94C86" w:rsidP="002572FE">
            <w:pPr>
              <w:numPr>
                <w:ilvl w:val="0"/>
                <w:numId w:val="9"/>
              </w:numPr>
              <w:tabs>
                <w:tab w:val="clear" w:pos="360"/>
                <w:tab w:val="num" w:pos="206"/>
              </w:tabs>
              <w:ind w:left="204" w:hanging="204"/>
              <w:jc w:val="both"/>
            </w:pPr>
            <w:r>
              <w:t>stolarka okienna: PCW, drewniana (stara, nieszczelna); stolarka drzwiowa: drewniana;</w:t>
            </w:r>
          </w:p>
          <w:p w:rsidR="00C94C86" w:rsidRDefault="00C94C86" w:rsidP="002572FE">
            <w:pPr>
              <w:numPr>
                <w:ilvl w:val="0"/>
                <w:numId w:val="9"/>
              </w:numPr>
              <w:tabs>
                <w:tab w:val="clear" w:pos="360"/>
                <w:tab w:val="num" w:pos="206"/>
              </w:tabs>
              <w:spacing w:after="60"/>
              <w:ind w:left="204" w:hanging="204"/>
              <w:jc w:val="both"/>
            </w:pPr>
            <w:r>
              <w:t>lokal wyposażony jest w instalacje: elektryczną (częściowo zdekompletowaną), wodną, kan</w:t>
            </w:r>
            <w:r>
              <w:t>a</w:t>
            </w:r>
            <w:r>
              <w:t>lizacyjną (zdekompletowaną), gazową (częściowo zdekompletowaną), ogrzewanie realizow</w:t>
            </w:r>
            <w:r>
              <w:t>a</w:t>
            </w:r>
            <w:r>
              <w:t>ne za pomocą pieca kaflowego znajdującego się w pokoju, brak instalacji ciepłej wody uży</w:t>
            </w:r>
            <w:r>
              <w:t>t</w:t>
            </w:r>
            <w:r>
              <w:t>kowej; instalacja zimnej wody użytkowej oraz instalacja gazowa znajdują się na korytarzu.</w:t>
            </w:r>
          </w:p>
        </w:tc>
      </w:tr>
      <w:tr w:rsidR="00C94C86">
        <w:trPr>
          <w:trHeight w:val="5028"/>
        </w:trPr>
        <w:tc>
          <w:tcPr>
            <w:tcW w:w="2520" w:type="dxa"/>
            <w:tcBorders>
              <w:left w:val="single" w:sz="2" w:space="0" w:color="auto"/>
            </w:tcBorders>
          </w:tcPr>
          <w:p w:rsidR="00C94C86" w:rsidRDefault="00C94C86">
            <w:pPr>
              <w:numPr>
                <w:ilvl w:val="0"/>
                <w:numId w:val="14"/>
              </w:numPr>
              <w:tabs>
                <w:tab w:val="clear" w:pos="720"/>
                <w:tab w:val="num" w:pos="315"/>
                <w:tab w:val="left" w:pos="1490"/>
              </w:tabs>
              <w:spacing w:before="60"/>
              <w:ind w:left="315" w:hanging="315"/>
              <w:jc w:val="both"/>
              <w:rPr>
                <w:snapToGrid w:val="0"/>
              </w:rPr>
            </w:pPr>
            <w:r>
              <w:rPr>
                <w:snapToGrid w:val="0"/>
              </w:rPr>
              <w:t>przeznaczenie w planie zagospodarowania prz</w:t>
            </w:r>
            <w:r>
              <w:rPr>
                <w:snapToGrid w:val="0"/>
              </w:rPr>
              <w:t>e</w:t>
            </w:r>
            <w:r>
              <w:rPr>
                <w:snapToGrid w:val="0"/>
              </w:rPr>
              <w:t xml:space="preserve">strzennego 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C94C86" w:rsidRDefault="00C94C86" w:rsidP="000B48A3">
            <w:pPr>
              <w:spacing w:befor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Nieruchomość znajduje się na terenie, na którym obecnie nie obowiązuje żaden miejscowy plan zagospodarowania przestrzennego.</w:t>
            </w:r>
          </w:p>
          <w:p w:rsidR="00C94C86" w:rsidRDefault="00C94C86" w:rsidP="000B48A3">
            <w:pPr>
              <w:spacing w:before="60"/>
              <w:jc w:val="both"/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Zgodnie ze Studium uwarunkowań i kierunków zagospodarowania przestrzennego miasta P</w:t>
            </w:r>
            <w:r>
              <w:rPr>
                <w:snapToGrid w:val="0"/>
                <w:color w:val="000000"/>
              </w:rPr>
              <w:t>o</w:t>
            </w:r>
            <w:r>
              <w:rPr>
                <w:snapToGrid w:val="0"/>
                <w:color w:val="000000"/>
              </w:rPr>
              <w:t>znania, zatwierdzonym uchwałą Nr LXXII/1137/VI/2014 Rady Miasta Poznania z dnia 23 wrz</w:t>
            </w:r>
            <w:r>
              <w:rPr>
                <w:snapToGrid w:val="0"/>
                <w:color w:val="000000"/>
              </w:rPr>
              <w:t>e</w:t>
            </w:r>
            <w:r>
              <w:rPr>
                <w:snapToGrid w:val="0"/>
                <w:color w:val="000000"/>
              </w:rPr>
              <w:t>śnia 2014 r., przedmiotowa nieruchomość położona jest na terenie oznaczonym symbolem</w:t>
            </w:r>
            <w:r>
              <w:rPr>
                <w:i/>
                <w:iCs/>
                <w:snapToGrid w:val="0"/>
                <w:color w:val="000000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</w:rPr>
              <w:t>MW/U - tereny zabudowy mieszkaniowej lub zabudowy usługowej w obszarze funkcjona</w:t>
            </w:r>
            <w:r>
              <w:rPr>
                <w:b/>
                <w:bCs/>
                <w:snapToGrid w:val="0"/>
                <w:color w:val="000000"/>
              </w:rPr>
              <w:t>l</w:t>
            </w:r>
            <w:r>
              <w:rPr>
                <w:b/>
                <w:bCs/>
                <w:snapToGrid w:val="0"/>
                <w:color w:val="000000"/>
              </w:rPr>
              <w:t>nego Śródmieścia.</w:t>
            </w:r>
          </w:p>
          <w:p w:rsidR="00C94C86" w:rsidRPr="002572FE" w:rsidRDefault="00C94C86" w:rsidP="002572FE">
            <w:pPr>
              <w:jc w:val="both"/>
              <w:rPr>
                <w:snapToGrid w:val="0"/>
                <w:color w:val="000000"/>
              </w:rPr>
            </w:pPr>
            <w:r w:rsidRPr="002572FE">
              <w:rPr>
                <w:snapToGrid w:val="0"/>
                <w:color w:val="000000"/>
              </w:rPr>
              <w:t xml:space="preserve"> </w:t>
            </w:r>
          </w:p>
          <w:p w:rsidR="00C94C86" w:rsidRDefault="00C94C86">
            <w:pPr>
              <w:spacing w:after="1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Powyższe potwierdził Wydział Urbanistyki i Architektury Urzędu Miasta Poznania w piśmie    nr UA-III-U08.6724.897.2015 z dnia 25.06.2015 r.</w:t>
            </w:r>
          </w:p>
          <w:p w:rsidR="00C94C86" w:rsidRDefault="00C94C86" w:rsidP="000B48A3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Ponadto Miejski Konserwator Zabytków w Poznaniu pismem nr MKZ-I.4125.7.133.2015.P z dnia 09.07.2015 r. poinformował m.in., że: </w:t>
            </w:r>
            <w:r>
              <w:rPr>
                <w:i/>
                <w:iCs/>
                <w:snapToGrid w:val="0"/>
                <w:color w:val="000000"/>
              </w:rPr>
              <w:t>omawiany budynek znajduje się na terenie zespołu urbanistyczno-architektonicznego najstarszych dzielnic miasta Poznania, wpisanego do rejestru zabytków pod numerem A239, decyzją z dnia 6 października 1982 roku. Wszelkie prace budo</w:t>
            </w:r>
            <w:r>
              <w:rPr>
                <w:i/>
                <w:iCs/>
                <w:snapToGrid w:val="0"/>
                <w:color w:val="000000"/>
              </w:rPr>
              <w:t>w</w:t>
            </w:r>
            <w:r>
              <w:rPr>
                <w:i/>
                <w:iCs/>
                <w:snapToGrid w:val="0"/>
                <w:color w:val="000000"/>
              </w:rPr>
              <w:t xml:space="preserve">lane, konserwatorskie, restauratorskie planowane na tym terenie, muszą uprzednio uzyskać pozwolenie konserwatorskie. </w:t>
            </w:r>
            <w:r>
              <w:rPr>
                <w:snapToGrid w:val="0"/>
                <w:color w:val="000000"/>
              </w:rPr>
              <w:t>(...)</w:t>
            </w:r>
          </w:p>
          <w:p w:rsidR="00C94C86" w:rsidRDefault="00C94C86" w:rsidP="000B48A3">
            <w:pPr>
              <w:spacing w:after="120"/>
              <w:jc w:val="both"/>
            </w:pPr>
            <w:r>
              <w:rPr>
                <w:i/>
                <w:iCs/>
                <w:snapToGrid w:val="0"/>
                <w:color w:val="000000"/>
              </w:rPr>
              <w:t>Ochronie szczególnie podlega elewacja budynku, jej forma, podziały i dekoracje architektonic</w:t>
            </w:r>
            <w:r>
              <w:rPr>
                <w:i/>
                <w:iCs/>
                <w:snapToGrid w:val="0"/>
                <w:color w:val="000000"/>
              </w:rPr>
              <w:t>z</w:t>
            </w:r>
            <w:r>
              <w:rPr>
                <w:i/>
                <w:iCs/>
                <w:snapToGrid w:val="0"/>
                <w:color w:val="000000"/>
              </w:rPr>
              <w:t>ne, stolarka okienna oraz drzwiowa, jak również sień wejściowa i trakty komunikacyjne w</w:t>
            </w:r>
            <w:r>
              <w:rPr>
                <w:i/>
                <w:iCs/>
                <w:snapToGrid w:val="0"/>
                <w:color w:val="000000"/>
              </w:rPr>
              <w:t>e</w:t>
            </w:r>
            <w:r>
              <w:rPr>
                <w:i/>
                <w:iCs/>
                <w:snapToGrid w:val="0"/>
                <w:color w:val="000000"/>
              </w:rPr>
              <w:t xml:space="preserve">wnątrz budynku. Przystępując do prac remontowych obiektu posiadającego wartości zabytkowe, historyczne czy architektoniczne, należy uszanować zastaną strukturę. Wszelkie podejmowane prace powinny mieć na celu poprawę stanu technicznego i wyeksponowanie jego wartości. </w:t>
            </w:r>
          </w:p>
        </w:tc>
      </w:tr>
      <w:tr w:rsidR="00C94C86">
        <w:tc>
          <w:tcPr>
            <w:tcW w:w="2520" w:type="dxa"/>
            <w:tcBorders>
              <w:left w:val="single" w:sz="2" w:space="0" w:color="auto"/>
            </w:tcBorders>
          </w:tcPr>
          <w:p w:rsidR="00C94C86" w:rsidRDefault="00C94C86">
            <w:pPr>
              <w:numPr>
                <w:ilvl w:val="0"/>
                <w:numId w:val="14"/>
              </w:numPr>
              <w:tabs>
                <w:tab w:val="clear" w:pos="720"/>
                <w:tab w:val="num" w:pos="315"/>
              </w:tabs>
              <w:spacing w:before="60"/>
              <w:ind w:left="315" w:hanging="283"/>
            </w:pPr>
            <w:r>
              <w:t>forma i tryb zbycia     nieruchomości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C94C86" w:rsidRDefault="00C94C86">
            <w:pPr>
              <w:spacing w:before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Sprzedaż lokalu mieszkalnego nr 12 wraz z udziałem wynoszącym 135/2500 we współwł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</w:rPr>
              <w:t>sności nieruchomości gruntowej oraz w częściach wspólnych budynku i urządzeniach, które nie służą wyłącznie do użytku właścicieli poszczególnych lokali, w trybie przetargu ustnego nieograniczonego.</w:t>
            </w:r>
          </w:p>
        </w:tc>
      </w:tr>
      <w:tr w:rsidR="00C94C86">
        <w:tc>
          <w:tcPr>
            <w:tcW w:w="2520" w:type="dxa"/>
            <w:tcBorders>
              <w:left w:val="single" w:sz="2" w:space="0" w:color="auto"/>
            </w:tcBorders>
          </w:tcPr>
          <w:p w:rsidR="00C94C86" w:rsidRPr="000B48A3" w:rsidRDefault="00C94C86" w:rsidP="000B48A3">
            <w:pPr>
              <w:numPr>
                <w:ilvl w:val="0"/>
                <w:numId w:val="14"/>
              </w:numPr>
              <w:tabs>
                <w:tab w:val="clear" w:pos="720"/>
                <w:tab w:val="num" w:pos="315"/>
              </w:tabs>
              <w:spacing w:before="60"/>
              <w:ind w:hanging="686"/>
              <w:jc w:val="both"/>
            </w:pPr>
            <w:r>
              <w:t xml:space="preserve">cena sprzedaży 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C94C86" w:rsidRPr="00255402" w:rsidRDefault="00C94C86" w:rsidP="000B48A3">
            <w:pPr>
              <w:spacing w:before="60" w:after="60"/>
              <w:jc w:val="both"/>
            </w:pPr>
            <w:r>
              <w:rPr>
                <w:b/>
                <w:bCs/>
              </w:rPr>
              <w:t xml:space="preserve">145.000,- zł </w:t>
            </w:r>
            <w:r>
              <w:t>(słownie zł: sto czterdzieści pięć tysięcy) – zwolnienie z podatku VAT</w:t>
            </w:r>
          </w:p>
        </w:tc>
      </w:tr>
      <w:tr w:rsidR="00C94C86">
        <w:trPr>
          <w:trHeight w:val="513"/>
        </w:trPr>
        <w:tc>
          <w:tcPr>
            <w:tcW w:w="2520" w:type="dxa"/>
            <w:tcBorders>
              <w:left w:val="single" w:sz="2" w:space="0" w:color="auto"/>
            </w:tcBorders>
          </w:tcPr>
          <w:p w:rsidR="00C94C86" w:rsidRDefault="00C94C86">
            <w:pPr>
              <w:numPr>
                <w:ilvl w:val="0"/>
                <w:numId w:val="16"/>
              </w:numPr>
              <w:tabs>
                <w:tab w:val="clear" w:pos="720"/>
                <w:tab w:val="num" w:pos="315"/>
              </w:tabs>
              <w:spacing w:before="60"/>
              <w:ind w:hanging="688"/>
              <w:jc w:val="both"/>
            </w:pPr>
            <w:r>
              <w:t>termin płatności</w:t>
            </w:r>
          </w:p>
        </w:tc>
        <w:tc>
          <w:tcPr>
            <w:tcW w:w="7920" w:type="dxa"/>
            <w:tcBorders>
              <w:right w:val="single" w:sz="2" w:space="0" w:color="auto"/>
            </w:tcBorders>
          </w:tcPr>
          <w:p w:rsidR="00C94C86" w:rsidRDefault="00C94C86">
            <w:pPr>
              <w:spacing w:before="60" w:after="6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Cena lokalu </w:t>
            </w:r>
            <w:r w:rsidRPr="002572FE">
              <w:rPr>
                <w:color w:val="000000"/>
              </w:rPr>
              <w:t>osiągnięta w przetargu podlega zapłacie jednorazowo nie później niż do dnia z</w:t>
            </w:r>
            <w:r w:rsidRPr="002572FE">
              <w:rPr>
                <w:color w:val="000000"/>
              </w:rPr>
              <w:t>a</w:t>
            </w:r>
            <w:r w:rsidRPr="002572FE">
              <w:rPr>
                <w:color w:val="000000"/>
              </w:rPr>
              <w:t>warcia umowy notarialnej.</w:t>
            </w:r>
          </w:p>
        </w:tc>
      </w:tr>
      <w:tr w:rsidR="00C94C86">
        <w:tc>
          <w:tcPr>
            <w:tcW w:w="2520" w:type="dxa"/>
            <w:tcBorders>
              <w:left w:val="single" w:sz="2" w:space="0" w:color="auto"/>
              <w:bottom w:val="single" w:sz="2" w:space="0" w:color="auto"/>
            </w:tcBorders>
          </w:tcPr>
          <w:p w:rsidR="00C94C86" w:rsidRDefault="00C94C86">
            <w:pPr>
              <w:numPr>
                <w:ilvl w:val="0"/>
                <w:numId w:val="16"/>
              </w:numPr>
              <w:tabs>
                <w:tab w:val="clear" w:pos="720"/>
                <w:tab w:val="num" w:pos="315"/>
              </w:tabs>
              <w:spacing w:before="60"/>
              <w:ind w:hanging="688"/>
              <w:jc w:val="both"/>
            </w:pPr>
            <w:r>
              <w:t>informacje dodatkowe</w:t>
            </w:r>
          </w:p>
        </w:tc>
        <w:tc>
          <w:tcPr>
            <w:tcW w:w="7920" w:type="dxa"/>
            <w:tcBorders>
              <w:bottom w:val="single" w:sz="2" w:space="0" w:color="auto"/>
              <w:right w:val="single" w:sz="2" w:space="0" w:color="auto"/>
            </w:tcBorders>
          </w:tcPr>
          <w:p w:rsidR="00C94C86" w:rsidRDefault="00C94C86">
            <w:pPr>
              <w:pStyle w:val="BodyTextIndent"/>
              <w:numPr>
                <w:ilvl w:val="0"/>
                <w:numId w:val="6"/>
              </w:numPr>
              <w:tabs>
                <w:tab w:val="num" w:pos="1080"/>
              </w:tabs>
              <w:ind w:left="357" w:hanging="357"/>
              <w:rPr>
                <w:color w:val="000000"/>
              </w:rPr>
            </w:pPr>
            <w:r>
              <w:rPr>
                <w:color w:val="000000"/>
              </w:rPr>
              <w:t>Ustanowienie odrębnej własności lokali w domu wielorodzinnym, wchodzącym w skład nieruchomości, następuje na zasadach określonych w ustawie z dnia 24 czerwca 1994 r.</w:t>
            </w:r>
            <w:r>
              <w:rPr>
                <w:color w:val="000000"/>
              </w:rPr>
              <w:br/>
              <w:t>o własności lokali (Dz. U. z 2015 r., poz. 1892).</w:t>
            </w:r>
          </w:p>
          <w:p w:rsidR="00C94C86" w:rsidRDefault="00C94C86">
            <w:pPr>
              <w:pStyle w:val="BodyTextIndent"/>
              <w:spacing w:before="0" w:after="60"/>
              <w:ind w:left="346"/>
              <w:rPr>
                <w:color w:val="000000"/>
              </w:rPr>
            </w:pPr>
            <w:r>
              <w:rPr>
                <w:color w:val="000000"/>
              </w:rPr>
              <w:t>Ww. ustawa określa nadto prawa i obowiązki właścicieli tych lokali oraz zarząd nieruch</w:t>
            </w:r>
            <w:r>
              <w:rPr>
                <w:color w:val="000000"/>
              </w:rPr>
              <w:t>o</w:t>
            </w:r>
            <w:r>
              <w:rPr>
                <w:color w:val="000000"/>
              </w:rPr>
              <w:t>mością wspólną.</w:t>
            </w:r>
          </w:p>
          <w:p w:rsidR="00C94C86" w:rsidRDefault="00C94C86">
            <w:pPr>
              <w:numPr>
                <w:ilvl w:val="0"/>
                <w:numId w:val="25"/>
              </w:numPr>
              <w:tabs>
                <w:tab w:val="clear" w:pos="720"/>
                <w:tab w:val="num" w:pos="347"/>
              </w:tabs>
              <w:suppressAutoHyphens/>
              <w:spacing w:after="60"/>
              <w:ind w:left="346" w:hanging="347"/>
              <w:jc w:val="both"/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t>Nabywca lokalu ponosi koszty notarialne i sądowe</w:t>
            </w:r>
            <w:r>
              <w:rPr>
                <w:snapToGrid w:val="0"/>
              </w:rPr>
              <w:t>, których wysokość określi notariusz.</w:t>
            </w:r>
          </w:p>
          <w:p w:rsidR="00C94C86" w:rsidRDefault="00C94C86">
            <w:pPr>
              <w:numPr>
                <w:ilvl w:val="0"/>
                <w:numId w:val="25"/>
              </w:numPr>
              <w:tabs>
                <w:tab w:val="clear" w:pos="720"/>
                <w:tab w:val="num" w:pos="347"/>
              </w:tabs>
              <w:suppressAutoHyphens/>
              <w:spacing w:after="60"/>
              <w:ind w:left="346" w:hanging="347"/>
              <w:jc w:val="both"/>
              <w:rPr>
                <w:snapToGrid w:val="0"/>
                <w:color w:val="000000"/>
              </w:rPr>
            </w:pPr>
            <w:r>
              <w:rPr>
                <w:b/>
                <w:bCs/>
              </w:rPr>
              <w:t>Na nabywcy spoczywa obowiązek podatkowy</w:t>
            </w:r>
            <w:r>
              <w:t xml:space="preserve"> w podatku od nieruchomości wynikający z ustawy z dnia 12 stycznia 1991 r. o podatkach i opłatach lokalnych (Dz. U. z 2016 r., poz. 716 z późniejszymi zmianami).</w:t>
            </w:r>
          </w:p>
          <w:p w:rsidR="00C94C86" w:rsidRPr="00A9490A" w:rsidRDefault="00C94C86">
            <w:pPr>
              <w:numPr>
                <w:ilvl w:val="0"/>
                <w:numId w:val="25"/>
              </w:numPr>
              <w:tabs>
                <w:tab w:val="clear" w:pos="720"/>
                <w:tab w:val="num" w:pos="347"/>
              </w:tabs>
              <w:suppressAutoHyphens/>
              <w:spacing w:after="60"/>
              <w:ind w:left="346" w:hanging="347"/>
              <w:jc w:val="both"/>
              <w:rPr>
                <w:snapToGrid w:val="0"/>
                <w:color w:val="000000"/>
              </w:rPr>
            </w:pPr>
            <w:r>
              <w:rPr>
                <w:color w:val="000000"/>
              </w:rPr>
              <w:t xml:space="preserve">Prezydent Miasta Poznania wydał zaświadczenie nr UA-VII-A08.7120.655.2014 z dnia 20.11.2014 r., stwierdzające, że </w:t>
            </w:r>
            <w:r>
              <w:rPr>
                <w:b/>
                <w:bCs/>
                <w:color w:val="000000"/>
              </w:rPr>
              <w:t xml:space="preserve">lokal mieszkalny nr 12 w budynku mieszkalnym </w:t>
            </w:r>
            <w:r>
              <w:rPr>
                <w:color w:val="000000"/>
              </w:rPr>
              <w:t xml:space="preserve">przy </w:t>
            </w:r>
            <w:r>
              <w:rPr>
                <w:color w:val="000000"/>
              </w:rPr>
              <w:br/>
            </w:r>
            <w:r w:rsidRPr="00406F05">
              <w:rPr>
                <w:b/>
                <w:bCs/>
                <w:color w:val="000000"/>
              </w:rPr>
              <w:t>ul.</w:t>
            </w:r>
            <w:r>
              <w:rPr>
                <w:b/>
                <w:bCs/>
                <w:color w:val="000000"/>
              </w:rPr>
              <w:t xml:space="preserve"> Bogusławskiego 21 </w:t>
            </w:r>
            <w:r>
              <w:rPr>
                <w:color w:val="000000"/>
              </w:rPr>
              <w:t>w Poznaniu jest samodzielnym lokalem mieszkalnym, w rozumieniu art. 2 ust. 2 ustawy z dnia 24 czerwca 1994 r. o własności lokali (Dz. U. z 2015 r., poz. 1892).</w:t>
            </w:r>
          </w:p>
          <w:p w:rsidR="00C94C86" w:rsidRPr="00A9490A" w:rsidRDefault="00C94C86" w:rsidP="00A9490A">
            <w:pPr>
              <w:numPr>
                <w:ilvl w:val="0"/>
                <w:numId w:val="25"/>
              </w:numPr>
              <w:tabs>
                <w:tab w:val="clear" w:pos="720"/>
                <w:tab w:val="num" w:pos="347"/>
              </w:tabs>
              <w:suppressAutoHyphens/>
              <w:spacing w:after="60"/>
              <w:ind w:left="346" w:hanging="347"/>
              <w:jc w:val="both"/>
              <w:rPr>
                <w:snapToGrid w:val="0"/>
                <w:color w:val="000000"/>
              </w:rPr>
            </w:pPr>
            <w:r>
              <w:rPr>
                <w:color w:val="000000"/>
              </w:rPr>
              <w:t xml:space="preserve">Dla części budynku stanowiącej samodzielną całość techniczno-użytkową – </w:t>
            </w:r>
            <w:r>
              <w:rPr>
                <w:color w:val="000000"/>
              </w:rPr>
              <w:br/>
              <w:t xml:space="preserve">ul. Bogusławskiego </w:t>
            </w:r>
            <w:smartTag w:uri="urn:schemas-microsoft-com:office:smarttags" w:element="metricconverter">
              <w:smartTagPr>
                <w:attr w:name="ProductID" w:val="21 m"/>
              </w:smartTagPr>
              <w:r>
                <w:rPr>
                  <w:color w:val="000000"/>
                </w:rPr>
                <w:t>21 m</w:t>
              </w:r>
            </w:smartTag>
            <w:r>
              <w:rPr>
                <w:color w:val="000000"/>
              </w:rPr>
              <w:t>. 12, zostało sporządzone świadectwo charakterystyki energetycznej, ważne do 29.05.2025 r.</w:t>
            </w:r>
          </w:p>
        </w:tc>
      </w:tr>
    </w:tbl>
    <w:p w:rsidR="00C94C86" w:rsidRDefault="00C94C86"/>
    <w:sectPr w:rsidR="00C94C86" w:rsidSect="00A57058">
      <w:footerReference w:type="even" r:id="rId7"/>
      <w:footerReference w:type="default" r:id="rId8"/>
      <w:pgSz w:w="11906" w:h="16838"/>
      <w:pgMar w:top="1418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86" w:rsidRDefault="00C94C86">
      <w:r>
        <w:separator/>
      </w:r>
    </w:p>
  </w:endnote>
  <w:endnote w:type="continuationSeparator" w:id="0">
    <w:p w:rsidR="00C94C86" w:rsidRDefault="00C94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86" w:rsidRDefault="00C94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C86" w:rsidRDefault="00C94C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86" w:rsidRDefault="00C94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4C86" w:rsidRDefault="00C94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86" w:rsidRDefault="00C94C86">
      <w:r>
        <w:separator/>
      </w:r>
    </w:p>
  </w:footnote>
  <w:footnote w:type="continuationSeparator" w:id="0">
    <w:p w:rsidR="00C94C86" w:rsidRDefault="00C94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EBB"/>
    <w:multiLevelType w:val="hybridMultilevel"/>
    <w:tmpl w:val="2F4A7422"/>
    <w:lvl w:ilvl="0" w:tplc="5C3275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3410C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84A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1AC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025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9E0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BC0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A46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A25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F0C15"/>
    <w:multiLevelType w:val="singleLevel"/>
    <w:tmpl w:val="DA14C6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1205031E"/>
    <w:multiLevelType w:val="multilevel"/>
    <w:tmpl w:val="6A547D7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1217DD"/>
    <w:multiLevelType w:val="multilevel"/>
    <w:tmpl w:val="9D10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00140A"/>
    <w:multiLevelType w:val="hybridMultilevel"/>
    <w:tmpl w:val="DF7410D4"/>
    <w:lvl w:ilvl="0" w:tplc="71228904">
      <w:start w:val="3"/>
      <w:numFmt w:val="bullet"/>
      <w:lvlText w:val="-"/>
      <w:lvlJc w:val="left"/>
      <w:pPr>
        <w:tabs>
          <w:tab w:val="num" w:pos="599"/>
        </w:tabs>
        <w:ind w:left="599" w:hanging="360"/>
      </w:pPr>
      <w:rPr>
        <w:rFonts w:ascii="Times New Roman" w:hAnsi="Times New Roman" w:hint="default"/>
      </w:rPr>
    </w:lvl>
    <w:lvl w:ilvl="1" w:tplc="D85A910E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48EA88C4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26667E9E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F7589118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DDAA44D8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9836CC04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4A504338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296A4948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5">
    <w:nsid w:val="1F27445B"/>
    <w:multiLevelType w:val="multilevel"/>
    <w:tmpl w:val="0E60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094C9B"/>
    <w:multiLevelType w:val="hybridMultilevel"/>
    <w:tmpl w:val="5732B1F4"/>
    <w:lvl w:ilvl="0" w:tplc="F184E6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60C223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0DA24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0D472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24758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E0234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C26F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EB63D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54C7B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6222AE"/>
    <w:multiLevelType w:val="multilevel"/>
    <w:tmpl w:val="14D0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C2BEF"/>
    <w:multiLevelType w:val="hybridMultilevel"/>
    <w:tmpl w:val="7510718E"/>
    <w:lvl w:ilvl="0" w:tplc="2ED61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B8C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8C5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CEB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567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E6C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C3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CE5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C2F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3901AB"/>
    <w:multiLevelType w:val="hybridMultilevel"/>
    <w:tmpl w:val="333000AE"/>
    <w:lvl w:ilvl="0" w:tplc="202E0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B1564"/>
    <w:multiLevelType w:val="singleLevel"/>
    <w:tmpl w:val="F0DE17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ED309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9C4D3E"/>
    <w:multiLevelType w:val="hybridMultilevel"/>
    <w:tmpl w:val="14D0AE60"/>
    <w:lvl w:ilvl="0" w:tplc="A02C2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07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E2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8C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6A2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81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AE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C7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4774B0"/>
    <w:multiLevelType w:val="multilevel"/>
    <w:tmpl w:val="349C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262E96"/>
    <w:multiLevelType w:val="hybridMultilevel"/>
    <w:tmpl w:val="BE02F3AA"/>
    <w:lvl w:ilvl="0" w:tplc="2B20C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AC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B69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7240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4EF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8C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74A2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BE9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965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1F30A0"/>
    <w:multiLevelType w:val="singleLevel"/>
    <w:tmpl w:val="F0DE17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4C12254E"/>
    <w:multiLevelType w:val="singleLevel"/>
    <w:tmpl w:val="F0DE17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D0631CE"/>
    <w:multiLevelType w:val="singleLevel"/>
    <w:tmpl w:val="9FBE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8">
    <w:nsid w:val="565D74C3"/>
    <w:multiLevelType w:val="hybridMultilevel"/>
    <w:tmpl w:val="6994B37C"/>
    <w:lvl w:ilvl="0" w:tplc="5FE64FDC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242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E68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32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ECF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CE7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BCA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0C2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7E6833"/>
    <w:multiLevelType w:val="singleLevel"/>
    <w:tmpl w:val="F0DE17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BEC14CD"/>
    <w:multiLevelType w:val="hybridMultilevel"/>
    <w:tmpl w:val="682E152C"/>
    <w:lvl w:ilvl="0" w:tplc="E48C95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825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62D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A48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0A5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06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061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906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C41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047F24"/>
    <w:multiLevelType w:val="singleLevel"/>
    <w:tmpl w:val="F0DE17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30569C4"/>
    <w:multiLevelType w:val="hybridMultilevel"/>
    <w:tmpl w:val="83F23BA8"/>
    <w:lvl w:ilvl="0" w:tplc="FFAAC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1C0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0A5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C2A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407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D84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866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4A7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200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AD703D"/>
    <w:multiLevelType w:val="hybridMultilevel"/>
    <w:tmpl w:val="FCD6694E"/>
    <w:lvl w:ilvl="0" w:tplc="0A36F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E46D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42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AE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861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F4E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64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AAB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B05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DD2A1B"/>
    <w:multiLevelType w:val="hybridMultilevel"/>
    <w:tmpl w:val="F3CC6724"/>
    <w:lvl w:ilvl="0" w:tplc="0FCC40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D46F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FA473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64C0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CEB6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A64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5895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E6FD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08EE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290BF2"/>
    <w:multiLevelType w:val="hybridMultilevel"/>
    <w:tmpl w:val="EAD22B36"/>
    <w:lvl w:ilvl="0" w:tplc="C630B8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B9E2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AD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C4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E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0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4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43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984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7"/>
  </w:num>
  <w:num w:numId="7">
    <w:abstractNumId w:val="11"/>
  </w:num>
  <w:num w:numId="8">
    <w:abstractNumId w:val="21"/>
  </w:num>
  <w:num w:numId="9">
    <w:abstractNumId w:val="19"/>
  </w:num>
  <w:num w:numId="10">
    <w:abstractNumId w:val="15"/>
  </w:num>
  <w:num w:numId="11">
    <w:abstractNumId w:val="14"/>
  </w:num>
  <w:num w:numId="12">
    <w:abstractNumId w:val="8"/>
  </w:num>
  <w:num w:numId="13">
    <w:abstractNumId w:val="22"/>
  </w:num>
  <w:num w:numId="14">
    <w:abstractNumId w:val="23"/>
  </w:num>
  <w:num w:numId="15">
    <w:abstractNumId w:val="5"/>
  </w:num>
  <w:num w:numId="16">
    <w:abstractNumId w:val="20"/>
  </w:num>
  <w:num w:numId="17">
    <w:abstractNumId w:val="13"/>
  </w:num>
  <w:num w:numId="18">
    <w:abstractNumId w:val="4"/>
  </w:num>
  <w:num w:numId="19">
    <w:abstractNumId w:val="18"/>
  </w:num>
  <w:num w:numId="20">
    <w:abstractNumId w:val="24"/>
  </w:num>
  <w:num w:numId="21">
    <w:abstractNumId w:val="12"/>
  </w:num>
  <w:num w:numId="22">
    <w:abstractNumId w:val="7"/>
  </w:num>
  <w:num w:numId="23">
    <w:abstractNumId w:val="6"/>
  </w:num>
  <w:num w:numId="24">
    <w:abstractNumId w:val="25"/>
  </w:num>
  <w:num w:numId="25">
    <w:abstractNumId w:val="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8A3"/>
    <w:rsid w:val="00003C80"/>
    <w:rsid w:val="000325E9"/>
    <w:rsid w:val="000B48A3"/>
    <w:rsid w:val="000F37F2"/>
    <w:rsid w:val="00110B9F"/>
    <w:rsid w:val="00112E20"/>
    <w:rsid w:val="001151B2"/>
    <w:rsid w:val="00115ED1"/>
    <w:rsid w:val="00161BFA"/>
    <w:rsid w:val="00221F0D"/>
    <w:rsid w:val="002334CE"/>
    <w:rsid w:val="0023675D"/>
    <w:rsid w:val="0024323C"/>
    <w:rsid w:val="00255402"/>
    <w:rsid w:val="002572FE"/>
    <w:rsid w:val="0028320A"/>
    <w:rsid w:val="0032097B"/>
    <w:rsid w:val="003558B5"/>
    <w:rsid w:val="003717EA"/>
    <w:rsid w:val="003A765A"/>
    <w:rsid w:val="00406F05"/>
    <w:rsid w:val="00420144"/>
    <w:rsid w:val="004C075D"/>
    <w:rsid w:val="004C64B3"/>
    <w:rsid w:val="004D2531"/>
    <w:rsid w:val="004E6BD6"/>
    <w:rsid w:val="004F587E"/>
    <w:rsid w:val="00577EE5"/>
    <w:rsid w:val="005846B9"/>
    <w:rsid w:val="00584991"/>
    <w:rsid w:val="005D730D"/>
    <w:rsid w:val="005E7582"/>
    <w:rsid w:val="0062125D"/>
    <w:rsid w:val="006215E8"/>
    <w:rsid w:val="00627ECC"/>
    <w:rsid w:val="00660283"/>
    <w:rsid w:val="00662501"/>
    <w:rsid w:val="006E0941"/>
    <w:rsid w:val="00721081"/>
    <w:rsid w:val="00783951"/>
    <w:rsid w:val="007B3005"/>
    <w:rsid w:val="007C0652"/>
    <w:rsid w:val="007C53C9"/>
    <w:rsid w:val="00812CCF"/>
    <w:rsid w:val="008250BB"/>
    <w:rsid w:val="00865520"/>
    <w:rsid w:val="00890172"/>
    <w:rsid w:val="008A5BAE"/>
    <w:rsid w:val="008B36E2"/>
    <w:rsid w:val="00905DDE"/>
    <w:rsid w:val="00913CA2"/>
    <w:rsid w:val="00966262"/>
    <w:rsid w:val="0099537B"/>
    <w:rsid w:val="009C3E7E"/>
    <w:rsid w:val="009E2E33"/>
    <w:rsid w:val="00A05B14"/>
    <w:rsid w:val="00A57058"/>
    <w:rsid w:val="00A8652A"/>
    <w:rsid w:val="00A9490A"/>
    <w:rsid w:val="00AA62E8"/>
    <w:rsid w:val="00AE3164"/>
    <w:rsid w:val="00B01619"/>
    <w:rsid w:val="00B07584"/>
    <w:rsid w:val="00B109F9"/>
    <w:rsid w:val="00B715E4"/>
    <w:rsid w:val="00B778CC"/>
    <w:rsid w:val="00BA31EC"/>
    <w:rsid w:val="00BE32DB"/>
    <w:rsid w:val="00C94C86"/>
    <w:rsid w:val="00D24877"/>
    <w:rsid w:val="00D526C3"/>
    <w:rsid w:val="00D63388"/>
    <w:rsid w:val="00DC4A96"/>
    <w:rsid w:val="00DC4D38"/>
    <w:rsid w:val="00E02162"/>
    <w:rsid w:val="00E128E6"/>
    <w:rsid w:val="00EA12AD"/>
    <w:rsid w:val="00ED6498"/>
    <w:rsid w:val="00F44C8C"/>
    <w:rsid w:val="00F53B08"/>
    <w:rsid w:val="00F56465"/>
    <w:rsid w:val="00F63B4D"/>
    <w:rsid w:val="00F768FA"/>
    <w:rsid w:val="00F84E21"/>
    <w:rsid w:val="00FB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5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058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058"/>
    <w:pPr>
      <w:keepNext/>
      <w:snapToGrid w:val="0"/>
      <w:spacing w:line="360" w:lineRule="auto"/>
      <w:ind w:left="4248" w:firstLine="708"/>
      <w:outlineLvl w:val="1"/>
    </w:pPr>
    <w:rPr>
      <w:rFonts w:ascii="Arial" w:hAnsi="Arial" w:cs="Arial"/>
      <w:b/>
      <w:bCs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058"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A57058"/>
    <w:pPr>
      <w:spacing w:before="60"/>
      <w:ind w:left="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570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5705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70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570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2</Pages>
  <Words>1038</Words>
  <Characters>6230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domswi</dc:creator>
  <cp:keywords/>
  <dc:description/>
  <cp:lastModifiedBy>ewaani</cp:lastModifiedBy>
  <cp:revision>41</cp:revision>
  <cp:lastPrinted>2017-02-09T12:26:00Z</cp:lastPrinted>
  <dcterms:created xsi:type="dcterms:W3CDTF">2017-01-16T11:37:00Z</dcterms:created>
  <dcterms:modified xsi:type="dcterms:W3CDTF">2017-03-15T08:49:00Z</dcterms:modified>
</cp:coreProperties>
</file>