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53" w:rsidRDefault="00D03D53">
      <w:pPr>
        <w:pStyle w:val="Heading1"/>
        <w:ind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</w:t>
      </w:r>
      <w:r>
        <w:rPr>
          <w:rFonts w:ascii="Times New Roman" w:hAnsi="Times New Roman"/>
          <w:snapToGrid w:val="0"/>
          <w:sz w:val="20"/>
        </w:rPr>
        <w:t>do zarządzenia Nr 352/2017/P</w:t>
      </w:r>
    </w:p>
    <w:p w:rsidR="00D03D53" w:rsidRDefault="00D03D53">
      <w:pPr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D03D53" w:rsidRDefault="00D03D53">
      <w:pPr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z dnia 29.05.2017 r.</w:t>
      </w:r>
    </w:p>
    <w:p w:rsidR="00D03D53" w:rsidRDefault="00D03D53">
      <w:pPr>
        <w:pStyle w:val="Heading2"/>
        <w:spacing w:line="240" w:lineRule="auto"/>
        <w:ind w:left="0" w:firstLine="5"/>
        <w:jc w:val="center"/>
        <w:rPr>
          <w:rFonts w:ascii="Times New Roman" w:hAnsi="Times New Roman"/>
          <w:b w:val="0"/>
          <w:i w:val="0"/>
        </w:rPr>
      </w:pPr>
    </w:p>
    <w:p w:rsidR="00D03D53" w:rsidRDefault="00D03D53">
      <w:pPr>
        <w:pStyle w:val="Heading2"/>
        <w:spacing w:line="240" w:lineRule="auto"/>
        <w:ind w:left="0" w:firstLine="5"/>
        <w:jc w:val="center"/>
        <w:rPr>
          <w:rFonts w:ascii="Times New Roman" w:hAnsi="Times New Roman"/>
          <w:b w:val="0"/>
          <w:i w:val="0"/>
        </w:rPr>
      </w:pPr>
    </w:p>
    <w:p w:rsidR="00D03D53" w:rsidRDefault="00D03D53">
      <w:pPr>
        <w:pStyle w:val="Heading2"/>
        <w:spacing w:line="240" w:lineRule="auto"/>
        <w:ind w:left="0" w:firstLine="5"/>
        <w:jc w:val="center"/>
        <w:rPr>
          <w:rFonts w:ascii="Times New Roman" w:hAnsi="Times New Roman"/>
          <w:b w:val="0"/>
          <w:i w:val="0"/>
        </w:rPr>
      </w:pPr>
    </w:p>
    <w:p w:rsidR="00D03D53" w:rsidRDefault="00D03D53">
      <w:pPr>
        <w:pStyle w:val="Heading2"/>
        <w:ind w:left="0" w:firstLine="6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WYKAZ</w:t>
      </w:r>
    </w:p>
    <w:p w:rsidR="00D03D53" w:rsidRDefault="00D03D53" w:rsidP="007C55D0">
      <w:pPr>
        <w:spacing w:line="360" w:lineRule="auto"/>
        <w:ind w:left="-567" w:right="-567"/>
        <w:jc w:val="center"/>
        <w:rPr>
          <w:b/>
          <w:snapToGrid w:val="0"/>
          <w:spacing w:val="-14"/>
          <w:sz w:val="28"/>
        </w:rPr>
      </w:pPr>
      <w:r>
        <w:rPr>
          <w:b/>
          <w:snapToGrid w:val="0"/>
          <w:spacing w:val="-14"/>
          <w:sz w:val="28"/>
        </w:rPr>
        <w:t>lokalu mieszkalnego przeznaczonego do sprzedaży w trybie przetargu ustnego nieograniczonego</w:t>
      </w:r>
    </w:p>
    <w:tbl>
      <w:tblPr>
        <w:tblW w:w="0" w:type="auto"/>
        <w:tblInd w:w="-49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552"/>
        <w:gridCol w:w="7938"/>
      </w:tblGrid>
      <w:tr w:rsidR="00D03D53"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adres nieruchomości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D53" w:rsidRDefault="00D03D53" w:rsidP="00FF24AE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ul. Grodziska 67 – lokal mieszkalny nr 1</w:t>
            </w:r>
          </w:p>
        </w:tc>
      </w:tr>
      <w:tr w:rsidR="00D03D53">
        <w:trPr>
          <w:trHeight w:val="36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oznaczenia geodezyjne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:rsidR="00D03D53" w:rsidRPr="00112F59" w:rsidRDefault="00D03D53" w:rsidP="000314CE">
            <w:pPr>
              <w:spacing w:before="60"/>
              <w:jc w:val="both"/>
              <w:rPr>
                <w:sz w:val="20"/>
              </w:rPr>
            </w:pPr>
            <w:r w:rsidRPr="00112F59">
              <w:rPr>
                <w:sz w:val="20"/>
              </w:rPr>
              <w:t>obręb Jeżyce arkusz 17 działka 60</w:t>
            </w:r>
            <w:r>
              <w:rPr>
                <w:sz w:val="20"/>
              </w:rPr>
              <w:t xml:space="preserve"> </w:t>
            </w:r>
            <w:r w:rsidRPr="00112F59">
              <w:rPr>
                <w:sz w:val="20"/>
              </w:rPr>
              <w:t xml:space="preserve">(B) pow. </w:t>
            </w:r>
            <w:smartTag w:uri="urn:schemas-microsoft-com:office:smarttags" w:element="metricconverter">
              <w:smartTagPr>
                <w:attr w:name="ProductID" w:val="444 m2"/>
              </w:smartTagPr>
              <w:r w:rsidRPr="00112F59">
                <w:rPr>
                  <w:sz w:val="20"/>
                </w:rPr>
                <w:t>444 m</w:t>
              </w:r>
              <w:r w:rsidRPr="00112F59">
                <w:rPr>
                  <w:sz w:val="20"/>
                  <w:vertAlign w:val="superscript"/>
                </w:rPr>
                <w:t>2</w:t>
              </w:r>
            </w:smartTag>
            <w:r w:rsidRPr="00112F59">
              <w:rPr>
                <w:sz w:val="20"/>
              </w:rPr>
              <w:t xml:space="preserve"> KW PO1P/00061559/2</w:t>
            </w:r>
          </w:p>
          <w:p w:rsidR="00D03D53" w:rsidRDefault="00D03D53" w:rsidP="00FF24AE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według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KW PO1P/00061559/2 – właściciel Miasto Poznań</w:t>
            </w:r>
          </w:p>
          <w:p w:rsidR="00D03D53" w:rsidRDefault="00D03D53" w:rsidP="00FF24AE">
            <w:pPr>
              <w:spacing w:before="60" w:after="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W dziale III (prawa, roszczenia, ograniczenia) KW PO1P/00061559/2 widnieje inny wpis dot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 xml:space="preserve">czący użytkowania wieczystego i własności budynku stanowiącego odrebną nieruchomość: </w:t>
            </w:r>
            <w:r>
              <w:rPr>
                <w:i/>
                <w:sz w:val="20"/>
              </w:rPr>
              <w:t>sp</w:t>
            </w:r>
            <w:r>
              <w:rPr>
                <w:i/>
                <w:sz w:val="20"/>
              </w:rPr>
              <w:t>o</w:t>
            </w:r>
            <w:r>
              <w:rPr>
                <w:i/>
                <w:sz w:val="20"/>
              </w:rPr>
              <w:t>sób korzystania z nieruchomości wspólnej określony w paragrafie 4 aktu notarialnego będącego podstawą wpisu.</w:t>
            </w:r>
          </w:p>
          <w:p w:rsidR="00D03D53" w:rsidRDefault="00D03D53" w:rsidP="00FF24AE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Zgodnie z § 4 (ustalenie sposobu korzystania z nieruchomości wspólnej) aktu notarialnego z dnia 19.07.2013 r., numer Rep. A. 2728/2013, właściciel lokalu nr 2 i jego następcy prawni </w:t>
            </w:r>
            <w:r>
              <w:rPr>
                <w:i/>
                <w:sz w:val="20"/>
              </w:rPr>
              <w:t xml:space="preserve">korzystać będą na wyłączność z niezabudowanej części działki nr 60, o obszarze </w:t>
            </w:r>
            <w:smartTag w:uri="urn:schemas-microsoft-com:office:smarttags" w:element="metricconverter">
              <w:smartTagPr>
                <w:attr w:name="ProductID" w:val="192,3 m2"/>
              </w:smartTagPr>
              <w:r>
                <w:rPr>
                  <w:i/>
                  <w:sz w:val="20"/>
                </w:rPr>
                <w:t>192,3 m</w:t>
              </w:r>
              <w:r>
                <w:rPr>
                  <w:i/>
                  <w:sz w:val="20"/>
                  <w:vertAlign w:val="superscript"/>
                </w:rPr>
                <w:t>2</w:t>
              </w:r>
            </w:smartTag>
            <w:r>
              <w:rPr>
                <w:i/>
                <w:sz w:val="20"/>
              </w:rPr>
              <w:t xml:space="preserve"> (…), oznaczonej numerem 5 (…) na załączniku do niniejszej umowy, a każdoczesny właściciel lokalu nr 1 (…) korzystać będzie na wyłączność z niezabudowanej części działki nr 60, o obszarze </w:t>
            </w:r>
            <w:smartTag w:uri="urn:schemas-microsoft-com:office:smarttags" w:element="metricconverter">
              <w:smartTagPr>
                <w:attr w:name="ProductID" w:val="129,8 m2"/>
              </w:smartTagPr>
              <w:r>
                <w:rPr>
                  <w:i/>
                  <w:sz w:val="20"/>
                </w:rPr>
                <w:t>129,8 m</w:t>
              </w:r>
              <w:r>
                <w:rPr>
                  <w:i/>
                  <w:sz w:val="20"/>
                  <w:vertAlign w:val="superscript"/>
                </w:rPr>
                <w:t>2</w:t>
              </w:r>
            </w:smartTag>
            <w:r>
              <w:rPr>
                <w:i/>
                <w:sz w:val="20"/>
              </w:rPr>
              <w:t xml:space="preserve"> (…), oznaczonej numerem 4 (…) na wspomnianym załączniku do niniejszego aktu notarialnego, n</w:t>
            </w: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tomiast każdoczesni właściciele lokali nr 1 i nr 2 korzystać będą wspólnie z niezabudowanej części działki nr 60, o obszarze </w:t>
            </w:r>
            <w:smartTag w:uri="urn:schemas-microsoft-com:office:smarttags" w:element="metricconverter">
              <w:smartTagPr>
                <w:attr w:name="ProductID" w:val="36,8 m2"/>
              </w:smartTagPr>
              <w:r>
                <w:rPr>
                  <w:i/>
                  <w:sz w:val="20"/>
                </w:rPr>
                <w:t>36,8 m</w:t>
              </w:r>
              <w:r>
                <w:rPr>
                  <w:i/>
                  <w:sz w:val="20"/>
                  <w:vertAlign w:val="superscript"/>
                </w:rPr>
                <w:t>2</w:t>
              </w:r>
            </w:smartTag>
            <w:r>
              <w:rPr>
                <w:i/>
                <w:sz w:val="20"/>
              </w:rPr>
              <w:t xml:space="preserve"> (…), oznaczonej numerem 2 (…) na wspomnianym z</w:t>
            </w:r>
            <w:r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łączniku do niniejszego aktu notarialnego (ogród wspólny) oraz z niezabudowanej części działki nr 60, o obszarze </w:t>
            </w:r>
            <w:smartTag w:uri="urn:schemas-microsoft-com:office:smarttags" w:element="metricconverter">
              <w:smartTagPr>
                <w:attr w:name="ProductID" w:val="21,1 m2"/>
              </w:smartTagPr>
              <w:r>
                <w:rPr>
                  <w:i/>
                  <w:sz w:val="20"/>
                </w:rPr>
                <w:t>21,1 m</w:t>
              </w:r>
              <w:r>
                <w:rPr>
                  <w:i/>
                  <w:sz w:val="20"/>
                  <w:vertAlign w:val="superscript"/>
                </w:rPr>
                <w:t>2</w:t>
              </w:r>
            </w:smartTag>
            <w:r>
              <w:rPr>
                <w:i/>
                <w:sz w:val="20"/>
              </w:rPr>
              <w:t xml:space="preserve"> (…), oznaczonej numerem 3 (…) na wymienionym załączniku do n</w:t>
            </w:r>
            <w:r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>niejszego aktu notarialnego (ście</w:t>
            </w:r>
            <w:r w:rsidRPr="00EC7C4E">
              <w:rPr>
                <w:i/>
                <w:sz w:val="20"/>
              </w:rPr>
              <w:t>ż</w:t>
            </w:r>
            <w:r>
              <w:rPr>
                <w:i/>
                <w:sz w:val="20"/>
              </w:rPr>
              <w:t>ka wspólna)…</w:t>
            </w:r>
          </w:p>
          <w:p w:rsidR="00D03D53" w:rsidRPr="00306E5E" w:rsidRDefault="00D03D53" w:rsidP="00FF24AE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Mapa z przedstawionym podziałem sposobu korzystania z nieruchomości wspólnej (quoad usum) stanowi załącznik do przedmiotowego zarządzenia.</w:t>
            </w:r>
          </w:p>
        </w:tc>
      </w:tr>
      <w:tr w:rsidR="00D03D53">
        <w:trPr>
          <w:trHeight w:val="32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opis nieruchomości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53" w:rsidRDefault="00D03D53" w:rsidP="00587463">
            <w:pPr>
              <w:numPr>
                <w:ilvl w:val="0"/>
                <w:numId w:val="16"/>
                <w:numberingChange w:id="0" w:author="Unknown" w:date="2017-05-30T12:37:00Z" w:original="-"/>
              </w:numPr>
              <w:spacing w:before="6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położona w Poznaniu przy ulicy Grodziskiej 67;</w:t>
            </w:r>
          </w:p>
          <w:p w:rsidR="00D03D53" w:rsidRDefault="00D03D53" w:rsidP="00587463">
            <w:pPr>
              <w:numPr>
                <w:ilvl w:val="0"/>
                <w:numId w:val="16"/>
                <w:numberingChange w:id="1" w:author="Unknown" w:date="2017-05-30T12:37:00Z" w:original="-"/>
              </w:numPr>
              <w:spacing w:before="6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nieruchomość gruntowa zabudowana budynkiem dwulokalowym;</w:t>
            </w:r>
          </w:p>
          <w:p w:rsidR="00D03D53" w:rsidRDefault="00D03D53" w:rsidP="00587463">
            <w:pPr>
              <w:numPr>
                <w:ilvl w:val="0"/>
                <w:numId w:val="16"/>
                <w:numberingChange w:id="2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 bliskim sąsiedztwie nieruchomości znajduje się zabudowa mieszkaniowa wielorodzinna, tereny zieleni miejskiej, obiekty sportowe;</w:t>
            </w:r>
          </w:p>
          <w:p w:rsidR="00D03D53" w:rsidRDefault="00D03D53" w:rsidP="004313E5">
            <w:pPr>
              <w:numPr>
                <w:ilvl w:val="0"/>
                <w:numId w:val="16"/>
                <w:numberingChange w:id="3" w:author="Unknown" w:date="2017-05-30T12:37:00Z" w:original="-"/>
              </w:numPr>
              <w:spacing w:after="6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teren wokół budynku zagospodarowany jest jako strefa zieleni niskiej wraz z chodnikami komunikacyjnymi oraz miejscami parkingowymi;</w:t>
            </w:r>
          </w:p>
          <w:p w:rsidR="00D03D53" w:rsidRDefault="00D03D53" w:rsidP="004313E5">
            <w:pPr>
              <w:numPr>
                <w:ilvl w:val="0"/>
                <w:numId w:val="16"/>
                <w:numberingChange w:id="4" w:author="Unknown" w:date="2017-05-30T12:37:00Z" w:original="-"/>
              </w:numPr>
              <w:spacing w:after="6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część nieruchomości odpowiadająca niewyodrębnionemu lokalowi mieszkalnemu nr 1 obj</w:t>
            </w:r>
            <w:r>
              <w:rPr>
                <w:sz w:val="20"/>
              </w:rPr>
              <w:t>ę</w:t>
            </w:r>
            <w:r>
              <w:rPr>
                <w:sz w:val="20"/>
              </w:rPr>
              <w:t>ta jest umową dzierżawy nr D/51/1031 zawartą pomiędzy Miastem Poznań a Zarządem Komunalnych Zasobów Lokalowych sp. z o.o. na czas nieoznaczony, obowiązujacą od dnia 01.10.2013 r., przy czym zgodnie z aneksem do powyższej umowy dzierżawy, zawartym w dniu 19.10.2015 r., umowa wygasa w stosunku do tej części przedmiotu umowy dzierżawy, co do której nastapiło zbycie, z dniem zbycia tej części przedmiotu umowy dzierżawy;</w:t>
            </w:r>
          </w:p>
          <w:p w:rsidR="00D03D53" w:rsidRDefault="00D03D53" w:rsidP="00796C73">
            <w:pPr>
              <w:spacing w:line="360" w:lineRule="auto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Opis budynku </w:t>
            </w:r>
            <w:r>
              <w:rPr>
                <w:sz w:val="20"/>
              </w:rPr>
              <w:t>– rok budowy 1929</w:t>
            </w:r>
          </w:p>
          <w:p w:rsidR="00D03D53" w:rsidRDefault="00D03D53" w:rsidP="00796C73">
            <w:pPr>
              <w:numPr>
                <w:ilvl w:val="0"/>
                <w:numId w:val="19"/>
                <w:numberingChange w:id="5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pow. zabudowy: </w:t>
            </w:r>
            <w:smartTag w:uri="urn:schemas-microsoft-com:office:smarttags" w:element="metricconverter">
              <w:smartTagPr>
                <w:attr w:name="ProductID" w:val="76 m2"/>
              </w:smartTagPr>
              <w:r>
                <w:rPr>
                  <w:sz w:val="20"/>
                </w:rPr>
                <w:t>76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 xml:space="preserve">, pow. użytkowa: </w:t>
            </w:r>
            <w:smartTag w:uri="urn:schemas-microsoft-com:office:smarttags" w:element="metricconverter">
              <w:smartTagPr>
                <w:attr w:name="ProductID" w:val="148,4 m2"/>
              </w:smartTagPr>
              <w:r>
                <w:rPr>
                  <w:sz w:val="20"/>
                </w:rPr>
                <w:t>148,4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 xml:space="preserve">; kubatura: </w:t>
            </w:r>
            <w:smartTag w:uri="urn:schemas-microsoft-com:office:smarttags" w:element="metricconverter">
              <w:smartTagPr>
                <w:attr w:name="ProductID" w:val="719 m3"/>
              </w:smartTagPr>
              <w:r>
                <w:rPr>
                  <w:sz w:val="20"/>
                </w:rPr>
                <w:t>719 m</w:t>
              </w:r>
              <w:r>
                <w:rPr>
                  <w:sz w:val="20"/>
                  <w:vertAlign w:val="superscript"/>
                </w:rPr>
                <w:t>3</w:t>
              </w:r>
            </w:smartTag>
            <w:r>
              <w:rPr>
                <w:sz w:val="20"/>
              </w:rPr>
              <w:t>;</w:t>
            </w:r>
          </w:p>
          <w:p w:rsidR="00D03D53" w:rsidRDefault="00D03D53" w:rsidP="00796C73">
            <w:pPr>
              <w:numPr>
                <w:ilvl w:val="0"/>
                <w:numId w:val="19"/>
                <w:numberingChange w:id="6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 budynku znajdują się 2 lokale mieszkalne;</w:t>
            </w:r>
          </w:p>
          <w:p w:rsidR="00D03D53" w:rsidRDefault="00D03D53" w:rsidP="00587463">
            <w:pPr>
              <w:numPr>
                <w:ilvl w:val="0"/>
                <w:numId w:val="19"/>
                <w:numberingChange w:id="7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liczba kondygnacji nadziemnych – 3;</w:t>
            </w:r>
          </w:p>
          <w:p w:rsidR="00D03D53" w:rsidRDefault="00D03D53" w:rsidP="00587463">
            <w:pPr>
              <w:numPr>
                <w:ilvl w:val="0"/>
                <w:numId w:val="19"/>
                <w:numberingChange w:id="8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częściowo podpiwniczony, z poddaszem użytkowym, ocieplony, zrealizowany w technol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gii tradycyjnej;</w:t>
            </w:r>
          </w:p>
          <w:p w:rsidR="00D03D53" w:rsidRDefault="00D03D53" w:rsidP="00587463">
            <w:pPr>
              <w:numPr>
                <w:ilvl w:val="0"/>
                <w:numId w:val="19"/>
                <w:numberingChange w:id="9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konstrukcja budynku: ściany – murowane z cegły; schody – drewniane; stropy – drewniane, belkowe; dach – o kontrukcji drewnianej kryty dachówką;</w:t>
            </w:r>
          </w:p>
          <w:p w:rsidR="00D03D53" w:rsidRDefault="00D03D53" w:rsidP="00587463">
            <w:pPr>
              <w:numPr>
                <w:ilvl w:val="0"/>
                <w:numId w:val="19"/>
                <w:numberingChange w:id="10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wyposażony w instalacje: elektryczną, wodociągową z przyłączem do sieci miejskiej, kan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lizacyjną sanitarną z odprowadzeniem ścieków do kanalizacji miejskiej, gazu ziemnego, brak jest instalacji centralnego ogrzewania oraz centralnej instalacji ciepłej wody użytkowej (ogrzewanie indywidualne – piece);</w:t>
            </w:r>
          </w:p>
          <w:p w:rsidR="00D03D53" w:rsidRDefault="00D03D53" w:rsidP="002E04D8">
            <w:pPr>
              <w:numPr>
                <w:ilvl w:val="0"/>
                <w:numId w:val="19"/>
                <w:numberingChange w:id="11" w:author="Unknown" w:date="2017-05-30T12:37:00Z" w:original="-"/>
              </w:numPr>
              <w:spacing w:after="6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budynek o nietypowym standardzie wykończenia i wyposażenia lokali;</w:t>
            </w:r>
          </w:p>
          <w:p w:rsidR="00D03D53" w:rsidRDefault="00D03D53" w:rsidP="00796C73">
            <w:pPr>
              <w:pStyle w:val="Heading6"/>
              <w:spacing w:after="0" w:line="360" w:lineRule="auto"/>
            </w:pPr>
            <w:r>
              <w:t>Opis lokalu mieszkalnego nr 1:</w:t>
            </w:r>
          </w:p>
          <w:p w:rsidR="00D03D53" w:rsidRDefault="00D03D53" w:rsidP="00796C73">
            <w:pPr>
              <w:jc w:val="both"/>
              <w:rPr>
                <w:sz w:val="20"/>
              </w:rPr>
            </w:pPr>
            <w:r>
              <w:rPr>
                <w:sz w:val="20"/>
              </w:rPr>
              <w:t>Pokój I (</w:t>
            </w:r>
            <w:smartTag w:uri="urn:schemas-microsoft-com:office:smarttags" w:element="metricconverter">
              <w:smartTagPr>
                <w:attr w:name="ProductID" w:val="22 m2"/>
              </w:smartTagPr>
              <w:r>
                <w:rPr>
                  <w:sz w:val="20"/>
                </w:rPr>
                <w:t>22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), pokój II (</w:t>
            </w:r>
            <w:smartTag w:uri="urn:schemas-microsoft-com:office:smarttags" w:element="metricconverter">
              <w:smartTagPr>
                <w:attr w:name="ProductID" w:val="12,7 m2"/>
              </w:smartTagPr>
              <w:r>
                <w:rPr>
                  <w:sz w:val="20"/>
                </w:rPr>
                <w:t>12,7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), kuchnia (</w:t>
            </w:r>
            <w:smartTag w:uri="urn:schemas-microsoft-com:office:smarttags" w:element="metricconverter">
              <w:smartTagPr>
                <w:attr w:name="ProductID" w:val="9,6 m2"/>
              </w:smartTagPr>
              <w:r>
                <w:rPr>
                  <w:sz w:val="20"/>
                </w:rPr>
                <w:t>9,6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), skrytka (</w:t>
            </w:r>
            <w:smartTag w:uri="urn:schemas-microsoft-com:office:smarttags" w:element="metricconverter">
              <w:smartTagPr>
                <w:attr w:name="ProductID" w:val="0,2 m2"/>
              </w:smartTagPr>
              <w:r>
                <w:rPr>
                  <w:sz w:val="20"/>
                </w:rPr>
                <w:t>0,2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);</w:t>
            </w:r>
          </w:p>
          <w:p w:rsidR="00D03D53" w:rsidRDefault="00D03D53" w:rsidP="00796C73">
            <w:pPr>
              <w:numPr>
                <w:ilvl w:val="0"/>
                <w:numId w:val="19"/>
                <w:numberingChange w:id="12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łączna pow. użytkowa lokalu – </w:t>
            </w:r>
            <w:smartTag w:uri="urn:schemas-microsoft-com:office:smarttags" w:element="metricconverter">
              <w:smartTagPr>
                <w:attr w:name="ProductID" w:val="44,5 m2"/>
              </w:smartTagPr>
              <w:r>
                <w:rPr>
                  <w:sz w:val="20"/>
                </w:rPr>
                <w:t>44,5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;</w:t>
            </w:r>
          </w:p>
          <w:p w:rsidR="00D03D53" w:rsidRDefault="00D03D53" w:rsidP="00E229BB">
            <w:pPr>
              <w:numPr>
                <w:ilvl w:val="0"/>
                <w:numId w:val="19"/>
                <w:numberingChange w:id="13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 lokalu przydzielone są dwa pomieszczenia przynależne – piwnica o pow. </w:t>
            </w:r>
            <w:smartTag w:uri="urn:schemas-microsoft-com:office:smarttags" w:element="metricconverter">
              <w:smartTagPr>
                <w:attr w:name="ProductID" w:val="12,2 m2"/>
              </w:smartTagPr>
              <w:r>
                <w:rPr>
                  <w:sz w:val="20"/>
                </w:rPr>
                <w:t>12,2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 xml:space="preserve"> oraz łazienka z wc o pow. </w:t>
            </w:r>
            <w:smartTag w:uri="urn:schemas-microsoft-com:office:smarttags" w:element="metricconverter">
              <w:smartTagPr>
                <w:attr w:name="ProductID" w:val="3,1 m2"/>
              </w:smartTagPr>
              <w:r>
                <w:rPr>
                  <w:sz w:val="20"/>
                </w:rPr>
                <w:t>3,1 m</w:t>
              </w:r>
              <w:r>
                <w:rPr>
                  <w:sz w:val="20"/>
                  <w:vertAlign w:val="superscript"/>
                </w:rPr>
                <w:t>2</w:t>
              </w:r>
            </w:smartTag>
            <w:r>
              <w:rPr>
                <w:sz w:val="20"/>
              </w:rPr>
              <w:t>, położone poza lokalem;</w:t>
            </w:r>
          </w:p>
          <w:p w:rsidR="00D03D53" w:rsidRDefault="00D03D53" w:rsidP="00D669C1">
            <w:pPr>
              <w:numPr>
                <w:ilvl w:val="0"/>
                <w:numId w:val="19"/>
                <w:numberingChange w:id="14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lokal usytuowany na parterze, nie posiada balkonu;</w:t>
            </w:r>
          </w:p>
          <w:p w:rsidR="00D03D53" w:rsidRDefault="00D03D53" w:rsidP="00A962A9">
            <w:pPr>
              <w:numPr>
                <w:ilvl w:val="0"/>
                <w:numId w:val="19"/>
                <w:numberingChange w:id="15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rozkład funkcjonalno-użytkowy: przejściowy;</w:t>
            </w:r>
          </w:p>
          <w:p w:rsidR="00D03D53" w:rsidRPr="00A962A9" w:rsidRDefault="00D03D53" w:rsidP="00A962A9">
            <w:pPr>
              <w:numPr>
                <w:ilvl w:val="0"/>
                <w:numId w:val="19"/>
                <w:numberingChange w:id="16" w:author="Unknown" w:date="2017-05-30T12:37:00Z" w:original="-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wystawa okien: wschodnia oraz zachodnia;</w:t>
            </w:r>
          </w:p>
          <w:p w:rsidR="00D03D53" w:rsidRDefault="00D03D53" w:rsidP="00A962A9">
            <w:pPr>
              <w:numPr>
                <w:ilvl w:val="0"/>
                <w:numId w:val="19"/>
                <w:numberingChange w:id="17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tynki i okładziny ścian i sufitów: </w:t>
            </w:r>
            <w:r w:rsidRPr="00F81CAB">
              <w:rPr>
                <w:spacing w:val="-4"/>
                <w:sz w:val="20"/>
                <w:u w:val="single"/>
              </w:rPr>
              <w:t>pokoje</w:t>
            </w:r>
            <w:r>
              <w:rPr>
                <w:spacing w:val="-4"/>
                <w:sz w:val="20"/>
              </w:rPr>
              <w:t xml:space="preserve"> – ściany malowane, częściowo tapetowane (liczne z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brudzenia, tapety pozrywane, pęknięcia i miejscowe ubytki tynków, widoczne zawilgocenia i z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grzybienia), sufity malowane oraz obłożone kasetonami (peknięcia tynków); </w:t>
            </w:r>
            <w:r w:rsidRPr="00F81CAB">
              <w:rPr>
                <w:spacing w:val="-4"/>
                <w:sz w:val="20"/>
                <w:u w:val="single"/>
              </w:rPr>
              <w:t>kuchnia</w:t>
            </w:r>
            <w:r>
              <w:rPr>
                <w:spacing w:val="-4"/>
                <w:sz w:val="20"/>
              </w:rPr>
              <w:t xml:space="preserve"> – ściany malowane, tapetowane oraz częściwo obłożone płytą PCW i glazurą (liczne zabrudzenia, tapety pozrywane, peknięcia i miejscowe ubytki tynków, ubytki glazury, widoczne zawilgocenia i z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grzybienia), sufity malowane, częściowo obłożone kasetonami (pęknięcia tynków, ubytki kas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tonów); </w:t>
            </w:r>
            <w:r w:rsidRPr="00F81CAB">
              <w:rPr>
                <w:spacing w:val="-4"/>
                <w:sz w:val="20"/>
                <w:u w:val="single"/>
              </w:rPr>
              <w:t xml:space="preserve">skrytka </w:t>
            </w:r>
            <w:r>
              <w:rPr>
                <w:spacing w:val="-4"/>
                <w:sz w:val="20"/>
              </w:rPr>
              <w:t>– ściany malowane (zabrudzenia, pęknięcia tynków), sufity malowane (pekni</w:t>
            </w:r>
            <w:r>
              <w:rPr>
                <w:spacing w:val="-4"/>
                <w:sz w:val="20"/>
              </w:rPr>
              <w:t>ę</w:t>
            </w:r>
            <w:r>
              <w:rPr>
                <w:spacing w:val="-4"/>
                <w:sz w:val="20"/>
              </w:rPr>
              <w:t xml:space="preserve">cia tynków); </w:t>
            </w:r>
            <w:r w:rsidRPr="00F81CAB">
              <w:rPr>
                <w:spacing w:val="-4"/>
                <w:sz w:val="20"/>
                <w:u w:val="single"/>
              </w:rPr>
              <w:t>łazienka z wc</w:t>
            </w:r>
            <w:r>
              <w:rPr>
                <w:spacing w:val="-4"/>
                <w:sz w:val="20"/>
              </w:rPr>
              <w:t xml:space="preserve"> (poza lokalem) – ściany malowane, częściowo obłożone tapetą (lic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4"/>
                <w:sz w:val="20"/>
              </w:rPr>
              <w:t>ne zabrudzenia, peknięcia, ubytki, zawilgocenia, zagrzybienia i zmurszenia tynków), sufity m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"/>
                <w:sz w:val="20"/>
              </w:rPr>
              <w:t>lowane (pęknięcia tynków);</w:t>
            </w:r>
          </w:p>
          <w:p w:rsidR="00D03D53" w:rsidRDefault="00D03D53" w:rsidP="00A962A9">
            <w:pPr>
              <w:numPr>
                <w:ilvl w:val="0"/>
                <w:numId w:val="19"/>
                <w:numberingChange w:id="18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podłogi i posadzki: </w:t>
            </w:r>
            <w:r w:rsidRPr="00F81CAB">
              <w:rPr>
                <w:spacing w:val="-4"/>
                <w:sz w:val="20"/>
                <w:u w:val="single"/>
              </w:rPr>
              <w:t>pokoje</w:t>
            </w:r>
            <w:r>
              <w:rPr>
                <w:spacing w:val="-4"/>
                <w:sz w:val="20"/>
              </w:rPr>
              <w:t xml:space="preserve"> – deski podłogowe obłożone wykładziną PCW (wykładziny stare </w:t>
            </w:r>
            <w:r>
              <w:rPr>
                <w:spacing w:val="-4"/>
                <w:sz w:val="20"/>
              </w:rPr>
              <w:br/>
              <w:t xml:space="preserve">w złym stanie technicznym, deski stare); </w:t>
            </w:r>
            <w:r w:rsidRPr="00F81CAB">
              <w:rPr>
                <w:spacing w:val="-4"/>
                <w:sz w:val="20"/>
                <w:u w:val="single"/>
              </w:rPr>
              <w:t>kuchnia</w:t>
            </w:r>
            <w:r>
              <w:rPr>
                <w:spacing w:val="-4"/>
                <w:sz w:val="20"/>
              </w:rPr>
              <w:t xml:space="preserve"> – deski podłogowe (stare, zniszczone); </w:t>
            </w:r>
            <w:r w:rsidRPr="00F81CAB">
              <w:rPr>
                <w:spacing w:val="-4"/>
                <w:sz w:val="20"/>
                <w:u w:val="single"/>
              </w:rPr>
              <w:t>skrytka</w:t>
            </w:r>
            <w:r>
              <w:rPr>
                <w:spacing w:val="-4"/>
                <w:sz w:val="20"/>
              </w:rPr>
              <w:t xml:space="preserve"> – deski podłogowe obłożone wykładziną PCW (wykładziny stare w złym stanie technicznym, deski stare); </w:t>
            </w:r>
            <w:r w:rsidRPr="00F81CAB">
              <w:rPr>
                <w:spacing w:val="-4"/>
                <w:sz w:val="20"/>
                <w:u w:val="single"/>
              </w:rPr>
              <w:t>łazienka z wc</w:t>
            </w:r>
            <w:r>
              <w:rPr>
                <w:spacing w:val="-4"/>
                <w:sz w:val="20"/>
              </w:rPr>
              <w:t xml:space="preserve"> (poza lokalem) – posadzka betonowa, lastryko (zniszczone);</w:t>
            </w:r>
          </w:p>
          <w:p w:rsidR="00D03D53" w:rsidRDefault="00D03D53" w:rsidP="00A962A9">
            <w:pPr>
              <w:numPr>
                <w:ilvl w:val="0"/>
                <w:numId w:val="19"/>
                <w:numberingChange w:id="19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stolarka okienna: w pokoju nr 1 – PCW, w pozostałych pomieszczeniach – drewniana (stara, nieszczelna, pojedyncze pęknięcia szyb);</w:t>
            </w:r>
          </w:p>
          <w:p w:rsidR="00D03D53" w:rsidRDefault="00D03D53" w:rsidP="00A962A9">
            <w:pPr>
              <w:numPr>
                <w:ilvl w:val="0"/>
                <w:numId w:val="19"/>
                <w:numberingChange w:id="20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stolarka drzwiowa: drewniana i płycinowa (stara, zniszczona);</w:t>
            </w:r>
          </w:p>
          <w:p w:rsidR="00D03D53" w:rsidRPr="00181393" w:rsidRDefault="00D03D53" w:rsidP="007A5E23">
            <w:pPr>
              <w:numPr>
                <w:ilvl w:val="0"/>
                <w:numId w:val="19"/>
                <w:numberingChange w:id="21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wyposażony w instalacje: wodną, kanalizacyjną, gazową, elektryczną (częściowo zdeko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pletowaną); brak centralnego ogrzewania – ogrzewanie indywidualne za pomocą pieców k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flowych, brak centralnej instalacji ciepłej wody użytkowej (woda podgrzewana za pomocą gazowego lub elektrycznego podgrzewacza – obecnie brak podgrzewacza);</w:t>
            </w:r>
          </w:p>
          <w:p w:rsidR="00D03D53" w:rsidRPr="007A5E23" w:rsidRDefault="00D03D53" w:rsidP="007A5E23">
            <w:pPr>
              <w:numPr>
                <w:ilvl w:val="0"/>
                <w:numId w:val="19"/>
                <w:numberingChange w:id="22" w:author="Unknown" w:date="2017-05-30T12:37:00Z" w:original="-"/>
              </w:numPr>
              <w:spacing w:after="60"/>
              <w:ind w:left="357" w:hanging="357"/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piec kaflowy mieszczący się w lokalu nie nadaje się do eksploatacji – wypalone i zerwane palenisko, nieszczelne drzwiczki, zarwany cokół, peknięte sklepienie, spękania, nieszcze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ności.</w:t>
            </w:r>
          </w:p>
        </w:tc>
      </w:tr>
      <w:tr w:rsidR="00D03D53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D53" w:rsidRDefault="00D03D53">
            <w:pPr>
              <w:spacing w:before="60" w:after="60"/>
              <w:ind w:left="284" w:hanging="284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 przeznaczenie w planie zagospodarowania prz</w:t>
            </w:r>
            <w:r>
              <w:rPr>
                <w:snapToGrid w:val="0"/>
                <w:sz w:val="20"/>
              </w:rPr>
              <w:t>e</w:t>
            </w:r>
            <w:r>
              <w:rPr>
                <w:snapToGrid w:val="0"/>
                <w:sz w:val="20"/>
              </w:rPr>
              <w:t>strzennego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53" w:rsidRPr="00C55C73" w:rsidRDefault="00D03D53" w:rsidP="00C55C73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  <w:sz w:val="20"/>
              </w:rPr>
            </w:pPr>
            <w:r w:rsidRPr="00C55C73">
              <w:rPr>
                <w:color w:val="000000"/>
                <w:sz w:val="20"/>
              </w:rPr>
              <w:t xml:space="preserve">Nieruchomość położona jest na terenie, na którym obecnie nie obowiązuje żaden miejscowy plan zagospodarowania przestrzennego. </w:t>
            </w:r>
          </w:p>
          <w:p w:rsidR="00D03D53" w:rsidRDefault="00D03D53" w:rsidP="0096121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i/>
                <w:color w:val="000000"/>
                <w:sz w:val="20"/>
              </w:rPr>
            </w:pPr>
            <w:r w:rsidRPr="00C55C73">
              <w:rPr>
                <w:color w:val="000000"/>
                <w:sz w:val="20"/>
              </w:rPr>
              <w:t xml:space="preserve">Zgodnie ze </w:t>
            </w:r>
            <w:r w:rsidRPr="00C55C73">
              <w:rPr>
                <w:i/>
                <w:iCs/>
                <w:color w:val="000000"/>
                <w:sz w:val="20"/>
              </w:rPr>
              <w:t xml:space="preserve">Studium uwarunkowań i kierunków zagospodarowania przestrzennego miasta </w:t>
            </w:r>
            <w:r>
              <w:rPr>
                <w:i/>
                <w:iCs/>
                <w:color w:val="000000"/>
                <w:sz w:val="20"/>
              </w:rPr>
              <w:t xml:space="preserve">    </w:t>
            </w:r>
            <w:r w:rsidRPr="00C55C73">
              <w:rPr>
                <w:i/>
                <w:iCs/>
                <w:color w:val="000000"/>
                <w:sz w:val="20"/>
              </w:rPr>
              <w:t>Poznania</w:t>
            </w:r>
            <w:r w:rsidRPr="00C55C7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zatwierdzonym uchwałą Nr LXXII/1137/VI/2014 Rady Miasta Poznania z dnia 23 września 2014 r., przedmiotowa nieruchomość położona jest na obszarze oznaczonym symbolem </w:t>
            </w:r>
            <w:r w:rsidRPr="00B119E8">
              <w:rPr>
                <w:b/>
                <w:i/>
                <w:color w:val="000000"/>
                <w:sz w:val="20"/>
              </w:rPr>
              <w:t>MW/U –</w:t>
            </w:r>
            <w:r>
              <w:rPr>
                <w:b/>
                <w:i/>
                <w:color w:val="000000"/>
                <w:sz w:val="20"/>
              </w:rPr>
              <w:t xml:space="preserve"> tereny zabudowy mieszkaniowej wielorodzinnej lub zabudowy usługowej.</w:t>
            </w:r>
          </w:p>
          <w:p w:rsidR="00D03D53" w:rsidRPr="00C55C73" w:rsidRDefault="00D03D53" w:rsidP="0096121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0"/>
              </w:rPr>
            </w:pPr>
            <w:r w:rsidRPr="00C55C73">
              <w:rPr>
                <w:color w:val="000000"/>
                <w:sz w:val="20"/>
              </w:rPr>
              <w:t>Powyższe potwierdził Wydział Urbanistyki i Architektury Urzędu Miasta Poznania w piś</w:t>
            </w:r>
            <w:r>
              <w:rPr>
                <w:color w:val="000000"/>
                <w:sz w:val="20"/>
              </w:rPr>
              <w:t>mie nr UA-II-U04.6724.971.2015 z dnia 15.07.2015 r.</w:t>
            </w:r>
          </w:p>
          <w:p w:rsidR="00D03D53" w:rsidRPr="002241DE" w:rsidRDefault="00D03D53" w:rsidP="00C55C73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color w:val="000000"/>
                <w:sz w:val="20"/>
              </w:rPr>
            </w:pPr>
            <w:r w:rsidRPr="00C55C73">
              <w:rPr>
                <w:color w:val="000000"/>
                <w:sz w:val="20"/>
              </w:rPr>
              <w:t>Miejski Konserwator Zabytków w Poznaniu pismem</w:t>
            </w:r>
            <w:r>
              <w:rPr>
                <w:color w:val="000000"/>
                <w:sz w:val="20"/>
              </w:rPr>
              <w:t xml:space="preserve"> nr MKZ-I.4125.4.191.2015.S z dnia 21.07.2015 r. poinformował m.in., że: </w:t>
            </w:r>
            <w:r>
              <w:rPr>
                <w:i/>
                <w:color w:val="000000"/>
                <w:sz w:val="20"/>
              </w:rPr>
              <w:t>budynek mieszkalny przy ul. Grodziskiej 67 (…) nie jest wpisany do rejestru zabytków i nie jest położony na terenie zespołu urbanistyczno-architektonicznego wpisanego do rejestru zabytków. Obiekt jest ujęty w wykazie zabytków nier</w:t>
            </w:r>
            <w:r>
              <w:rPr>
                <w:i/>
                <w:color w:val="000000"/>
                <w:sz w:val="20"/>
              </w:rPr>
              <w:t>u</w:t>
            </w:r>
            <w:r>
              <w:rPr>
                <w:i/>
                <w:color w:val="000000"/>
                <w:sz w:val="20"/>
              </w:rPr>
              <w:t>chomych stanowiących podstawę do wykonania gminnej ewidencji zabytków określonym w art. 7 ustawy z dnia 18 marca 2010 r. o zmianie ustawy o ochronie zabytków i opiece nad zabytkami oraz o zmianie niektórych innych ustaw (…). Ochronie podlegają m.in. bryła, dach, elewacje, oryginalna stolarka okienna i drzwiowa budynku. Na sprzedaż lokalu mieszkalnego nr 1 nie jest wymagana zgoda konserwatorska.</w:t>
            </w:r>
          </w:p>
        </w:tc>
      </w:tr>
      <w:tr w:rsidR="00D03D53">
        <w:trPr>
          <w:trHeight w:val="7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 forma i tryb zbycia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D03D53" w:rsidRDefault="00D03D53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Sprzedaż lokalu mieszkalnego nr 1 w trybie przetargu ustnego nieograniczonego wraz z udziałem w wysokości 598/1484 w częściach wspólnych budynku i urządzeniach, które nie służą wyłącznie do użytku właścicieli poszczególnych lokali, z równoczesnym oddaniem w użytkowanie wieczyste gruntu w udziale wynoszącym 598/1484 do dnia 15.11.2075 r.</w:t>
            </w:r>
          </w:p>
        </w:tc>
      </w:tr>
      <w:tr w:rsidR="00D03D53">
        <w:tc>
          <w:tcPr>
            <w:tcW w:w="2552" w:type="dxa"/>
            <w:tcBorders>
              <w:left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6. cena sprzedaży lokalu, w </w:t>
            </w:r>
            <w:r>
              <w:rPr>
                <w:snapToGrid w:val="0"/>
                <w:sz w:val="20"/>
              </w:rPr>
              <w:br/>
              <w:t xml:space="preserve">tym cena udziału w gruncie 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D03D53" w:rsidRDefault="00D03D53" w:rsidP="00F62098">
            <w:pPr>
              <w:spacing w:before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395.000,- zł </w:t>
            </w:r>
            <w:r>
              <w:rPr>
                <w:sz w:val="20"/>
              </w:rPr>
              <w:t>(słownie: trzysta dziewięć pięć tysięcy</w:t>
            </w:r>
            <w:r w:rsidRPr="00A46A12">
              <w:rPr>
                <w:sz w:val="20"/>
              </w:rPr>
              <w:t>),</w:t>
            </w:r>
            <w:r>
              <w:rPr>
                <w:sz w:val="20"/>
              </w:rPr>
              <w:t xml:space="preserve"> w tym:</w:t>
            </w:r>
          </w:p>
          <w:p w:rsidR="00D03D53" w:rsidRDefault="00D03D53" w:rsidP="00C55C73">
            <w:pPr>
              <w:ind w:left="5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cena lokalu:</w:t>
            </w:r>
            <w:r>
              <w:rPr>
                <w:b/>
                <w:sz w:val="20"/>
              </w:rPr>
              <w:t xml:space="preserve"> 200.000,- zł,</w:t>
            </w:r>
          </w:p>
          <w:p w:rsidR="00D03D53" w:rsidRPr="00F23418" w:rsidRDefault="00D03D53">
            <w:pPr>
              <w:spacing w:after="60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cena udziału w gruncie:</w:t>
            </w:r>
            <w:r>
              <w:rPr>
                <w:b/>
                <w:sz w:val="20"/>
              </w:rPr>
              <w:t xml:space="preserve"> 195.000,- zł </w:t>
            </w:r>
          </w:p>
        </w:tc>
      </w:tr>
      <w:tr w:rsidR="00D03D53">
        <w:trPr>
          <w:trHeight w:val="552"/>
        </w:trPr>
        <w:tc>
          <w:tcPr>
            <w:tcW w:w="2552" w:type="dxa"/>
            <w:tcBorders>
              <w:left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7. wysokość opłat i terminy </w:t>
            </w:r>
            <w:r>
              <w:rPr>
                <w:snapToGrid w:val="0"/>
                <w:sz w:val="20"/>
              </w:rPr>
              <w:br/>
              <w:t>ich wnoszenia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D03D53" w:rsidRDefault="00D03D53" w:rsidP="00587463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Cena lokalu </w:t>
            </w:r>
            <w:r>
              <w:rPr>
                <w:sz w:val="20"/>
              </w:rPr>
              <w:t>osiągnięta w przetargu podlega zapłacie jednorazowo nie później niż do dnia          zawarcia umowy notarialnej.</w:t>
            </w:r>
          </w:p>
          <w:p w:rsidR="00D03D53" w:rsidRDefault="00D03D53">
            <w:pPr>
              <w:spacing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Pierwsza opłata</w:t>
            </w:r>
            <w:r>
              <w:rPr>
                <w:sz w:val="20"/>
              </w:rPr>
              <w:t xml:space="preserve"> z tytułu użytkowania wieczystego gruntu stanowi 15% ceny nabywanego udziału w gruncie, osiągniętej w przetargu, opodatkowana jest podatkiem VAT według stawki 23% i podlega zapłacie jednorazowo nie później niż do dnia zawarcia umowy notarialnej.</w:t>
            </w:r>
          </w:p>
          <w:p w:rsidR="00D03D53" w:rsidRDefault="00D03D53">
            <w:pPr>
              <w:spacing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Opłaty roczne </w:t>
            </w:r>
            <w:r>
              <w:rPr>
                <w:sz w:val="20"/>
              </w:rPr>
              <w:t>z tytułu użytkowania wieczystego gruntu stanowią 1% ceny nabywanego udziału w gruncie, osiągniętej w przetargu, opodatkowane są podatkiem VAT według obowiązującej stawki i wnosi się je przez cały okres użytkowania wieczystego, w terminie do dnia 31 marca każdego roku, z góry za dany rok.</w:t>
            </w:r>
          </w:p>
          <w:p w:rsidR="00D03D53" w:rsidRDefault="00D03D53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Opłaty rocznej nie pobiera się za rok, w którym to zostało ustanowione prawo użytkowania     wieczystego.</w:t>
            </w:r>
          </w:p>
          <w:p w:rsidR="00D03D53" w:rsidRDefault="00D03D53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Wysokość opłaty rocznej z tytułu użytkowania wieczystego nieruchomości gruntowej podlega aktualizacji nie częściej niż raz na 3 lata, jeżeli wartość tej nieruchomości ulegnie zmianie.</w:t>
            </w:r>
          </w:p>
          <w:p w:rsidR="00D03D53" w:rsidRDefault="00D03D53">
            <w:p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W razie zwłoki w uiszczaniu opłat pobierane będą odsetki na zasadach określonych w Kodeksie cywilnym.</w:t>
            </w:r>
          </w:p>
        </w:tc>
      </w:tr>
      <w:tr w:rsidR="00D03D53">
        <w:trPr>
          <w:trHeight w:val="68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03D53" w:rsidRDefault="00D03D53">
            <w:pPr>
              <w:spacing w:before="60" w:after="60"/>
              <w:ind w:right="-56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8. informacje dodatkowe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:rsidR="00D03D53" w:rsidRDefault="00D03D53" w:rsidP="00D64EC6">
            <w:pPr>
              <w:pStyle w:val="BodyTextIndent"/>
              <w:numPr>
                <w:ilvl w:val="0"/>
                <w:numId w:val="30"/>
                <w:numberingChange w:id="23" w:author="Unknown" w:date="2017-05-30T12:37:00Z" w:original="%1:1:0:."/>
              </w:numPr>
              <w:spacing w:before="60" w:line="240" w:lineRule="auto"/>
              <w:rPr>
                <w:sz w:val="20"/>
              </w:rPr>
            </w:pPr>
            <w:r>
              <w:rPr>
                <w:sz w:val="20"/>
              </w:rPr>
              <w:t>Ustanowienie odrębnej własności lokali w domu wielorodzinnym, wchodzącym w skład ni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 xml:space="preserve">ruchomości, następuje na zasadach określonych w ustawie z dnia 24 czerwca 1994 r. </w:t>
            </w:r>
            <w:r>
              <w:rPr>
                <w:sz w:val="20"/>
              </w:rPr>
              <w:br/>
              <w:t>o własności lokali (Dz. U. z 2015 r., poz. 1892).</w:t>
            </w:r>
          </w:p>
          <w:p w:rsidR="00D03D53" w:rsidRPr="00D64EC6" w:rsidRDefault="00D03D53" w:rsidP="00D64EC6">
            <w:pPr>
              <w:pStyle w:val="BodyTextIndent"/>
              <w:spacing w:before="60" w:line="240" w:lineRule="auto"/>
              <w:ind w:left="284"/>
              <w:rPr>
                <w:sz w:val="20"/>
              </w:rPr>
            </w:pPr>
            <w:r w:rsidRPr="00D64EC6">
              <w:rPr>
                <w:sz w:val="20"/>
              </w:rPr>
              <w:t>Ww. ustawa określa nadto prawa i obowiązki właś</w:t>
            </w:r>
            <w:r>
              <w:rPr>
                <w:sz w:val="20"/>
              </w:rPr>
              <w:t xml:space="preserve">cicieli tych lokali oraz zarząd </w:t>
            </w:r>
            <w:r w:rsidRPr="00D64EC6">
              <w:rPr>
                <w:sz w:val="20"/>
              </w:rPr>
              <w:t>nieruchom</w:t>
            </w:r>
            <w:r w:rsidRPr="00D64EC6">
              <w:rPr>
                <w:sz w:val="20"/>
              </w:rPr>
              <w:t>o</w:t>
            </w:r>
            <w:r w:rsidRPr="00D64EC6">
              <w:rPr>
                <w:sz w:val="20"/>
              </w:rPr>
              <w:t>ścią wspólną.</w:t>
            </w:r>
          </w:p>
          <w:p w:rsidR="00D03D53" w:rsidRDefault="00D03D53" w:rsidP="00CD08FC">
            <w:pPr>
              <w:numPr>
                <w:ilvl w:val="0"/>
                <w:numId w:val="30"/>
                <w:numberingChange w:id="24" w:author="Unknown" w:date="2017-05-30T12:37:00Z" w:original="%1:2:0:."/>
              </w:num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Nabywca </w:t>
            </w:r>
            <w:r>
              <w:rPr>
                <w:b/>
                <w:snapToGrid w:val="0"/>
                <w:sz w:val="20"/>
              </w:rPr>
              <w:t>ponosi koszty notarialne i sądowe</w:t>
            </w:r>
            <w:r>
              <w:rPr>
                <w:snapToGrid w:val="0"/>
                <w:sz w:val="20"/>
              </w:rPr>
              <w:t>, których wysokość określi notariusz.</w:t>
            </w:r>
          </w:p>
          <w:p w:rsidR="00D03D53" w:rsidRDefault="00D03D53" w:rsidP="00CD08FC">
            <w:pPr>
              <w:numPr>
                <w:ilvl w:val="0"/>
                <w:numId w:val="30"/>
                <w:numberingChange w:id="25" w:author="Unknown" w:date="2017-05-30T12:37:00Z" w:original="%1:3:0:."/>
              </w:numPr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>Na nabywcy spoczywa obowiązek podatkowy</w:t>
            </w:r>
            <w:r>
              <w:rPr>
                <w:snapToGrid w:val="0"/>
                <w:sz w:val="20"/>
              </w:rPr>
              <w:t xml:space="preserve"> w podatku od nieruchomości wynikający </w:t>
            </w:r>
            <w:r>
              <w:rPr>
                <w:snapToGrid w:val="0"/>
                <w:sz w:val="20"/>
              </w:rPr>
              <w:br/>
              <w:t>z ustawy z dnia 12 stycznia 1991 r. o podatkach i opłatach lokalnych (Dz. U. z 2016 r., poz. 716 ze zm.).</w:t>
            </w:r>
          </w:p>
          <w:p w:rsidR="00D03D53" w:rsidRDefault="00D03D53" w:rsidP="00CD08FC">
            <w:pPr>
              <w:numPr>
                <w:ilvl w:val="0"/>
                <w:numId w:val="30"/>
                <w:numberingChange w:id="26" w:author="Unknown" w:date="2017-05-30T12:37:00Z" w:original="%1:4:0:."/>
              </w:numPr>
              <w:spacing w:after="60"/>
              <w:jc w:val="both"/>
              <w:rPr>
                <w:b/>
                <w:snapToGrid w:val="0"/>
                <w:sz w:val="20"/>
              </w:rPr>
            </w:pPr>
            <w:r>
              <w:rPr>
                <w:sz w:val="20"/>
              </w:rPr>
              <w:t>Dla części budynku stanowiącej samodzielną całość techniczno-użytkową budynek mies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kalny w zabudowie szeregowej, Poznań, ul. Grodziska 67/1, zostało sporządzone świadectwo charakterystyki energetycznej, ważne do dnia 24.04.2025 r.</w:t>
            </w:r>
          </w:p>
          <w:p w:rsidR="00D03D53" w:rsidRPr="003364DD" w:rsidRDefault="00D03D53" w:rsidP="00CD08FC">
            <w:pPr>
              <w:numPr>
                <w:ilvl w:val="0"/>
                <w:numId w:val="30"/>
                <w:numberingChange w:id="27" w:author="Unknown" w:date="2017-05-30T12:37:00Z" w:original="%1:5:0:."/>
              </w:numPr>
              <w:spacing w:after="60"/>
              <w:jc w:val="both"/>
              <w:rPr>
                <w:b/>
                <w:snapToGrid w:val="0"/>
                <w:sz w:val="20"/>
              </w:rPr>
            </w:pPr>
            <w:r>
              <w:rPr>
                <w:spacing w:val="-2"/>
                <w:sz w:val="20"/>
              </w:rPr>
              <w:t>Prezydent Miasta Poznania wydał z</w:t>
            </w:r>
            <w:r>
              <w:rPr>
                <w:color w:val="000000"/>
                <w:spacing w:val="-2"/>
                <w:sz w:val="20"/>
              </w:rPr>
              <w:t xml:space="preserve">aświadczenie nr UA-VI-A04.7120.661.2014 </w:t>
            </w:r>
            <w:r>
              <w:rPr>
                <w:sz w:val="20"/>
              </w:rPr>
              <w:t xml:space="preserve">z dnia 12.11.2014 r., </w:t>
            </w:r>
            <w:r>
              <w:rPr>
                <w:color w:val="000000"/>
                <w:sz w:val="20"/>
              </w:rPr>
              <w:t>stwierdzające, że</w:t>
            </w:r>
            <w:r>
              <w:rPr>
                <w:b/>
                <w:color w:val="000000"/>
                <w:sz w:val="20"/>
              </w:rPr>
              <w:t xml:space="preserve"> lokal mieszkalny nr 1 </w:t>
            </w:r>
            <w:r>
              <w:rPr>
                <w:color w:val="000000"/>
                <w:sz w:val="20"/>
              </w:rPr>
              <w:t xml:space="preserve">w budynku mieszkalnym przy          </w:t>
            </w:r>
            <w:r>
              <w:rPr>
                <w:b/>
                <w:color w:val="000000"/>
                <w:sz w:val="20"/>
              </w:rPr>
              <w:t xml:space="preserve">ul. Grodziskiej 67 </w:t>
            </w:r>
            <w:r>
              <w:rPr>
                <w:color w:val="000000"/>
                <w:sz w:val="20"/>
              </w:rPr>
              <w:t xml:space="preserve">w Poznaniu </w:t>
            </w:r>
            <w:r>
              <w:rPr>
                <w:b/>
                <w:color w:val="000000"/>
                <w:sz w:val="20"/>
              </w:rPr>
              <w:t>jest samodzielnym lokalem mieszkalnym</w:t>
            </w:r>
            <w:r>
              <w:rPr>
                <w:color w:val="000000"/>
                <w:sz w:val="20"/>
              </w:rPr>
              <w:t xml:space="preserve"> w rozumieniu art. 2 ust. 2 ustawy o własności lokali </w:t>
            </w:r>
            <w:r>
              <w:rPr>
                <w:sz w:val="20"/>
              </w:rPr>
              <w:t>(Dz. U. z 2015 r., poz. 1892).</w:t>
            </w:r>
          </w:p>
          <w:p w:rsidR="00D03D53" w:rsidRPr="003364DD" w:rsidRDefault="00D03D53" w:rsidP="00CD08FC">
            <w:pPr>
              <w:numPr>
                <w:ilvl w:val="0"/>
                <w:numId w:val="30"/>
                <w:numberingChange w:id="28" w:author="Unknown" w:date="2017-05-30T12:37:00Z" w:original="%1:6:0:."/>
              </w:numPr>
              <w:spacing w:after="60"/>
              <w:jc w:val="both"/>
              <w:rPr>
                <w:b/>
                <w:snapToGrid w:val="0"/>
                <w:sz w:val="20"/>
              </w:rPr>
            </w:pPr>
            <w:r w:rsidRPr="003364DD">
              <w:rPr>
                <w:b/>
                <w:sz w:val="20"/>
              </w:rPr>
              <w:t>Na wniosek zainteresowanego inwestora</w:t>
            </w:r>
            <w:r>
              <w:rPr>
                <w:b/>
                <w:sz w:val="20"/>
              </w:rPr>
              <w:t>:</w:t>
            </w:r>
          </w:p>
          <w:p w:rsidR="00D03D53" w:rsidRDefault="00D03D53" w:rsidP="00CD08FC">
            <w:pPr>
              <w:spacing w:after="60"/>
              <w:ind w:left="3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szczegółowe informacje o zapisach w „Studium…” </w:t>
            </w:r>
            <w:r>
              <w:rPr>
                <w:sz w:val="20"/>
              </w:rPr>
              <w:t>w formie wypisu i wyrysu można uzyskać w Miejskiej Pracowni Urbanistycznej lub w formie informacji o kierunkach zag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 xml:space="preserve">spodarowania przestrzennego terenu w Studium, sporządzonej przez Wydział Urbanistyki </w:t>
            </w:r>
            <w:r>
              <w:rPr>
                <w:sz w:val="20"/>
              </w:rPr>
              <w:br/>
              <w:t>i Architektury Urzędu Miasta Poznania,</w:t>
            </w:r>
          </w:p>
          <w:p w:rsidR="00D03D53" w:rsidRDefault="00D03D53" w:rsidP="00CD08FC">
            <w:pPr>
              <w:spacing w:after="60"/>
              <w:ind w:left="3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szczegółowe informacje o istniejącym uzbrojeniu i możliwości (lub braku możliwości) przyłączenia się do istniejących mediów </w:t>
            </w:r>
            <w:r>
              <w:rPr>
                <w:sz w:val="20"/>
              </w:rPr>
              <w:t>określą poszczególni gestorzy sieci przesył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wych,</w:t>
            </w:r>
          </w:p>
          <w:p w:rsidR="00D03D53" w:rsidRDefault="00D03D53" w:rsidP="00CD08FC">
            <w:pPr>
              <w:spacing w:after="60"/>
              <w:ind w:left="3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- obsługę komunikacyjną terenu oraz warunki dostępu do drogi </w:t>
            </w:r>
            <w:r>
              <w:rPr>
                <w:sz w:val="20"/>
              </w:rPr>
              <w:t>określi Zarząd Dróg Miejskich.</w:t>
            </w:r>
          </w:p>
          <w:p w:rsidR="00D03D53" w:rsidRPr="00CD08FC" w:rsidRDefault="00D03D53" w:rsidP="00CD08FC">
            <w:pPr>
              <w:numPr>
                <w:ilvl w:val="0"/>
                <w:numId w:val="30"/>
                <w:numberingChange w:id="29" w:author="Unknown" w:date="2017-05-30T12:37:00Z" w:original="%1:7:0:."/>
              </w:numPr>
              <w:spacing w:after="60"/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>Kwestię własności urządzeń podziemnych</w:t>
            </w:r>
            <w:r>
              <w:rPr>
                <w:snapToGrid w:val="0"/>
                <w:sz w:val="20"/>
              </w:rPr>
              <w:t xml:space="preserve"> reguluje art. 49 Kodeksu cywilnego, a kwestię ustanowienia służebności przesyłu na rzecz gestorów sieci regulują art. 305</w:t>
            </w:r>
            <w:r>
              <w:rPr>
                <w:snapToGrid w:val="0"/>
                <w:sz w:val="20"/>
                <w:vertAlign w:val="superscript"/>
              </w:rPr>
              <w:t>1</w:t>
            </w:r>
            <w:r>
              <w:rPr>
                <w:snapToGrid w:val="0"/>
                <w:sz w:val="20"/>
              </w:rPr>
              <w:t xml:space="preserve"> – 305</w:t>
            </w:r>
            <w:r>
              <w:rPr>
                <w:snapToGrid w:val="0"/>
                <w:sz w:val="20"/>
                <w:vertAlign w:val="superscript"/>
              </w:rPr>
              <w:t>4</w:t>
            </w:r>
            <w:r>
              <w:rPr>
                <w:snapToGrid w:val="0"/>
                <w:sz w:val="20"/>
              </w:rPr>
              <w:t xml:space="preserve"> Kodeksu cywilnego.</w:t>
            </w:r>
          </w:p>
          <w:p w:rsidR="00D03D53" w:rsidRDefault="00D03D53" w:rsidP="00CD08FC">
            <w:pPr>
              <w:numPr>
                <w:ilvl w:val="0"/>
                <w:numId w:val="30"/>
                <w:numberingChange w:id="30" w:author="Unknown" w:date="2017-05-30T12:37:00Z" w:original="%1:8:0:."/>
              </w:numPr>
              <w:spacing w:after="60"/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>Polska Spółka Gazownictwa sp. z o.o.</w:t>
            </w:r>
            <w:r>
              <w:rPr>
                <w:snapToGrid w:val="0"/>
                <w:sz w:val="20"/>
              </w:rPr>
              <w:t xml:space="preserve"> w piśmie nr PSGW300/DT/ZMS/SEMU-6140-102494/17 z dnia 27.03.2017 r. poinformowała, że </w:t>
            </w:r>
            <w:r>
              <w:rPr>
                <w:i/>
                <w:snapToGrid w:val="0"/>
                <w:sz w:val="20"/>
              </w:rPr>
              <w:t>do przedmiotowego budynku (…)doprowadzone jest przyłącze gazu średniego ciśnienia dn 32 PE (na wysokości posesji nr 47). Budynek nr 67 przy ul. Grodziskiej zasilany jest w gaz ziemny z wewnętrznej instalacji gazu, która nie stanowi własności PSG sp. z o.o. W ulicy Grodziskiej zlokalizowany jest g</w:t>
            </w:r>
            <w:r>
              <w:rPr>
                <w:i/>
                <w:snapToGrid w:val="0"/>
                <w:sz w:val="20"/>
              </w:rPr>
              <w:t>a</w:t>
            </w:r>
            <w:r>
              <w:rPr>
                <w:i/>
                <w:snapToGrid w:val="0"/>
                <w:sz w:val="20"/>
              </w:rPr>
              <w:t>zociąg średniego ciśnienia dn 90 mm PE, który nie powoduje ograniczeń możliwości zab</w:t>
            </w:r>
            <w:r>
              <w:rPr>
                <w:i/>
                <w:snapToGrid w:val="0"/>
                <w:sz w:val="20"/>
              </w:rPr>
              <w:t>u</w:t>
            </w:r>
            <w:r>
              <w:rPr>
                <w:i/>
                <w:snapToGrid w:val="0"/>
                <w:sz w:val="20"/>
              </w:rPr>
              <w:t>dowy i korzystania z nieruchomości oznaczonej jako dz. nr 60.</w:t>
            </w:r>
          </w:p>
          <w:p w:rsidR="00D03D53" w:rsidRPr="00C02182" w:rsidRDefault="00D03D53" w:rsidP="00CD08FC">
            <w:pPr>
              <w:numPr>
                <w:ilvl w:val="0"/>
                <w:numId w:val="30"/>
                <w:numberingChange w:id="31" w:author="Unknown" w:date="2017-05-30T12:37:00Z" w:original="%1:9:0:."/>
              </w:numPr>
              <w:spacing w:after="60"/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 xml:space="preserve">Enea Operator sp. z o.o. </w:t>
            </w:r>
            <w:r>
              <w:rPr>
                <w:snapToGrid w:val="0"/>
                <w:sz w:val="20"/>
              </w:rPr>
              <w:t>w piśmie nr OD5/MU1/K/2017/224 z dnia 24.03.2017 r. poinfo</w:t>
            </w:r>
            <w:r>
              <w:rPr>
                <w:snapToGrid w:val="0"/>
                <w:sz w:val="20"/>
              </w:rPr>
              <w:t>r</w:t>
            </w:r>
            <w:r>
              <w:rPr>
                <w:snapToGrid w:val="0"/>
                <w:sz w:val="20"/>
              </w:rPr>
              <w:t xml:space="preserve">mowała m.in., że </w:t>
            </w:r>
            <w:r>
              <w:rPr>
                <w:i/>
                <w:snapToGrid w:val="0"/>
                <w:sz w:val="20"/>
              </w:rPr>
              <w:t>na ww. dz. gruntu znajduje się złącze kablowe ZK 1b, z którego zasilane są posesje na dz. 60 i 59. (…) w pobliżu znajduje się linia kablowa YAKY 4x120, która nie ogr</w:t>
            </w:r>
            <w:r>
              <w:rPr>
                <w:i/>
                <w:snapToGrid w:val="0"/>
                <w:sz w:val="20"/>
              </w:rPr>
              <w:t>a</w:t>
            </w:r>
            <w:r>
              <w:rPr>
                <w:i/>
                <w:snapToGrid w:val="0"/>
                <w:sz w:val="20"/>
              </w:rPr>
              <w:t>nicza możliwości zabudowy…</w:t>
            </w:r>
          </w:p>
          <w:p w:rsidR="00D03D53" w:rsidRPr="00731232" w:rsidRDefault="00D03D53" w:rsidP="00731232">
            <w:pPr>
              <w:numPr>
                <w:ilvl w:val="0"/>
                <w:numId w:val="30"/>
                <w:numberingChange w:id="32" w:author="Unknown" w:date="2017-05-30T12:37:00Z" w:original="%1:10:0:."/>
              </w:numPr>
              <w:spacing w:after="60"/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>Veolia Energia Poznań S.A.</w:t>
            </w:r>
            <w:r>
              <w:rPr>
                <w:snapToGrid w:val="0"/>
                <w:sz w:val="20"/>
              </w:rPr>
              <w:t xml:space="preserve"> w pismie nr DR/RW/WR/PC_MW_729/2017 z dnia 27.03.2017 r. poinformowała m.in., że </w:t>
            </w:r>
            <w:r>
              <w:rPr>
                <w:i/>
                <w:snapToGrid w:val="0"/>
                <w:sz w:val="20"/>
              </w:rPr>
              <w:t>w pobliżu nie przebiega sieć cieplna, do której możl</w:t>
            </w:r>
            <w:r>
              <w:rPr>
                <w:i/>
                <w:snapToGrid w:val="0"/>
                <w:sz w:val="20"/>
              </w:rPr>
              <w:t>i</w:t>
            </w:r>
            <w:r>
              <w:rPr>
                <w:i/>
                <w:snapToGrid w:val="0"/>
                <w:sz w:val="20"/>
              </w:rPr>
              <w:t>we byłoby właczenie ww. nieruchomości. Najbliższa istniejąca sieć cieplna zlokalizowana jest w ulicy Szamarzewskiego, w odległości ok. 250 m od rozpatrywanego obiektu. Prow</w:t>
            </w:r>
            <w:r>
              <w:rPr>
                <w:i/>
                <w:snapToGrid w:val="0"/>
                <w:sz w:val="20"/>
              </w:rPr>
              <w:t>a</w:t>
            </w:r>
            <w:r>
              <w:rPr>
                <w:i/>
                <w:snapToGrid w:val="0"/>
                <w:sz w:val="20"/>
              </w:rPr>
              <w:t>dzenie sieci cieplnej (…) byłoby uzasadnione ekonomicznie, gdyby zapotrzebowanie na moc cieplną dla tego budynku wynosiło wiecej niż 0,5 MW oraz pod warunkiem podłączenia je</w:t>
            </w:r>
            <w:r>
              <w:rPr>
                <w:i/>
                <w:snapToGrid w:val="0"/>
                <w:sz w:val="20"/>
              </w:rPr>
              <w:t>d</w:t>
            </w:r>
            <w:r>
              <w:rPr>
                <w:i/>
                <w:snapToGrid w:val="0"/>
                <w:sz w:val="20"/>
              </w:rPr>
              <w:t>nocześnie całości mocy dla takiej inwestycji…</w:t>
            </w:r>
          </w:p>
          <w:p w:rsidR="00D03D53" w:rsidRPr="00345C8F" w:rsidRDefault="00D03D53" w:rsidP="00731232">
            <w:pPr>
              <w:numPr>
                <w:ilvl w:val="0"/>
                <w:numId w:val="30"/>
                <w:numberingChange w:id="33" w:author="Unknown" w:date="2017-05-30T12:37:00Z" w:original="%1:11:0:."/>
              </w:numPr>
              <w:spacing w:after="60"/>
              <w:jc w:val="both"/>
              <w:rPr>
                <w:snapToGrid w:val="0"/>
                <w:sz w:val="20"/>
              </w:rPr>
            </w:pPr>
            <w:r w:rsidRPr="00CD08FC">
              <w:rPr>
                <w:b/>
                <w:snapToGrid w:val="0"/>
                <w:sz w:val="20"/>
              </w:rPr>
              <w:t>Aquanet S.A.</w:t>
            </w:r>
            <w:r>
              <w:rPr>
                <w:snapToGrid w:val="0"/>
                <w:sz w:val="20"/>
              </w:rPr>
              <w:t xml:space="preserve"> pismem nr DW/IBM/093/21696/2017 z dnia 19.04.2017 r. poinformował, że </w:t>
            </w:r>
            <w:r>
              <w:rPr>
                <w:i/>
                <w:snapToGrid w:val="0"/>
                <w:sz w:val="20"/>
              </w:rPr>
              <w:t>na wysokości nieruchomości w rejonie ulicy Grodziskiej w Poznaniu (…) istnieje sieć wod</w:t>
            </w:r>
            <w:r>
              <w:rPr>
                <w:i/>
                <w:snapToGrid w:val="0"/>
                <w:sz w:val="20"/>
              </w:rPr>
              <w:t>o</w:t>
            </w:r>
            <w:r>
              <w:rPr>
                <w:i/>
                <w:snapToGrid w:val="0"/>
                <w:sz w:val="20"/>
              </w:rPr>
              <w:t>ciagowa i sieć kanalizacji sanitarnej w ulicy Grodziskiej, stanowiąca własność AQUANET SA, (…) istnieje sieć kanalizacji deszczowej w ulicy Grodziskiej. Z uwagi na fakt, że nier</w:t>
            </w:r>
            <w:r>
              <w:rPr>
                <w:i/>
                <w:snapToGrid w:val="0"/>
                <w:sz w:val="20"/>
              </w:rPr>
              <w:t>u</w:t>
            </w:r>
            <w:r>
              <w:rPr>
                <w:i/>
                <w:snapToGrid w:val="0"/>
                <w:sz w:val="20"/>
              </w:rPr>
              <w:t xml:space="preserve">chomość (…) leży w zlewni Kolektora ulicy Bogdanka, który jest obecnie przeciążony, (…) nie można odprowadzić dodatkowych ilości ścieków deszczowych (…) wody opadowe należy zagospodarować w miejscu ich powstawania, tj. na terenie działki nr (…) 60. </w:t>
            </w:r>
            <w:r>
              <w:rPr>
                <w:snapToGrid w:val="0"/>
                <w:sz w:val="20"/>
              </w:rPr>
              <w:t xml:space="preserve">Ponadto Spółka nadmieniła, iż </w:t>
            </w:r>
            <w:r>
              <w:rPr>
                <w:i/>
                <w:snapToGrid w:val="0"/>
                <w:sz w:val="20"/>
              </w:rPr>
              <w:t>ww. sieć wodociągowa przebiega przez teren działki nr geod. 60 (…) dla kt</w:t>
            </w:r>
            <w:r>
              <w:rPr>
                <w:i/>
                <w:snapToGrid w:val="0"/>
                <w:sz w:val="20"/>
              </w:rPr>
              <w:t>ó</w:t>
            </w:r>
            <w:r>
              <w:rPr>
                <w:i/>
                <w:snapToGrid w:val="0"/>
                <w:sz w:val="20"/>
              </w:rPr>
              <w:t>rej powinna zostać zachowana strefa ochronna wynosząca 3,0 m szerokości z każdej strony, licząc od osi przewodu. Ze względu na bezpieczeństwo i wymogi eksploatacyjne, w pasie tym zabrania się budowania jakichkolwiek obiektów stałych i tymczasowych oraz zadrzewiania. Pas ochronny powinien również umożliwiać wykonywanie przez AQUANET SA czynności eksploatacyjnych…</w:t>
            </w:r>
          </w:p>
        </w:tc>
      </w:tr>
    </w:tbl>
    <w:p w:rsidR="00D03D53" w:rsidRDefault="00D03D53">
      <w:pPr>
        <w:rPr>
          <w:sz w:val="2"/>
        </w:rPr>
      </w:pPr>
    </w:p>
    <w:sectPr w:rsidR="00D03D53" w:rsidSect="00887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851" w:left="1418" w:header="708" w:footer="9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53" w:rsidRDefault="00D03D53">
      <w:r>
        <w:separator/>
      </w:r>
    </w:p>
  </w:endnote>
  <w:endnote w:type="continuationSeparator" w:id="0">
    <w:p w:rsidR="00D03D53" w:rsidRDefault="00D0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Footer"/>
      <w:jc w:val="center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>/4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53" w:rsidRDefault="00D03D53">
      <w:r>
        <w:separator/>
      </w:r>
    </w:p>
  </w:footnote>
  <w:footnote w:type="continuationSeparator" w:id="0">
    <w:p w:rsidR="00D03D53" w:rsidRDefault="00D03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53" w:rsidRDefault="00D03D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63D"/>
    <w:multiLevelType w:val="hybridMultilevel"/>
    <w:tmpl w:val="9BEEA594"/>
    <w:lvl w:ilvl="0" w:tplc="7458B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F0C15"/>
    <w:multiLevelType w:val="singleLevel"/>
    <w:tmpl w:val="533822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CD05E2"/>
    <w:multiLevelType w:val="singleLevel"/>
    <w:tmpl w:val="F09414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1A553F"/>
    <w:multiLevelType w:val="hybridMultilevel"/>
    <w:tmpl w:val="50903796"/>
    <w:lvl w:ilvl="0" w:tplc="786C2C8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05031E"/>
    <w:multiLevelType w:val="multilevel"/>
    <w:tmpl w:val="6A547D70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1217DD"/>
    <w:multiLevelType w:val="multilevel"/>
    <w:tmpl w:val="9D10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44EBF"/>
    <w:multiLevelType w:val="hybridMultilevel"/>
    <w:tmpl w:val="5C48AA22"/>
    <w:lvl w:ilvl="0" w:tplc="4D369A16">
      <w:start w:val="1"/>
      <w:numFmt w:val="decimal"/>
      <w:lvlText w:val="%1."/>
      <w:lvlJc w:val="right"/>
      <w:pPr>
        <w:ind w:left="7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7">
    <w:nsid w:val="29363675"/>
    <w:multiLevelType w:val="hybridMultilevel"/>
    <w:tmpl w:val="D7D24FCA"/>
    <w:lvl w:ilvl="0" w:tplc="4D369A1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353E1F"/>
    <w:multiLevelType w:val="singleLevel"/>
    <w:tmpl w:val="F09414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9">
    <w:nsid w:val="36C019BB"/>
    <w:multiLevelType w:val="hybridMultilevel"/>
    <w:tmpl w:val="8D044A5A"/>
    <w:lvl w:ilvl="0" w:tplc="786C2C8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AF0200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F107904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B97C01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ADB679A"/>
    <w:multiLevelType w:val="hybridMultilevel"/>
    <w:tmpl w:val="9FA87E30"/>
    <w:lvl w:ilvl="0" w:tplc="786C2C8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7513F2"/>
    <w:multiLevelType w:val="hybridMultilevel"/>
    <w:tmpl w:val="9C922574"/>
    <w:lvl w:ilvl="0" w:tplc="604801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04E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3CD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EC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C2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80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AF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A1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465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F53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6195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91368DF"/>
    <w:multiLevelType w:val="hybridMultilevel"/>
    <w:tmpl w:val="C88425AE"/>
    <w:lvl w:ilvl="0" w:tplc="3692E9FA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B187267"/>
    <w:multiLevelType w:val="hybridMultilevel"/>
    <w:tmpl w:val="3994368C"/>
    <w:lvl w:ilvl="0" w:tplc="7458B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A053B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8071447"/>
    <w:multiLevelType w:val="hybridMultilevel"/>
    <w:tmpl w:val="598E04E0"/>
    <w:lvl w:ilvl="0" w:tplc="786C2C8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297DF1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D7C7DE2"/>
    <w:multiLevelType w:val="singleLevel"/>
    <w:tmpl w:val="F09414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23">
    <w:nsid w:val="6EE87850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1D82C12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1EC2E96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9D82E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9EC1985"/>
    <w:multiLevelType w:val="singleLevel"/>
    <w:tmpl w:val="D50A68E4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BE72D8B"/>
    <w:multiLevelType w:val="hybridMultilevel"/>
    <w:tmpl w:val="158C073C"/>
    <w:lvl w:ilvl="0" w:tplc="C1045382">
      <w:start w:val="1"/>
      <w:numFmt w:val="decimal"/>
      <w:lvlText w:val="%1."/>
      <w:lvlJc w:val="right"/>
      <w:pPr>
        <w:ind w:left="284" w:hanging="11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9">
    <w:nsid w:val="7F0829B2"/>
    <w:multiLevelType w:val="hybridMultilevel"/>
    <w:tmpl w:val="AE18819A"/>
    <w:lvl w:ilvl="0" w:tplc="3692E9FA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27"/>
  </w:num>
  <w:num w:numId="6">
    <w:abstractNumId w:val="10"/>
  </w:num>
  <w:num w:numId="7">
    <w:abstractNumId w:val="23"/>
  </w:num>
  <w:num w:numId="8">
    <w:abstractNumId w:val="21"/>
  </w:num>
  <w:num w:numId="9">
    <w:abstractNumId w:val="11"/>
  </w:num>
  <w:num w:numId="10">
    <w:abstractNumId w:val="12"/>
  </w:num>
  <w:num w:numId="11">
    <w:abstractNumId w:val="25"/>
  </w:num>
  <w:num w:numId="12">
    <w:abstractNumId w:val="15"/>
  </w:num>
  <w:num w:numId="13">
    <w:abstractNumId w:val="26"/>
  </w:num>
  <w:num w:numId="14">
    <w:abstractNumId w:val="24"/>
  </w:num>
  <w:num w:numId="15">
    <w:abstractNumId w:val="14"/>
  </w:num>
  <w:num w:numId="16">
    <w:abstractNumId w:val="2"/>
  </w:num>
  <w:num w:numId="17">
    <w:abstractNumId w:val="16"/>
  </w:num>
  <w:num w:numId="18">
    <w:abstractNumId w:val="8"/>
  </w:num>
  <w:num w:numId="19">
    <w:abstractNumId w:val="22"/>
  </w:num>
  <w:num w:numId="20">
    <w:abstractNumId w:val="13"/>
  </w:num>
  <w:num w:numId="21">
    <w:abstractNumId w:val="6"/>
  </w:num>
  <w:num w:numId="22">
    <w:abstractNumId w:val="9"/>
  </w:num>
  <w:num w:numId="23">
    <w:abstractNumId w:val="3"/>
  </w:num>
  <w:num w:numId="24">
    <w:abstractNumId w:val="18"/>
  </w:num>
  <w:num w:numId="25">
    <w:abstractNumId w:val="0"/>
  </w:num>
  <w:num w:numId="26">
    <w:abstractNumId w:val="20"/>
  </w:num>
  <w:num w:numId="27">
    <w:abstractNumId w:val="7"/>
  </w:num>
  <w:num w:numId="28">
    <w:abstractNumId w:val="17"/>
  </w:num>
  <w:num w:numId="29">
    <w:abstractNumId w:val="29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C2C"/>
    <w:rsid w:val="000012CB"/>
    <w:rsid w:val="00002A7E"/>
    <w:rsid w:val="000314CE"/>
    <w:rsid w:val="0003316B"/>
    <w:rsid w:val="00041BD6"/>
    <w:rsid w:val="00055457"/>
    <w:rsid w:val="000634D9"/>
    <w:rsid w:val="00070CF1"/>
    <w:rsid w:val="00074DEB"/>
    <w:rsid w:val="00077B1E"/>
    <w:rsid w:val="000B503F"/>
    <w:rsid w:val="000D2C13"/>
    <w:rsid w:val="000E2C30"/>
    <w:rsid w:val="000E6C02"/>
    <w:rsid w:val="00110F85"/>
    <w:rsid w:val="001119AB"/>
    <w:rsid w:val="00112F59"/>
    <w:rsid w:val="00114CB1"/>
    <w:rsid w:val="00120246"/>
    <w:rsid w:val="001366AA"/>
    <w:rsid w:val="00155ACA"/>
    <w:rsid w:val="00181393"/>
    <w:rsid w:val="00183300"/>
    <w:rsid w:val="00183CC1"/>
    <w:rsid w:val="00194D81"/>
    <w:rsid w:val="00196CF0"/>
    <w:rsid w:val="001A3DD9"/>
    <w:rsid w:val="001B0D59"/>
    <w:rsid w:val="001E0A67"/>
    <w:rsid w:val="001E211F"/>
    <w:rsid w:val="001F46D8"/>
    <w:rsid w:val="00201F3E"/>
    <w:rsid w:val="002157DB"/>
    <w:rsid w:val="00220D96"/>
    <w:rsid w:val="002241DE"/>
    <w:rsid w:val="00224D5F"/>
    <w:rsid w:val="0022620A"/>
    <w:rsid w:val="002439A5"/>
    <w:rsid w:val="0028275B"/>
    <w:rsid w:val="002843CF"/>
    <w:rsid w:val="00290186"/>
    <w:rsid w:val="00297400"/>
    <w:rsid w:val="002976D2"/>
    <w:rsid w:val="002A03E8"/>
    <w:rsid w:val="002A2B2C"/>
    <w:rsid w:val="002A7578"/>
    <w:rsid w:val="002E04D8"/>
    <w:rsid w:val="002E4C68"/>
    <w:rsid w:val="002E7D97"/>
    <w:rsid w:val="002F2353"/>
    <w:rsid w:val="00306E5E"/>
    <w:rsid w:val="00307D12"/>
    <w:rsid w:val="00321721"/>
    <w:rsid w:val="00335D7C"/>
    <w:rsid w:val="003364DD"/>
    <w:rsid w:val="00345C8F"/>
    <w:rsid w:val="003516EF"/>
    <w:rsid w:val="0035589B"/>
    <w:rsid w:val="00355CE3"/>
    <w:rsid w:val="00360F10"/>
    <w:rsid w:val="00360F3E"/>
    <w:rsid w:val="003967F8"/>
    <w:rsid w:val="003975C5"/>
    <w:rsid w:val="003B35AE"/>
    <w:rsid w:val="003C3B22"/>
    <w:rsid w:val="003C3CF2"/>
    <w:rsid w:val="003E0398"/>
    <w:rsid w:val="003E20B8"/>
    <w:rsid w:val="003E7EC7"/>
    <w:rsid w:val="003F5590"/>
    <w:rsid w:val="003F5FCD"/>
    <w:rsid w:val="003F6F2D"/>
    <w:rsid w:val="00402290"/>
    <w:rsid w:val="004313E5"/>
    <w:rsid w:val="00442E8B"/>
    <w:rsid w:val="00446F84"/>
    <w:rsid w:val="004539F1"/>
    <w:rsid w:val="0046290D"/>
    <w:rsid w:val="00476C44"/>
    <w:rsid w:val="00484A70"/>
    <w:rsid w:val="004A07CC"/>
    <w:rsid w:val="004B6F0B"/>
    <w:rsid w:val="004C03EC"/>
    <w:rsid w:val="004E7B38"/>
    <w:rsid w:val="0050372D"/>
    <w:rsid w:val="00521C1A"/>
    <w:rsid w:val="00525C2E"/>
    <w:rsid w:val="0053023C"/>
    <w:rsid w:val="00530FA9"/>
    <w:rsid w:val="00552B7F"/>
    <w:rsid w:val="00557A19"/>
    <w:rsid w:val="005670B2"/>
    <w:rsid w:val="0057763B"/>
    <w:rsid w:val="005820E2"/>
    <w:rsid w:val="005840A8"/>
    <w:rsid w:val="00587463"/>
    <w:rsid w:val="00590C05"/>
    <w:rsid w:val="005A461C"/>
    <w:rsid w:val="005E2B35"/>
    <w:rsid w:val="005E3F39"/>
    <w:rsid w:val="00611F3E"/>
    <w:rsid w:val="00614720"/>
    <w:rsid w:val="00632E8A"/>
    <w:rsid w:val="00651369"/>
    <w:rsid w:val="00656193"/>
    <w:rsid w:val="00662214"/>
    <w:rsid w:val="006640E1"/>
    <w:rsid w:val="006730A0"/>
    <w:rsid w:val="006757F0"/>
    <w:rsid w:val="00676D0A"/>
    <w:rsid w:val="00677520"/>
    <w:rsid w:val="00682854"/>
    <w:rsid w:val="006B2816"/>
    <w:rsid w:val="006B512B"/>
    <w:rsid w:val="006D169C"/>
    <w:rsid w:val="006F271C"/>
    <w:rsid w:val="006F46ED"/>
    <w:rsid w:val="00711AF6"/>
    <w:rsid w:val="007307FD"/>
    <w:rsid w:val="00731232"/>
    <w:rsid w:val="00750CA3"/>
    <w:rsid w:val="007602FE"/>
    <w:rsid w:val="0079069E"/>
    <w:rsid w:val="00792DB0"/>
    <w:rsid w:val="00796C73"/>
    <w:rsid w:val="007A5177"/>
    <w:rsid w:val="007A5E23"/>
    <w:rsid w:val="007C55D0"/>
    <w:rsid w:val="007D4EC7"/>
    <w:rsid w:val="007E1C12"/>
    <w:rsid w:val="00816271"/>
    <w:rsid w:val="0082351E"/>
    <w:rsid w:val="0082423C"/>
    <w:rsid w:val="00843D95"/>
    <w:rsid w:val="0086038F"/>
    <w:rsid w:val="008617A7"/>
    <w:rsid w:val="00862A53"/>
    <w:rsid w:val="0087519C"/>
    <w:rsid w:val="00876FF2"/>
    <w:rsid w:val="00887BDB"/>
    <w:rsid w:val="008A1CFB"/>
    <w:rsid w:val="008B01B4"/>
    <w:rsid w:val="008B0409"/>
    <w:rsid w:val="008B09B2"/>
    <w:rsid w:val="008D5D51"/>
    <w:rsid w:val="008E66F9"/>
    <w:rsid w:val="008F7371"/>
    <w:rsid w:val="009063C8"/>
    <w:rsid w:val="009175CA"/>
    <w:rsid w:val="0092183A"/>
    <w:rsid w:val="00936466"/>
    <w:rsid w:val="0094207E"/>
    <w:rsid w:val="00944066"/>
    <w:rsid w:val="00945508"/>
    <w:rsid w:val="0095259E"/>
    <w:rsid w:val="00961216"/>
    <w:rsid w:val="00993A70"/>
    <w:rsid w:val="00994E18"/>
    <w:rsid w:val="009A663E"/>
    <w:rsid w:val="009C21A2"/>
    <w:rsid w:val="009C5B92"/>
    <w:rsid w:val="009D6BAC"/>
    <w:rsid w:val="009E3F11"/>
    <w:rsid w:val="00A077E8"/>
    <w:rsid w:val="00A14F2B"/>
    <w:rsid w:val="00A200A8"/>
    <w:rsid w:val="00A306A0"/>
    <w:rsid w:val="00A46A12"/>
    <w:rsid w:val="00A67E9D"/>
    <w:rsid w:val="00A74044"/>
    <w:rsid w:val="00A81AF0"/>
    <w:rsid w:val="00A962A9"/>
    <w:rsid w:val="00AA5FF1"/>
    <w:rsid w:val="00AA6D3F"/>
    <w:rsid w:val="00AB1056"/>
    <w:rsid w:val="00AB17F7"/>
    <w:rsid w:val="00AB4505"/>
    <w:rsid w:val="00AC1AF1"/>
    <w:rsid w:val="00AC4DCE"/>
    <w:rsid w:val="00AC5357"/>
    <w:rsid w:val="00AD303D"/>
    <w:rsid w:val="00AD6553"/>
    <w:rsid w:val="00AE0E89"/>
    <w:rsid w:val="00B05B62"/>
    <w:rsid w:val="00B05DC0"/>
    <w:rsid w:val="00B119E8"/>
    <w:rsid w:val="00B321FD"/>
    <w:rsid w:val="00B40595"/>
    <w:rsid w:val="00B41167"/>
    <w:rsid w:val="00B5671C"/>
    <w:rsid w:val="00B70C73"/>
    <w:rsid w:val="00B948D8"/>
    <w:rsid w:val="00BA243F"/>
    <w:rsid w:val="00BA296C"/>
    <w:rsid w:val="00BA56DA"/>
    <w:rsid w:val="00BA57FA"/>
    <w:rsid w:val="00BB0BB0"/>
    <w:rsid w:val="00BC5EC7"/>
    <w:rsid w:val="00BD4B50"/>
    <w:rsid w:val="00BD4E59"/>
    <w:rsid w:val="00BE3494"/>
    <w:rsid w:val="00BF57D6"/>
    <w:rsid w:val="00C02182"/>
    <w:rsid w:val="00C12C32"/>
    <w:rsid w:val="00C25096"/>
    <w:rsid w:val="00C268FB"/>
    <w:rsid w:val="00C316E0"/>
    <w:rsid w:val="00C44C84"/>
    <w:rsid w:val="00C55C73"/>
    <w:rsid w:val="00C84363"/>
    <w:rsid w:val="00C92A26"/>
    <w:rsid w:val="00C9788E"/>
    <w:rsid w:val="00CA45FB"/>
    <w:rsid w:val="00CB288B"/>
    <w:rsid w:val="00CD08FC"/>
    <w:rsid w:val="00D03D53"/>
    <w:rsid w:val="00D04C69"/>
    <w:rsid w:val="00D11212"/>
    <w:rsid w:val="00D32897"/>
    <w:rsid w:val="00D51BA7"/>
    <w:rsid w:val="00D64EC6"/>
    <w:rsid w:val="00D669C1"/>
    <w:rsid w:val="00DB0058"/>
    <w:rsid w:val="00DB5EB0"/>
    <w:rsid w:val="00DC4E4E"/>
    <w:rsid w:val="00DE07F3"/>
    <w:rsid w:val="00DE5F95"/>
    <w:rsid w:val="00DF6D8F"/>
    <w:rsid w:val="00E12FF9"/>
    <w:rsid w:val="00E229BB"/>
    <w:rsid w:val="00E36750"/>
    <w:rsid w:val="00E53B28"/>
    <w:rsid w:val="00E66874"/>
    <w:rsid w:val="00E8131C"/>
    <w:rsid w:val="00E821A5"/>
    <w:rsid w:val="00EA52DB"/>
    <w:rsid w:val="00EC2A98"/>
    <w:rsid w:val="00EC529C"/>
    <w:rsid w:val="00EC52C7"/>
    <w:rsid w:val="00EC59EB"/>
    <w:rsid w:val="00EC7C4E"/>
    <w:rsid w:val="00EF54AD"/>
    <w:rsid w:val="00F21C2C"/>
    <w:rsid w:val="00F23418"/>
    <w:rsid w:val="00F43823"/>
    <w:rsid w:val="00F50C21"/>
    <w:rsid w:val="00F560A9"/>
    <w:rsid w:val="00F56194"/>
    <w:rsid w:val="00F62098"/>
    <w:rsid w:val="00F655B0"/>
    <w:rsid w:val="00F7504C"/>
    <w:rsid w:val="00F81CAB"/>
    <w:rsid w:val="00F820BD"/>
    <w:rsid w:val="00F867D5"/>
    <w:rsid w:val="00F94B8B"/>
    <w:rsid w:val="00FA3E57"/>
    <w:rsid w:val="00FC29A8"/>
    <w:rsid w:val="00FD2768"/>
    <w:rsid w:val="00FD43EF"/>
    <w:rsid w:val="00FF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67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167"/>
    <w:pPr>
      <w:keepNext/>
      <w:jc w:val="center"/>
      <w:outlineLvl w:val="0"/>
    </w:pPr>
    <w:rPr>
      <w:rFonts w:ascii="Arial" w:hAnsi="Arial"/>
      <w:b/>
      <w:noProof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167"/>
    <w:pPr>
      <w:keepNext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167"/>
    <w:pPr>
      <w:keepNext/>
      <w:ind w:right="-567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167"/>
    <w:pPr>
      <w:keepNext/>
      <w:ind w:left="-567" w:right="-567"/>
      <w:jc w:val="center"/>
      <w:outlineLvl w:val="3"/>
    </w:pPr>
    <w:rPr>
      <w:b/>
      <w:i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1167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1167"/>
    <w:pPr>
      <w:keepNext/>
      <w:spacing w:after="60"/>
      <w:jc w:val="both"/>
      <w:outlineLvl w:val="5"/>
    </w:pPr>
    <w:rPr>
      <w:b/>
      <w:sz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2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2F"/>
    <w:rPr>
      <w:rFonts w:asciiTheme="minorHAnsi" w:eastAsiaTheme="minorEastAsia" w:hAnsiTheme="minorHAnsi" w:cstheme="minorBidi"/>
      <w:b/>
      <w:bCs/>
    </w:rPr>
  </w:style>
  <w:style w:type="paragraph" w:styleId="EnvelopeAddress">
    <w:name w:val="envelope address"/>
    <w:basedOn w:val="Normal"/>
    <w:uiPriority w:val="99"/>
    <w:rsid w:val="00B41167"/>
    <w:pPr>
      <w:framePr w:w="7920" w:h="1980" w:hRule="exact" w:hSpace="141" w:wrap="auto" w:hAnchor="page" w:xAlign="center" w:yAlign="bottom"/>
      <w:ind w:left="2880"/>
    </w:pPr>
    <w:rPr>
      <w:rFonts w:ascii="Arial" w:hAnsi="Arial"/>
      <w:sz w:val="22"/>
    </w:rPr>
  </w:style>
  <w:style w:type="paragraph" w:styleId="BlockText">
    <w:name w:val="Block Text"/>
    <w:basedOn w:val="Normal"/>
    <w:uiPriority w:val="99"/>
    <w:rsid w:val="00B41167"/>
    <w:pPr>
      <w:ind w:left="-142" w:right="-284"/>
      <w:jc w:val="both"/>
    </w:pPr>
  </w:style>
  <w:style w:type="paragraph" w:styleId="BodyTextIndent">
    <w:name w:val="Body Text Indent"/>
    <w:basedOn w:val="Normal"/>
    <w:link w:val="BodyTextIndentChar"/>
    <w:uiPriority w:val="99"/>
    <w:rsid w:val="00B41167"/>
    <w:pPr>
      <w:spacing w:line="360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762F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41167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762F"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B411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62F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B411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62F"/>
    <w:rPr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B41167"/>
    <w:pPr>
      <w:spacing w:before="120"/>
      <w:jc w:val="both"/>
    </w:pPr>
    <w:rPr>
      <w:rFonts w:ascii="Arial" w:hAnsi="Arial"/>
      <w:noProof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762F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41167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762F"/>
    <w:rPr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B41167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D76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B41167"/>
    <w:pPr>
      <w:ind w:left="357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762F"/>
    <w:rPr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41167"/>
    <w:pPr>
      <w:ind w:left="355"/>
      <w:jc w:val="both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762F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C0218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02182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C021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22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2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1901</Words>
  <Characters>11412</Characters>
  <Application>Microsoft Office Outlook</Application>
  <DocSecurity>0</DocSecurity>
  <Lines>0</Lines>
  <Paragraphs>0</Paragraphs>
  <ScaleCrop>false</ScaleCrop>
  <Company>Poznań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Kamila Maciejewska</dc:creator>
  <cp:keywords/>
  <dc:description/>
  <cp:lastModifiedBy>ewaani</cp:lastModifiedBy>
  <cp:revision>3</cp:revision>
  <cp:lastPrinted>2013-09-02T07:06:00Z</cp:lastPrinted>
  <dcterms:created xsi:type="dcterms:W3CDTF">2017-05-23T11:50:00Z</dcterms:created>
  <dcterms:modified xsi:type="dcterms:W3CDTF">2017-05-30T10:37:00Z</dcterms:modified>
</cp:coreProperties>
</file>