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8B2AA8">
        <w:tc>
          <w:tcPr>
            <w:tcW w:w="1368" w:type="dxa"/>
            <w:shd w:val="clear" w:color="auto" w:fill="auto"/>
          </w:tcPr>
          <w:p w:rsidR="00FA63B5" w:rsidRDefault="00FA63B5" w:rsidP="008B2AA8">
            <w:pPr>
              <w:tabs>
                <w:tab w:val="left" w:leader="dot" w:pos="8505"/>
              </w:tabs>
              <w:spacing w:line="360" w:lineRule="auto"/>
            </w:pPr>
            <w:r>
              <w:t>w sprawie</w:t>
            </w:r>
          </w:p>
        </w:tc>
        <w:tc>
          <w:tcPr>
            <w:tcW w:w="7920" w:type="dxa"/>
            <w:shd w:val="clear" w:color="auto" w:fill="auto"/>
          </w:tcPr>
          <w:p w:rsidR="00FA63B5" w:rsidRDefault="00FA63B5" w:rsidP="008B2AA8">
            <w:pPr>
              <w:spacing w:line="360" w:lineRule="auto"/>
              <w:jc w:val="both"/>
            </w:pPr>
            <w:r w:rsidRPr="008B2AA8">
              <w:rPr>
                <w:b/>
              </w:rPr>
              <w:fldChar w:fldCharType="begin"/>
            </w:r>
            <w:r w:rsidRPr="008B2AA8">
              <w:rPr>
                <w:b/>
              </w:rPr>
              <w:instrText xml:space="preserve"> DOCVARIABLE  Sprawa  \* MERGEFORMAT </w:instrText>
            </w:r>
            <w:r w:rsidRPr="008B2AA8">
              <w:rPr>
                <w:b/>
              </w:rPr>
              <w:fldChar w:fldCharType="separate"/>
            </w:r>
            <w:r w:rsidR="008762F1" w:rsidRPr="008B2AA8">
              <w:rPr>
                <w:b/>
              </w:rPr>
              <w:t>nabycia na rzecz Miasta Poznania nieruchomosci lokalowej nr 6 wraz z udziałem w wysokości 14/150 części w nieruchomości wspólnej przy ul. Naramowickiej 149a.</w:t>
            </w:r>
            <w:r w:rsidRPr="008B2AA8">
              <w:rPr>
                <w:b/>
              </w:rPr>
              <w:fldChar w:fldCharType="end"/>
            </w:r>
          </w:p>
        </w:tc>
      </w:tr>
    </w:tbl>
    <w:p w:rsidR="00FA63B5" w:rsidRPr="008762F1" w:rsidRDefault="00FA63B5" w:rsidP="008762F1">
      <w:pPr>
        <w:spacing w:line="360" w:lineRule="auto"/>
        <w:jc w:val="both"/>
      </w:pPr>
      <w:bookmarkStart w:id="1" w:name="z1"/>
      <w:bookmarkEnd w:id="1"/>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Przedmiotowy lokal mieszkalny stanowi własność osób fizycznych, które nabyły jego prawo własności na podstawie umowy sprzedaży, zawartej w formie aktu notarialnego Rep. A</w:t>
      </w:r>
      <w:r w:rsidR="00BF418B">
        <w:rPr>
          <w:color w:val="000000"/>
          <w:szCs w:val="20"/>
        </w:rPr>
        <w:t> </w:t>
      </w:r>
      <w:r w:rsidRPr="008762F1">
        <w:rPr>
          <w:color w:val="000000"/>
          <w:szCs w:val="20"/>
        </w:rPr>
        <w:t xml:space="preserve">3953/2013 z dnia 18.04.2013 r. na mocy wspólności ustawowej majątkowej małżeńskiej.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Dla przedmiotowej nieruchomości lokalowej Sąd Rejonowy w Poznaniu – Wydział V Ksiąg Wieczystych prowadzi księgę wieczystą nr </w:t>
      </w:r>
      <w:r w:rsidR="003F0C09">
        <w:rPr>
          <w:color w:val="000000"/>
          <w:szCs w:val="20"/>
        </w:rPr>
        <w:t>xxx</w:t>
      </w:r>
      <w:r w:rsidRPr="008762F1">
        <w:rPr>
          <w:color w:val="000000"/>
          <w:szCs w:val="20"/>
        </w:rPr>
        <w:t>.</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W dziale IV  księgi wieczystej KW nr </w:t>
      </w:r>
      <w:r w:rsidR="003F0C09">
        <w:rPr>
          <w:color w:val="000000"/>
          <w:szCs w:val="20"/>
        </w:rPr>
        <w:t>xxx</w:t>
      </w:r>
      <w:r w:rsidRPr="008762F1">
        <w:rPr>
          <w:color w:val="000000"/>
          <w:szCs w:val="20"/>
        </w:rPr>
        <w:t xml:space="preserve"> widnieje wpis o hipotece umownej na kwotę </w:t>
      </w:r>
      <w:r w:rsidR="003F0C09">
        <w:rPr>
          <w:color w:val="000000"/>
          <w:szCs w:val="20"/>
        </w:rPr>
        <w:t>xxx</w:t>
      </w:r>
      <w:r w:rsidRPr="008762F1">
        <w:rPr>
          <w:color w:val="000000"/>
          <w:szCs w:val="20"/>
        </w:rPr>
        <w:t xml:space="preserve"> zł – wierzytelność objęta oświadczeniem Banku Gospodarki Żywnościowej Spółka Akcyjna z siedzibą w Warszawie z dnia 18.04.2013 r., z tytułu umowy kredytowej nr U/0041598014/0001/2013/6105 z dnia 16.04.2013 r.</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after="120" w:line="360" w:lineRule="auto"/>
        <w:jc w:val="both"/>
        <w:rPr>
          <w:color w:val="000000"/>
          <w:szCs w:val="20"/>
        </w:rPr>
      </w:pPr>
      <w:r w:rsidRPr="008762F1">
        <w:rPr>
          <w:color w:val="000000"/>
          <w:szCs w:val="20"/>
        </w:rPr>
        <w:t xml:space="preserve">Wobec faktu, że dział IV księgi wieczystej KW nr </w:t>
      </w:r>
      <w:r w:rsidR="003F0C09">
        <w:rPr>
          <w:color w:val="000000"/>
          <w:szCs w:val="20"/>
        </w:rPr>
        <w:t>xxx</w:t>
      </w:r>
      <w:r w:rsidRPr="008762F1">
        <w:rPr>
          <w:color w:val="000000"/>
          <w:szCs w:val="20"/>
        </w:rPr>
        <w:t xml:space="preserve"> obciążony jest hipoteką umowną na rzecz Banku Gospodarki Żywnościowej Spółka Akcyjna z siedzibą w Warszawie, strony postanowiły zawrzeć przedwstępną umowę sprzedaży przedmiotowej nieruchomości lokalowej na rzecz Miasta Poznania.</w:t>
      </w:r>
    </w:p>
    <w:p w:rsidR="008762F1" w:rsidRPr="008762F1" w:rsidRDefault="008762F1" w:rsidP="008762F1">
      <w:pPr>
        <w:tabs>
          <w:tab w:val="left" w:pos="360"/>
        </w:tabs>
        <w:autoSpaceDE w:val="0"/>
        <w:autoSpaceDN w:val="0"/>
        <w:adjustRightInd w:val="0"/>
        <w:spacing w:after="120" w:line="360" w:lineRule="auto"/>
        <w:jc w:val="both"/>
        <w:rPr>
          <w:color w:val="000000"/>
          <w:szCs w:val="20"/>
        </w:rPr>
      </w:pPr>
      <w:r w:rsidRPr="008762F1">
        <w:rPr>
          <w:color w:val="000000"/>
          <w:szCs w:val="20"/>
        </w:rPr>
        <w:t xml:space="preserve">Zawarcie umowy przyrzeczonej nastąpi w terminie zgodnie ustalonym przez strony, nie później jednak niż w terminie do 22 września 2018 r. </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Cenę sprzedaży prawa własności lokalu mieszkalnego nr 6 strony ustaliły na kwotę </w:t>
      </w:r>
      <w:r w:rsidR="003F0C09">
        <w:rPr>
          <w:color w:val="000000"/>
          <w:szCs w:val="20"/>
        </w:rPr>
        <w:t>xxx</w:t>
      </w:r>
      <w:r w:rsidRPr="008762F1">
        <w:rPr>
          <w:color w:val="000000"/>
          <w:szCs w:val="20"/>
        </w:rPr>
        <w:t xml:space="preserve"> zł brutto (słownie: </w:t>
      </w:r>
      <w:r w:rsidR="003F0C09">
        <w:rPr>
          <w:color w:val="000000"/>
          <w:szCs w:val="20"/>
        </w:rPr>
        <w:t>xxx</w:t>
      </w:r>
      <w:r w:rsidRPr="008762F1">
        <w:rPr>
          <w:color w:val="000000"/>
          <w:szCs w:val="20"/>
        </w:rPr>
        <w:t xml:space="preserve">).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1. Cena lokalu opisanego w § 1 wynosi </w:t>
      </w:r>
      <w:r w:rsidR="003F0C09">
        <w:rPr>
          <w:color w:val="000000"/>
          <w:szCs w:val="20"/>
        </w:rPr>
        <w:t>xxx</w:t>
      </w:r>
      <w:r w:rsidRPr="008762F1">
        <w:rPr>
          <w:color w:val="000000"/>
          <w:szCs w:val="20"/>
        </w:rPr>
        <w:t xml:space="preserve"> zł brutto (słownie: </w:t>
      </w:r>
      <w:r w:rsidR="003F0C09">
        <w:rPr>
          <w:color w:val="000000"/>
          <w:szCs w:val="20"/>
        </w:rPr>
        <w:t>xxx</w:t>
      </w:r>
      <w:r w:rsidRPr="008762F1">
        <w:rPr>
          <w:color w:val="000000"/>
          <w:szCs w:val="20"/>
        </w:rPr>
        <w:t>).</w:t>
      </w:r>
    </w:p>
    <w:p w:rsidR="008762F1" w:rsidRPr="008762F1" w:rsidRDefault="003F0C09" w:rsidP="008762F1">
      <w:pPr>
        <w:autoSpaceDE w:val="0"/>
        <w:autoSpaceDN w:val="0"/>
        <w:adjustRightInd w:val="0"/>
        <w:spacing w:line="360" w:lineRule="auto"/>
        <w:jc w:val="both"/>
        <w:rPr>
          <w:color w:val="000000"/>
          <w:szCs w:val="20"/>
        </w:rPr>
      </w:pPr>
      <w:r>
        <w:rPr>
          <w:color w:val="000000"/>
          <w:szCs w:val="20"/>
        </w:rPr>
        <w:t>2.</w:t>
      </w:r>
      <w:r w:rsidR="008762F1" w:rsidRPr="008762F1">
        <w:rPr>
          <w:color w:val="000000"/>
          <w:szCs w:val="20"/>
        </w:rPr>
        <w:t xml:space="preserve"> Powyższa cena zostanie uiszczona przez kupującego w następujący sposób:</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lastRenderedPageBreak/>
        <w:t xml:space="preserve">1)  kwota </w:t>
      </w:r>
      <w:r w:rsidR="003F0C09">
        <w:rPr>
          <w:color w:val="000000"/>
          <w:szCs w:val="20"/>
        </w:rPr>
        <w:t>xxx</w:t>
      </w:r>
      <w:r w:rsidRPr="008762F1">
        <w:rPr>
          <w:color w:val="000000"/>
          <w:szCs w:val="20"/>
        </w:rPr>
        <w:t xml:space="preserve"> zł (słownie: </w:t>
      </w:r>
      <w:r w:rsidR="003F0C09">
        <w:rPr>
          <w:color w:val="000000"/>
          <w:szCs w:val="20"/>
        </w:rPr>
        <w:t>xxx</w:t>
      </w:r>
      <w:r w:rsidRPr="008762F1">
        <w:rPr>
          <w:color w:val="000000"/>
          <w:szCs w:val="20"/>
        </w:rPr>
        <w:t>) w terminie 1 dnia od zawarcia przedwstępnej umowy sprzedaży, tytułem zadatku lub zaliczki. Powyższa kwota zostania zaliczona na poczet umówionej ceny sprzedaży;</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2)  kwota </w:t>
      </w:r>
      <w:r w:rsidR="003F0C09">
        <w:rPr>
          <w:color w:val="000000"/>
          <w:szCs w:val="20"/>
        </w:rPr>
        <w:t>xxx</w:t>
      </w:r>
      <w:r w:rsidRPr="008762F1">
        <w:rPr>
          <w:color w:val="000000"/>
          <w:szCs w:val="20"/>
        </w:rPr>
        <w:t xml:space="preserve"> zł (słownie</w:t>
      </w:r>
      <w:r w:rsidR="003F0C09">
        <w:rPr>
          <w:color w:val="000000"/>
          <w:szCs w:val="20"/>
        </w:rPr>
        <w:t>: xxx</w:t>
      </w:r>
      <w:r w:rsidRPr="008762F1">
        <w:rPr>
          <w:color w:val="000000"/>
          <w:szCs w:val="20"/>
        </w:rPr>
        <w:t>) w terminie 3 dni, licząc od dnia zawarcia przyrzeczonej umowy sprzedaży, obie na wskazane przez sprzedającego w aktach notarialnych konto bankowe z zastrzeżeniem pkt. 3;</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
        </w:rPr>
        <w:t>~p</w:t>
      </w:r>
      <w:r w:rsidRPr="008762F1">
        <w:rPr>
          <w:color w:val="000000"/>
        </w:rPr>
        <w:t xml:space="preserve">3) </w:t>
      </w:r>
      <w:r w:rsidRPr="008762F1">
        <w:rPr>
          <w:color w:val="000000"/>
          <w:szCs w:val="20"/>
        </w:rPr>
        <w:t>w przypadku, gdy do dnia zawarcia umowy przyrzeczonej sprzedaży sprzedający nie dostarczy zaświadczenia wydanego przez Bank Gospodarki Żywnościowej Spółka Akcyjna z</w:t>
      </w:r>
      <w:r w:rsidR="00BF418B">
        <w:rPr>
          <w:color w:val="000000"/>
          <w:szCs w:val="20"/>
        </w:rPr>
        <w:t> </w:t>
      </w:r>
      <w:r w:rsidRPr="008762F1">
        <w:rPr>
          <w:color w:val="000000"/>
          <w:szCs w:val="20"/>
        </w:rPr>
        <w:t xml:space="preserve">siedzibą w Warszawie o spłacie zadłużenia zabezpieczonego ujawnioną w księdze wieczystej Kw </w:t>
      </w:r>
      <w:r w:rsidR="003F0C09">
        <w:rPr>
          <w:color w:val="000000"/>
          <w:szCs w:val="20"/>
        </w:rPr>
        <w:t>xxx</w:t>
      </w:r>
      <w:r w:rsidRPr="008762F1">
        <w:rPr>
          <w:color w:val="000000"/>
          <w:szCs w:val="20"/>
        </w:rPr>
        <w:t xml:space="preserve"> hipoteką (kwoty całkowitej spłaty kredytu) oraz zgodzie Banku na wykreślenie ujawnionej hipoteki z tej księgi wieczystej wraz z wszelkimi wymaganymi przez sąd wieczystoksięgowymi dokumentami, kwota </w:t>
      </w:r>
      <w:r w:rsidR="003F0C09">
        <w:rPr>
          <w:color w:val="000000"/>
          <w:szCs w:val="20"/>
        </w:rPr>
        <w:t>xxx</w:t>
      </w:r>
      <w:r w:rsidRPr="008762F1">
        <w:rPr>
          <w:color w:val="000000"/>
          <w:szCs w:val="20"/>
        </w:rPr>
        <w:t xml:space="preserve"> zł (słownie: </w:t>
      </w:r>
      <w:r w:rsidR="003F0C09">
        <w:rPr>
          <w:color w:val="000000"/>
          <w:szCs w:val="20"/>
        </w:rPr>
        <w:t>xxx</w:t>
      </w:r>
      <w:bookmarkStart w:id="2" w:name="_GoBack"/>
      <w:bookmarkEnd w:id="2"/>
      <w:r w:rsidRPr="008762F1">
        <w:rPr>
          <w:color w:val="000000"/>
          <w:szCs w:val="20"/>
        </w:rPr>
        <w:t>) tytułem niezapłaconej części lokalu zostanie uiszczona przez kupującego w następujący sposób:</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a) kwota zadłużenia (całkowita spłata kredytu) wraz z odsetkami i kosztami naliczonymi do dnia zapłaty, która to kwota stanowi zadłużenie sprzedającego wobec Banku Gospodarki Żywnościowej Spółka Akcyjna z siedzibą w Warszawie, zabezpieczone hipoteką umowną, zostanie zapłacona w terminie 3 dni, licząc od dnia zawarcia umowy przyrzeczonej sprzedaży, na wskazany przez Bank Gospodarki Żywnościowej Spółka Akcyjna z siedzibą w</w:t>
      </w:r>
      <w:r w:rsidR="00BF418B">
        <w:rPr>
          <w:color w:val="000000"/>
          <w:szCs w:val="20"/>
        </w:rPr>
        <w:t> </w:t>
      </w:r>
      <w:r w:rsidRPr="008762F1">
        <w:rPr>
          <w:color w:val="000000"/>
          <w:szCs w:val="20"/>
        </w:rPr>
        <w:t>Warszawie w akcie notarialnym rachunek bankowy, w celu zaspokojenia wierzytelności banku,</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b) pozostała do zapłaty kwota stanowiąca różnicę kwoty określonej jako cena lokalu i kwot zapłaconych zgodnie z pkt. 2 i 3 a)  w terminie 3 dni, licząc od dnia zawarcia umowy przyrzeczonej sprzedaży na wskazany przez sprzedającego w akcie notarialnym rachunek bankowy, na co strona sprzedająca wyraża zgodę.</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Wydanie lokalu mieszkalnego będącego przedmiotem niniejszego zarządzenia w posiadanie Miasta Poznania nastąpi w terminie do 30 dni od dnia zawarcia umowy przyrzeczonej sprzedaży, na podstawie protokołu zdawczo-odbiorczego.</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Obowiązek jego wydania zabezpieczony zostanie poprzez złożenie oświadczenia przez sprzedającego o poddaniu się egzekucji na rzecz Miasta Poznania wprost z aktu notarialnego na podstawie art. 777 § 1 pkt 4 ustawy Kodeks postępowania cywilnego z dnia 17 listopada 1964 r. (Dz. U. z 2016 r. poz. 1822 z późn. zm.).</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W przypadku, gdy termin opuszczenia i wydania lokalu mieszkalnego nie zostanie przez sprzedającego zachowany, wówczas zobowiązany będzie do zapłaty kary umownej w</w:t>
      </w:r>
      <w:r w:rsidR="00BF418B">
        <w:rPr>
          <w:color w:val="000000"/>
          <w:szCs w:val="20"/>
        </w:rPr>
        <w:t> </w:t>
      </w:r>
      <w:r w:rsidRPr="008762F1">
        <w:rPr>
          <w:color w:val="000000"/>
          <w:szCs w:val="20"/>
        </w:rPr>
        <w:t>wysokości 13 750,00 zł (słownie: trzynaście tysięcy siedemset pięćdziesiąt złotych 00/100), na wskazane przez Miasto Poznań konto bankowe.</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Co do obowiązku zapłaty powyższej kwoty  sprzedający podda się rygorowi egzekucji wprost z aktu notarialnego, stosownie do treści art. 777 § 1 pkt 5 Kodeksu postępowania cywilnego z</w:t>
      </w:r>
      <w:r w:rsidR="00BF418B">
        <w:rPr>
          <w:color w:val="000000"/>
          <w:szCs w:val="20"/>
        </w:rPr>
        <w:t> </w:t>
      </w:r>
      <w:r w:rsidRPr="008762F1">
        <w:rPr>
          <w:color w:val="000000"/>
          <w:szCs w:val="20"/>
        </w:rPr>
        <w:t xml:space="preserve">dnia 17 listopada 1964 r. (Dz. U. z 2016 r. poz. 1822 z późn. zm.).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Lokal mieszkalny nr 6 zlokalizowany jest na pierwszym piętrze budynku mieszkalnego wielorodzinnego położonego przy ul. Naramowickiej 149A i składa się z 3 pokoi, łazienki z</w:t>
      </w:r>
      <w:r w:rsidR="00BF418B">
        <w:rPr>
          <w:color w:val="000000"/>
          <w:szCs w:val="20"/>
        </w:rPr>
        <w:t> </w:t>
      </w:r>
      <w:r w:rsidRPr="008762F1">
        <w:rPr>
          <w:color w:val="000000"/>
          <w:szCs w:val="20"/>
        </w:rPr>
        <w:t>wc, kuchni, 2 przedsionków o powierzchni 47,80 m</w:t>
      </w:r>
      <w:r w:rsidRPr="008762F1">
        <w:rPr>
          <w:color w:val="000000"/>
          <w:szCs w:val="20"/>
          <w:vertAlign w:val="superscript"/>
        </w:rPr>
        <w:t>2</w:t>
      </w:r>
      <w:r w:rsidRPr="008762F1">
        <w:rPr>
          <w:color w:val="000000"/>
          <w:szCs w:val="20"/>
        </w:rPr>
        <w:t xml:space="preserve"> wraz z przynależną piwnicą nr 6. Układ funkcjonalny mieszkania korzystny. Lokal charakteryzuje się przeciętnym standardem wykończenia wnętrz.</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Budynek, w którym znajduje się wyżej wymieniony lokal, został wybudowany w 1967 r. w</w:t>
      </w:r>
      <w:r w:rsidR="00BF418B">
        <w:rPr>
          <w:color w:val="000000"/>
          <w:szCs w:val="20"/>
        </w:rPr>
        <w:t> </w:t>
      </w:r>
      <w:r w:rsidRPr="008762F1">
        <w:rPr>
          <w:color w:val="000000"/>
          <w:szCs w:val="20"/>
        </w:rPr>
        <w:t>technologii prefabrykowanej, z drobnowymiarowych elementów prefabrykowanych, ściany działowe z cegły dziurawki. Ma on 3 kondygnacje, jest podpiwniczony, fundamenty żelbetowe, stropy i schody żelbetowe, prefabrykowane, stropodach z płyty prefabrykowanej z</w:t>
      </w:r>
      <w:r w:rsidR="00BF418B">
        <w:rPr>
          <w:color w:val="000000"/>
          <w:szCs w:val="20"/>
        </w:rPr>
        <w:t> </w:t>
      </w:r>
      <w:r w:rsidRPr="008762F1">
        <w:rPr>
          <w:color w:val="000000"/>
          <w:szCs w:val="20"/>
        </w:rPr>
        <w:t>przestrzenią izolacyjną wypełnioną żużlem, docieplony. Pokrycie dachu wykonane z płyt betonowych, pokrytych 2 warstwami papy (remont dachu w 2002 r.). Budynek ocieplony, w</w:t>
      </w:r>
      <w:r w:rsidR="00BF418B">
        <w:rPr>
          <w:color w:val="000000"/>
          <w:szCs w:val="20"/>
        </w:rPr>
        <w:t> </w:t>
      </w:r>
      <w:r w:rsidRPr="008762F1">
        <w:rPr>
          <w:color w:val="000000"/>
          <w:szCs w:val="20"/>
        </w:rPr>
        <w:t xml:space="preserve">2004 r. wykonano jego kompleksową termoizolację. </w:t>
      </w: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Przy budynku znajduje się utwardzony parking, natomiast wokół zlokalizowane są tereny zieleni.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Dojazd do nieruchomości drogą urządzoną – ul. Władysława Bortnowskiego. Bezpośrednie sąsiedztwo stanowi zabudowa mieszkaniowa wielorodzinna w zabudowie blokowej, lokalne punkty handlowo-usługowe, przedszkole, od południa tereny ogródków działkowych, dalej od wschodu tereny nielicznej zabudowy usługowo-produkcyjnej, od zachodu tereny zabudowy mieszkaniowej jednorodzinnej.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Rejon uzbrojony jest w sieci infrastruktury technicznej: elektryczną, wodociągową, gazową, kanalizacji, ciepłociągową, telekomunikacyjną.</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lastRenderedPageBreak/>
        <w:t>Nieruchomość oznaczona w ewidencji gruntów jako działka 119 i 4/5, na której posadowiony jest budynek wielorodzinny, a w nim zlokalizowany jest lokal mieszkalny nr 6, znajduje się na terenie, na którym nie obowiązuje miejscowy plan zagospodarowania przestrzennego. W</w:t>
      </w:r>
      <w:r w:rsidR="00BF418B">
        <w:rPr>
          <w:color w:val="000000"/>
          <w:szCs w:val="20"/>
        </w:rPr>
        <w:t> </w:t>
      </w:r>
      <w:r w:rsidRPr="008762F1">
        <w:rPr>
          <w:i/>
          <w:iCs/>
          <w:color w:val="000000"/>
          <w:szCs w:val="20"/>
        </w:rPr>
        <w:t xml:space="preserve">Studium uwarunkowań i kierunków zagospodarowania przestrzennego miasta Poznania, </w:t>
      </w:r>
      <w:r w:rsidRPr="008762F1">
        <w:rPr>
          <w:color w:val="000000"/>
          <w:szCs w:val="20"/>
        </w:rPr>
        <w:t xml:space="preserve">zatwierdzonym uchwałą Rady Miasta Poznania Nr LXXII/1137/VI/2014 z dnia 23.09.2014 r., opisana jest ona symbolem jako </w:t>
      </w:r>
      <w:r w:rsidRPr="008762F1">
        <w:rPr>
          <w:b/>
          <w:bCs/>
          <w:color w:val="000000"/>
          <w:szCs w:val="20"/>
        </w:rPr>
        <w:t>kdG.7*</w:t>
      </w:r>
      <w:r w:rsidRPr="008762F1">
        <w:rPr>
          <w:color w:val="000000"/>
          <w:szCs w:val="20"/>
        </w:rPr>
        <w:t xml:space="preserve"> – droga publiczna główna.</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i/>
          <w:iCs/>
          <w:color w:val="000000"/>
          <w:szCs w:val="20"/>
        </w:rPr>
      </w:pPr>
      <w:r w:rsidRPr="008762F1">
        <w:rPr>
          <w:color w:val="000000"/>
          <w:szCs w:val="20"/>
        </w:rPr>
        <w:t xml:space="preserve">Zgodnie z § 3 uchwały Nr LXI/840/V/2009 Rady Miasta Poznania z dnia 13 października 2009 r. w sprawie zasad gospodarowania nieruchomościami Miasta Poznania (z późniejszymi zmianami): </w:t>
      </w:r>
      <w:r w:rsidRPr="008762F1">
        <w:rPr>
          <w:i/>
          <w:iCs/>
          <w:color w:val="000000"/>
          <w:szCs w:val="20"/>
        </w:rPr>
        <w:t xml:space="preserve">Poza przypadkami, gdy ustawa albo przepisy szczególne przewidują taki obowiązek, </w:t>
      </w:r>
      <w:r w:rsidRPr="008762F1">
        <w:rPr>
          <w:b/>
          <w:bCs/>
          <w:i/>
          <w:iCs/>
          <w:color w:val="000000"/>
          <w:szCs w:val="20"/>
        </w:rPr>
        <w:t xml:space="preserve">Prezydent Miasta Poznania nabywa nieruchomości, gdy są one niezbędne do realizacji celów publicznych, zadań własnych Miasta Poznania </w:t>
      </w:r>
      <w:r w:rsidRPr="008762F1">
        <w:rPr>
          <w:i/>
          <w:iCs/>
          <w:color w:val="000000"/>
          <w:szCs w:val="20"/>
        </w:rPr>
        <w:t xml:space="preserve">(…).  </w:t>
      </w:r>
    </w:p>
    <w:p w:rsidR="008762F1" w:rsidRPr="008762F1" w:rsidRDefault="008762F1" w:rsidP="008762F1">
      <w:pPr>
        <w:autoSpaceDE w:val="0"/>
        <w:autoSpaceDN w:val="0"/>
        <w:adjustRightInd w:val="0"/>
        <w:spacing w:line="360" w:lineRule="auto"/>
        <w:jc w:val="both"/>
        <w:rPr>
          <w:i/>
          <w:iCs/>
          <w:color w:val="000000"/>
          <w:szCs w:val="20"/>
        </w:rPr>
      </w:pPr>
    </w:p>
    <w:p w:rsidR="008762F1" w:rsidRPr="008762F1" w:rsidRDefault="008762F1" w:rsidP="008762F1">
      <w:pPr>
        <w:autoSpaceDE w:val="0"/>
        <w:autoSpaceDN w:val="0"/>
        <w:adjustRightInd w:val="0"/>
        <w:spacing w:line="360" w:lineRule="auto"/>
        <w:jc w:val="both"/>
        <w:rPr>
          <w:i/>
          <w:iCs/>
          <w:color w:val="000000"/>
          <w:szCs w:val="20"/>
        </w:rPr>
      </w:pPr>
      <w:r w:rsidRPr="008762F1">
        <w:rPr>
          <w:color w:val="000000"/>
          <w:szCs w:val="20"/>
        </w:rPr>
        <w:t xml:space="preserve">Zgodnie z treścią art. 7 ust. 1 pkt 2 ustawy o samorządzie gminnym z dnia 8 marca 1990 r.: </w:t>
      </w:r>
      <w:r w:rsidRPr="008762F1">
        <w:rPr>
          <w:i/>
          <w:iCs/>
          <w:color w:val="000000"/>
          <w:szCs w:val="20"/>
        </w:rPr>
        <w:t>Do zadań własnych gminy należy zaspokajanie zbiorowych potrzeb wspólnoty. W</w:t>
      </w:r>
      <w:r w:rsidR="00BF418B">
        <w:rPr>
          <w:i/>
          <w:iCs/>
          <w:color w:val="000000"/>
          <w:szCs w:val="20"/>
        </w:rPr>
        <w:t> </w:t>
      </w:r>
      <w:r w:rsidRPr="008762F1">
        <w:rPr>
          <w:i/>
          <w:iCs/>
          <w:color w:val="000000"/>
          <w:szCs w:val="20"/>
        </w:rPr>
        <w:t xml:space="preserve">szczególności zadania własne obejmują sprawy: gminnych dróg, ulic, mostów, placów oraz organizacji ruchu drogowego. </w:t>
      </w:r>
    </w:p>
    <w:p w:rsidR="008762F1" w:rsidRPr="008762F1" w:rsidRDefault="008762F1" w:rsidP="008762F1">
      <w:pPr>
        <w:autoSpaceDE w:val="0"/>
        <w:autoSpaceDN w:val="0"/>
        <w:adjustRightInd w:val="0"/>
        <w:spacing w:line="360" w:lineRule="auto"/>
        <w:jc w:val="both"/>
        <w:rPr>
          <w:i/>
          <w:iCs/>
          <w:color w:val="000000"/>
          <w:szCs w:val="20"/>
        </w:rPr>
      </w:pPr>
      <w:r w:rsidRPr="008762F1">
        <w:rPr>
          <w:color w:val="000000"/>
          <w:szCs w:val="20"/>
        </w:rPr>
        <w:t xml:space="preserve">Ponadto w myśl przepisu art. 6 ust. 1 ustawy z dnia 21 sierpnia 1997 r. o gospodarce nieruchomości: </w:t>
      </w:r>
      <w:r w:rsidRPr="008762F1">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8762F1" w:rsidRPr="008762F1" w:rsidRDefault="008762F1" w:rsidP="008762F1">
      <w:pPr>
        <w:autoSpaceDE w:val="0"/>
        <w:autoSpaceDN w:val="0"/>
        <w:adjustRightInd w:val="0"/>
        <w:spacing w:line="360" w:lineRule="auto"/>
        <w:jc w:val="both"/>
        <w:rPr>
          <w:i/>
          <w:iCs/>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jego znaczenia jako ośrodka kultury i sportu.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w:t>
      </w:r>
      <w:r w:rsidRPr="008762F1">
        <w:rPr>
          <w:color w:val="000000"/>
          <w:szCs w:val="20"/>
        </w:rPr>
        <w:lastRenderedPageBreak/>
        <w:t xml:space="preserve">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 </w:t>
      </w:r>
    </w:p>
    <w:p w:rsidR="008762F1" w:rsidRPr="008762F1" w:rsidRDefault="008762F1" w:rsidP="008762F1">
      <w:pPr>
        <w:autoSpaceDE w:val="0"/>
        <w:autoSpaceDN w:val="0"/>
        <w:adjustRightInd w:val="0"/>
        <w:spacing w:line="360" w:lineRule="auto"/>
        <w:jc w:val="both"/>
        <w:rPr>
          <w:color w:val="000000"/>
          <w:szCs w:val="20"/>
        </w:rPr>
      </w:pPr>
    </w:p>
    <w:p w:rsidR="008762F1" w:rsidRPr="008762F1" w:rsidRDefault="008762F1" w:rsidP="008762F1">
      <w:pPr>
        <w:autoSpaceDE w:val="0"/>
        <w:autoSpaceDN w:val="0"/>
        <w:adjustRightInd w:val="0"/>
        <w:spacing w:line="360" w:lineRule="auto"/>
        <w:jc w:val="both"/>
        <w:rPr>
          <w:color w:val="000000"/>
          <w:szCs w:val="20"/>
        </w:rPr>
      </w:pPr>
      <w:r w:rsidRPr="008762F1">
        <w:rPr>
          <w:color w:val="000000"/>
          <w:szCs w:val="20"/>
        </w:rPr>
        <w:t xml:space="preserve">W związku z faktem, iż budynek przy ul. Naramowickiej 149a przeznaczony jest do rozbiórki, z uwagi na jego kolidowanie z niniejszym przedsięwzięciem, zachodzi konieczność nabycia do zasobu gminy zabudowanej nieruchomości, w tym również lokalu mieszkalnego nr 6. </w:t>
      </w:r>
    </w:p>
    <w:p w:rsidR="008762F1" w:rsidRPr="008762F1" w:rsidRDefault="008762F1" w:rsidP="008762F1">
      <w:pPr>
        <w:autoSpaceDE w:val="0"/>
        <w:autoSpaceDN w:val="0"/>
        <w:adjustRightInd w:val="0"/>
        <w:spacing w:line="360" w:lineRule="auto"/>
        <w:jc w:val="both"/>
        <w:rPr>
          <w:color w:val="000000"/>
          <w:szCs w:val="20"/>
        </w:rPr>
      </w:pPr>
    </w:p>
    <w:p w:rsidR="008762F1" w:rsidRDefault="008762F1" w:rsidP="008762F1">
      <w:pPr>
        <w:spacing w:line="360" w:lineRule="auto"/>
        <w:jc w:val="both"/>
        <w:rPr>
          <w:color w:val="000000"/>
          <w:szCs w:val="20"/>
        </w:rPr>
      </w:pPr>
      <w:r w:rsidRPr="008762F1">
        <w:rPr>
          <w:color w:val="000000"/>
          <w:szCs w:val="20"/>
        </w:rPr>
        <w:t>Z uwagi na powyższe podjęcie zarządzenia jest w pełni uzasadnione.</w:t>
      </w:r>
    </w:p>
    <w:p w:rsidR="008762F1" w:rsidRDefault="008762F1" w:rsidP="008762F1">
      <w:pPr>
        <w:spacing w:line="360" w:lineRule="auto"/>
        <w:jc w:val="both"/>
      </w:pPr>
    </w:p>
    <w:p w:rsidR="008762F1" w:rsidRDefault="008762F1" w:rsidP="008762F1">
      <w:pPr>
        <w:keepNext/>
        <w:spacing w:line="360" w:lineRule="auto"/>
        <w:jc w:val="center"/>
      </w:pPr>
      <w:r>
        <w:t xml:space="preserve">DYREKTOR WYDZIAŁU </w:t>
      </w:r>
    </w:p>
    <w:p w:rsidR="008762F1" w:rsidRPr="008762F1" w:rsidRDefault="008762F1" w:rsidP="008762F1">
      <w:pPr>
        <w:keepNext/>
        <w:spacing w:line="360" w:lineRule="auto"/>
        <w:jc w:val="center"/>
      </w:pPr>
      <w:r>
        <w:t>(-) Bartosz Guss</w:t>
      </w:r>
    </w:p>
    <w:sectPr w:rsidR="008762F1" w:rsidRPr="008762F1" w:rsidSect="008762F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A8" w:rsidRDefault="008B2AA8">
      <w:r>
        <w:separator/>
      </w:r>
    </w:p>
  </w:endnote>
  <w:endnote w:type="continuationSeparator" w:id="0">
    <w:p w:rsidR="008B2AA8" w:rsidRDefault="008B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A8" w:rsidRDefault="008B2AA8">
      <w:r>
        <w:separator/>
      </w:r>
    </w:p>
  </w:footnote>
  <w:footnote w:type="continuationSeparator" w:id="0">
    <w:p w:rsidR="008B2AA8" w:rsidRDefault="008B2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nieruchomosci lokalowej nr 6 wraz z udziałem w wysokości 14/150 części w nieruchomości wspólnej przy ul. Naramowickiej 149a."/>
  </w:docVars>
  <w:rsids>
    <w:rsidRoot w:val="008762F1"/>
    <w:rsid w:val="000607A3"/>
    <w:rsid w:val="001B1D53"/>
    <w:rsid w:val="0022095A"/>
    <w:rsid w:val="002946C5"/>
    <w:rsid w:val="002C29F3"/>
    <w:rsid w:val="003F0C09"/>
    <w:rsid w:val="00796326"/>
    <w:rsid w:val="008762F1"/>
    <w:rsid w:val="008B2AA8"/>
    <w:rsid w:val="00A87E1B"/>
    <w:rsid w:val="00AA04BE"/>
    <w:rsid w:val="00BB1A14"/>
    <w:rsid w:val="00BF418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BD4B8"/>
  <w15:chartTrackingRefBased/>
  <w15:docId w15:val="{3F030395-91C2-4875-A0D1-560708A6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5</TotalTime>
  <Pages>5</Pages>
  <Words>1313</Words>
  <Characters>7880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2018-03-20T08:31:00Z</dcterms:created>
  <dcterms:modified xsi:type="dcterms:W3CDTF">2018-03-20T08:37:00Z</dcterms:modified>
</cp:coreProperties>
</file>