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E19CB">
        <w:tc>
          <w:tcPr>
            <w:tcW w:w="1368" w:type="dxa"/>
            <w:shd w:val="clear" w:color="auto" w:fill="auto"/>
          </w:tcPr>
          <w:p w:rsidR="00FA63B5" w:rsidRDefault="00FA63B5" w:rsidP="009E19C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E19CB">
            <w:pPr>
              <w:spacing w:line="360" w:lineRule="auto"/>
              <w:jc w:val="both"/>
            </w:pPr>
            <w:r w:rsidRPr="009E19CB">
              <w:rPr>
                <w:b/>
              </w:rPr>
              <w:fldChar w:fldCharType="begin"/>
            </w:r>
            <w:r w:rsidRPr="009E19CB">
              <w:rPr>
                <w:b/>
              </w:rPr>
              <w:instrText xml:space="preserve"> DOCVARIABLE  Sprawa  \* MERGEFORMAT </w:instrText>
            </w:r>
            <w:r w:rsidRPr="009E19CB">
              <w:rPr>
                <w:b/>
              </w:rPr>
              <w:fldChar w:fldCharType="separate"/>
            </w:r>
            <w:r w:rsidR="00B65E13" w:rsidRPr="009E19CB">
              <w:rPr>
                <w:b/>
              </w:rPr>
              <w:t>nabycia na rzecz Miasta Poznania nieruchomości lokalowej nr 4 wraz z udziałem w wysokości 19/100 części w nieruchomości wspólnej przy ul. Sarmackiej 1.</w:t>
            </w:r>
            <w:r w:rsidRPr="009E19CB">
              <w:rPr>
                <w:b/>
              </w:rPr>
              <w:fldChar w:fldCharType="end"/>
            </w:r>
          </w:p>
        </w:tc>
      </w:tr>
    </w:tbl>
    <w:p w:rsidR="00FA63B5" w:rsidRPr="00B65E13" w:rsidRDefault="00FA63B5" w:rsidP="00B65E13">
      <w:pPr>
        <w:spacing w:line="360" w:lineRule="auto"/>
        <w:jc w:val="both"/>
      </w:pPr>
      <w:bookmarkStart w:id="1" w:name="z1"/>
      <w:bookmarkEnd w:id="1"/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Prawo własności do lokalu mieszkalnego opisanego w § 1 niniejszego zarządzenia nabyła osoba fizyczna na podstawie umowy sprzedaży zawartej w formie aktu notarialnego Rep. A</w:t>
      </w:r>
      <w:r w:rsidR="004E71CC">
        <w:rPr>
          <w:color w:val="000000"/>
          <w:szCs w:val="20"/>
        </w:rPr>
        <w:t> </w:t>
      </w:r>
      <w:r w:rsidRPr="00B65E13">
        <w:rPr>
          <w:color w:val="000000"/>
          <w:szCs w:val="20"/>
        </w:rPr>
        <w:t xml:space="preserve">3067/2006 z dnia 21.07.2006 r.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Dla przedmiotowej nieruchomości lokalowej Sąd Rejonowy w Poznaniu – Wydział V Ksiąg Wieczystych prowadzi księgę wieczystą nr </w:t>
      </w:r>
      <w:r w:rsidR="00315B42">
        <w:rPr>
          <w:color w:val="000000"/>
          <w:szCs w:val="20"/>
        </w:rPr>
        <w:t>xxx</w:t>
      </w:r>
      <w:r w:rsidRPr="00B65E13">
        <w:rPr>
          <w:color w:val="000000"/>
          <w:szCs w:val="20"/>
        </w:rPr>
        <w:t>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W dziale IV  księgi wieczystej KW nr </w:t>
      </w:r>
      <w:r w:rsidR="00315B42">
        <w:rPr>
          <w:color w:val="000000"/>
          <w:szCs w:val="20"/>
        </w:rPr>
        <w:t>xxx</w:t>
      </w:r>
      <w:r w:rsidRPr="00B65E13">
        <w:rPr>
          <w:color w:val="000000"/>
          <w:szCs w:val="20"/>
        </w:rPr>
        <w:t xml:space="preserve"> widnieje wpis o hipotece umownej kaucyjnej na kwotę 175 177,27 zł – wierzytelność objęta oświadczeniem GETIN Bank Spółka Akcyjna z siedzibą w Katowicach Dom Oddział w Łodzi (w 2009 r. GETIN Bank Spółka Akcyjna została przejęta przez GETIN Noble Bank Spółkę Akcyjną z siedzibą w Warszawie) z dnia 19.07.2006 r., z tytułu umowy kredytowej.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Cena lokalu opisanego w </w:t>
      </w:r>
      <w:r w:rsidRPr="00B65E13">
        <w:rPr>
          <w:color w:val="000000"/>
        </w:rPr>
        <w:t xml:space="preserve">§ 1 </w:t>
      </w:r>
      <w:r w:rsidRPr="00B65E13">
        <w:rPr>
          <w:color w:val="000000"/>
          <w:szCs w:val="20"/>
        </w:rPr>
        <w:t xml:space="preserve">wynosi </w:t>
      </w:r>
      <w:r w:rsidR="00315B42">
        <w:rPr>
          <w:color w:val="000000"/>
          <w:szCs w:val="20"/>
        </w:rPr>
        <w:t>xxx</w:t>
      </w:r>
      <w:r w:rsidRPr="00B65E13">
        <w:rPr>
          <w:color w:val="000000"/>
          <w:szCs w:val="20"/>
        </w:rPr>
        <w:t xml:space="preserve">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Powyższa cena zostanie uiszczona przez kupującego w następujący sposób: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1) w przypadku, gdy do dnia zawarcia umowy sprzedaży sprzedająca dostarczy zgodę GETIN Noble Bank Spółka Akcyjna z siedzibą w Warszawie, wraz z wszelkimi wymaganymi przez sąd wieczystoksięgowymi dokumentami, o zwolnieniu mieszkania z ciążącej na nim hipoteki, ujawnionej w księdze wieczystej Kw nr </w:t>
      </w:r>
      <w:r w:rsidR="00315B42">
        <w:rPr>
          <w:color w:val="000000"/>
          <w:szCs w:val="20"/>
        </w:rPr>
        <w:t>xxx</w:t>
      </w:r>
      <w:r w:rsidRPr="00B65E13">
        <w:rPr>
          <w:color w:val="000000"/>
          <w:szCs w:val="20"/>
        </w:rPr>
        <w:t>, poprzez jej przeniesienie na inną nieruchomość, na której to ustanowiona będzie hipoteka zabezpieczająca spłatę przedmiotowego długu wobec GETIN Noble Bank Spółka Akcyjna z siedzibą w Warszawie, w terminie 2 dni, licząc od dnia zawarcia umowy sprzedaży na wskazane przez sprzedającego w akcie notarialnym konto bankowe, lub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</w:rPr>
        <w:lastRenderedPageBreak/>
        <w:t xml:space="preserve">2) </w:t>
      </w:r>
      <w:r w:rsidRPr="00B65E13">
        <w:rPr>
          <w:color w:val="000000"/>
          <w:szCs w:val="20"/>
        </w:rPr>
        <w:t xml:space="preserve">w przypadku, gdy do dnia zawarcia umowy sprzedaży sprzedający nie dostarczy zaświadczenia wydanego przez GETIN Noble Bank Spółka Akcyjna z siedzibą w Warszawie o spłacie zadłużenia zabezpieczonego ujawnioną w księdze wieczystej Kw nr </w:t>
      </w:r>
      <w:r w:rsidR="00315B42">
        <w:rPr>
          <w:color w:val="000000"/>
          <w:szCs w:val="20"/>
        </w:rPr>
        <w:t>xxx</w:t>
      </w:r>
      <w:r w:rsidRPr="00B65E13">
        <w:rPr>
          <w:color w:val="000000"/>
          <w:szCs w:val="20"/>
        </w:rPr>
        <w:t xml:space="preserve"> hipoteką (kwoty całkowitej spłaty kredytu) oraz zgodzie Banku na wykreślenie ujawnionej hipoteki z tej księgi wieczystej wraz z wszelkimi wymaganymi przez sąd wieczystoksięgowymi dokumentami, kwota </w:t>
      </w:r>
      <w:r w:rsidR="00315B42">
        <w:rPr>
          <w:color w:val="000000"/>
          <w:szCs w:val="20"/>
        </w:rPr>
        <w:t>xxx</w:t>
      </w:r>
      <w:r w:rsidRPr="00B65E13">
        <w:rPr>
          <w:color w:val="000000"/>
          <w:szCs w:val="20"/>
        </w:rPr>
        <w:t xml:space="preserve"> zostanie uiszczona przez kupującego w</w:t>
      </w:r>
      <w:r w:rsidR="004E71CC">
        <w:rPr>
          <w:color w:val="000000"/>
          <w:szCs w:val="20"/>
        </w:rPr>
        <w:t> </w:t>
      </w:r>
      <w:r w:rsidRPr="00B65E13">
        <w:rPr>
          <w:color w:val="000000"/>
          <w:szCs w:val="20"/>
        </w:rPr>
        <w:t>następujący sposób: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</w:rPr>
        <w:t xml:space="preserve">a) </w:t>
      </w:r>
      <w:r w:rsidRPr="00B65E13">
        <w:rPr>
          <w:color w:val="000000"/>
          <w:szCs w:val="20"/>
        </w:rPr>
        <w:t>kwota, wynikająca z dostarczonego do dnia zawarcia umowy sprzedaży przez sprzedającą zaświadczenia wydanego przez GETIN Noble Bank Spółka Akcyjna z siedzibą w</w:t>
      </w:r>
      <w:r w:rsidR="004E71CC">
        <w:rPr>
          <w:color w:val="000000"/>
          <w:szCs w:val="20"/>
        </w:rPr>
        <w:t> </w:t>
      </w:r>
      <w:r w:rsidRPr="00B65E13">
        <w:rPr>
          <w:color w:val="000000"/>
          <w:szCs w:val="20"/>
        </w:rPr>
        <w:t>Warszawie, które będzie zawierać aktualną wysokość kwoty zadłużenia sprzedającej z</w:t>
      </w:r>
      <w:r w:rsidR="004E71CC">
        <w:rPr>
          <w:color w:val="000000"/>
          <w:szCs w:val="20"/>
        </w:rPr>
        <w:t> </w:t>
      </w:r>
      <w:r w:rsidRPr="00B65E13">
        <w:rPr>
          <w:color w:val="000000"/>
          <w:szCs w:val="20"/>
        </w:rPr>
        <w:t xml:space="preserve">tytułu udzielonego jej przez ten bank kredytu (kapitał kredytu, odsetki oraz ewentualne prowizje i opłaty od wcześniejszej spłaty kredytu), numer rachunku przeznaczonego do wcześniejszej spłaty zadłużenia oraz oświadczenie (promesę) banku o możliwości wykreślenia z działu IV księgi wieczystej nr </w:t>
      </w:r>
      <w:r w:rsidR="00315B42">
        <w:rPr>
          <w:color w:val="000000"/>
          <w:szCs w:val="20"/>
        </w:rPr>
        <w:t>xxx</w:t>
      </w:r>
      <w:bookmarkStart w:id="2" w:name="_GoBack"/>
      <w:bookmarkEnd w:id="2"/>
      <w:r w:rsidRPr="00B65E13">
        <w:rPr>
          <w:color w:val="000000"/>
          <w:szCs w:val="20"/>
        </w:rPr>
        <w:t xml:space="preserve"> ujawnionej tam hipoteki po spłacie wierzytelności, zostanie zapłacona w terminie 2 dni, licząc od dnia zawarcia umowy sprzedaży, na wskazany przez GETIN Noble Bank Spółka Akcyjna z siedzibą w Warszawie rachunek bankowy, w celu zaspokojenia wierzytelności banku,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  <w:r w:rsidRPr="00B65E13">
        <w:rPr>
          <w:color w:val="000000"/>
        </w:rPr>
        <w:t xml:space="preserve">b) </w:t>
      </w:r>
      <w:r w:rsidRPr="00B65E13">
        <w:rPr>
          <w:color w:val="000000"/>
          <w:szCs w:val="20"/>
        </w:rPr>
        <w:t>pozostała do zapłaty kwota, stanowiąca różnicę kwoty określonej jako cena lokalu i kwot zapłaconych zgodnie z lit. a w terminie 2 dni, licząc od dnia zawarcia umowy sprzedaży na wskazany przez sprzedającego w akcie notarialnym rachunek bankowy, na co strona sprzedająca wyraża zgodę.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Sprzedająca oświadczy, że nie jest podatnikiem podatku VAT.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Wydanie lokalu mieszkalnego będącego przedmiotem niniejszego zarządzenia w posiadanie Miasta Poznania nastąpi w terminie do 30 dni od dnia podpisania umowy notarialnej sprzedaży, na podstawie protokołu zdawczo-odbiorczego.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Obowiązek jego wydania zabezpieczony zostanie poprzez złożenie oświadczenia przez stronę sprzedającą o poddaniu się egzekucji na rzecz Miasta Poznania wprost z aktu notarialnego na </w:t>
      </w:r>
      <w:r w:rsidRPr="00B65E13">
        <w:rPr>
          <w:color w:val="000000"/>
          <w:szCs w:val="20"/>
        </w:rPr>
        <w:lastRenderedPageBreak/>
        <w:t>podstawie art. 777 § 1 pkt 4 ustawy Kodeks postępowania cywilnego z dnia 17 listopada 1964 r. (Dz. U. z 2016 r. poz. 1822 z późn. zm.).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W przypadku, gdy termin opuszczenia i wydania lokalu mieszkalnego nie zostanie przez stronę sprzedającą zachowany, wówczas zobowiązuje się ona do zapłaty kary umownej w</w:t>
      </w:r>
      <w:r w:rsidR="004E71CC">
        <w:rPr>
          <w:color w:val="000000"/>
          <w:szCs w:val="20"/>
        </w:rPr>
        <w:t> </w:t>
      </w:r>
      <w:r w:rsidRPr="00B65E13">
        <w:rPr>
          <w:color w:val="000000"/>
          <w:szCs w:val="20"/>
        </w:rPr>
        <w:t>wysokości 10 550,00 zł (słownie: dziesięć tysięcy pięćset pięćdziesiąt złotych 00/100).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Co do obowiązku zapłaty powyższej kwoty strona sprzedająca podda się rygorowi egzekucji, stosownie do treści art. 777 § 1 pkt 4 lub 5 Kodeksu postępowania cywilnego z dnia 17 listopada 1964 r. (Dz. U. z 2016 r. poz. 1822 z późn. zm.).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Lokal mieszkalny nr 1, zlokalizowany w budynku mieszkalnym wielorodzinnym położonym przy ul. Sarmackiej 1, składa się z 2 pokoi, łazienki z wc, kuchni, przedpokoju o powierzchni użytkowej 25,70 m</w:t>
      </w:r>
      <w:r w:rsidRPr="00B65E13">
        <w:rPr>
          <w:color w:val="000000"/>
          <w:szCs w:val="20"/>
          <w:vertAlign w:val="superscript"/>
        </w:rPr>
        <w:t>2</w:t>
      </w:r>
      <w:r w:rsidRPr="00B65E13">
        <w:rPr>
          <w:color w:val="000000"/>
          <w:szCs w:val="20"/>
        </w:rPr>
        <w:t xml:space="preserve"> wraz z przynależną piwnicą. Układ funkcjonalny mieszkania korzystny. Lokal charakteryzuje się przeciętnym standardem wykończenia wnętrz. Mieszkanie poddaszowe, występują skosy.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Budynek, w którym znajduje się niniejszy lokal, został wybudowany w 1947 r. w technologii tradycyjnej, murowanej, z cegły pełnej. Składa się z kondygnacji parteru oraz poddasza użytkowego, obiekt częściowo podpiwniczony. Fundamenty wykonano z kamienia polnego na zaprawie wapiennej. Ściany fundamentowe z cegły pełnej na zaprawie wapiennej, strop nad piwnicą typu Kleina, nad parterem drewniany. Podłogi w piwnicy ceglane, pozostałe drewniane, schody do piwnicy betonowe, na poddasze drewniane z balustradą drewnianą, dach w konstrukcji drewniano-płatwiowej, kryty dachówką karpiówka, przewody kominowe i</w:t>
      </w:r>
      <w:r w:rsidR="004E71CC">
        <w:rPr>
          <w:color w:val="000000"/>
          <w:szCs w:val="20"/>
        </w:rPr>
        <w:t> </w:t>
      </w:r>
      <w:r w:rsidRPr="00B65E13">
        <w:rPr>
          <w:color w:val="000000"/>
          <w:szCs w:val="20"/>
        </w:rPr>
        <w:t xml:space="preserve">wentylacyjne murowane.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W 2002 roku dokonano remontu dachu budynku, połączonego z ociepleniem poddasza wełną mineralną oraz całkowitą wymianą dachówki. 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Dojazd do nieruchomości drogą urządzoną – ul. Sarmacką. Bezpośrednie sąsiedztwo stanowi</w:t>
      </w:r>
      <w:r w:rsidRPr="00B65E13">
        <w:rPr>
          <w:color w:val="FF00FF"/>
          <w:szCs w:val="20"/>
        </w:rPr>
        <w:t xml:space="preserve"> </w:t>
      </w:r>
      <w:r w:rsidRPr="00B65E13">
        <w:rPr>
          <w:color w:val="000000"/>
          <w:szCs w:val="20"/>
        </w:rPr>
        <w:t>zabudowa wielorodzinna w zabudowie blokowej, lokalne punkty handlowo-usługowe, przedszkole, w pobliżu tereny ogródków działkowych.</w:t>
      </w:r>
      <w:r w:rsidRPr="00B65E13">
        <w:rPr>
          <w:color w:val="FF00FF"/>
          <w:szCs w:val="20"/>
        </w:rPr>
        <w:t xml:space="preserve"> </w:t>
      </w:r>
      <w:r w:rsidRPr="00B65E13">
        <w:rPr>
          <w:color w:val="000000"/>
          <w:szCs w:val="20"/>
        </w:rPr>
        <w:t>Przy budynku znajdują się miejsca parkingowe, a wokół zlokalizowane są tereny zieleni.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lastRenderedPageBreak/>
        <w:t xml:space="preserve">Rejon uzbrojony jest w sieci infrastruktury technicznej: elektryczną, wodociągową, gazową, kanalizacji, ciepłociągową, telekomunikacyjną.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Nieruchomość, na której posadowiony jest budynek przy ul. Sarmackiej 1, a w nim zlokalizowany jest lokal mieszkalny nr 4, znajduje się na terenie, na którym nie obowiązuje miejscowy plan zagospodarowania przestrzennego.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W </w:t>
      </w:r>
      <w:r w:rsidRPr="00B65E13">
        <w:rPr>
          <w:i/>
          <w:iCs/>
          <w:color w:val="000000"/>
          <w:szCs w:val="20"/>
        </w:rPr>
        <w:t xml:space="preserve">Studium uwarunkowań i kierunków zagospodarowania przestrzennego miasta Poznania, </w:t>
      </w:r>
      <w:r w:rsidRPr="00B65E13">
        <w:rPr>
          <w:color w:val="000000"/>
          <w:szCs w:val="20"/>
        </w:rPr>
        <w:t>zatwierdzonym uchwałą Rady Miasta Poznania Nr LXXII/1137/VI/2014 z dnia 23.09.2014 r., opisana jest ona symbolem MN – budownictwo mieszkaniowe jednorodzinne, kdG.7* – droga publiczna główna.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B65E13">
        <w:rPr>
          <w:color w:val="000000"/>
          <w:szCs w:val="20"/>
        </w:rPr>
        <w:t xml:space="preserve">Zgodnie z § 3 uchwały Nr LXI/840/V/2009 Rady Miasta Poznania z dnia 13 października 2009 r. w sprawie zasad gospodarowania nieruchomościami Miasta Poznania (z późniejszymi zmianami): </w:t>
      </w:r>
      <w:r w:rsidRPr="00B65E13">
        <w:rPr>
          <w:i/>
          <w:iCs/>
          <w:color w:val="000000"/>
          <w:szCs w:val="20"/>
        </w:rPr>
        <w:t xml:space="preserve">Poza przypadkami, gdy ustawa albo przepisy szczególne przewidują taki obowiązek, </w:t>
      </w:r>
      <w:r w:rsidRPr="00B65E13">
        <w:rPr>
          <w:b/>
          <w:bCs/>
          <w:i/>
          <w:iCs/>
          <w:color w:val="000000"/>
          <w:szCs w:val="20"/>
        </w:rPr>
        <w:t xml:space="preserve">Prezydent Miasta Poznania nabywa nieruchomości, gdy są one niezbędne do realizacji celów publicznych, zadań własnych Miasta Poznania </w:t>
      </w:r>
      <w:r w:rsidRPr="00B65E13">
        <w:rPr>
          <w:i/>
          <w:iCs/>
          <w:color w:val="000000"/>
          <w:szCs w:val="20"/>
        </w:rPr>
        <w:t xml:space="preserve">(…). 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B65E13">
        <w:rPr>
          <w:color w:val="000000"/>
          <w:szCs w:val="20"/>
        </w:rPr>
        <w:t xml:space="preserve">Zgodnie z treścią art. 7 ust. 1 pkt 2 ustawy o samorządzie gminnym z dnia 8 marca 1990 r.: </w:t>
      </w:r>
      <w:r w:rsidRPr="00B65E13">
        <w:rPr>
          <w:i/>
          <w:iCs/>
          <w:color w:val="000000"/>
          <w:szCs w:val="20"/>
        </w:rPr>
        <w:t>Do zadań własnych gminy należy zaspokajanie zbiorowych potrzeb wspólnoty. W</w:t>
      </w:r>
      <w:r w:rsidR="004E71CC">
        <w:rPr>
          <w:i/>
          <w:iCs/>
          <w:color w:val="000000"/>
          <w:szCs w:val="20"/>
        </w:rPr>
        <w:t> </w:t>
      </w:r>
      <w:r w:rsidRPr="00B65E13">
        <w:rPr>
          <w:i/>
          <w:iCs/>
          <w:color w:val="000000"/>
          <w:szCs w:val="20"/>
        </w:rPr>
        <w:t xml:space="preserve">szczególności zadania własne obejmują sprawy: gminnych dróg, ulic, mostów, placów oraz organizacji ruchu drogowego.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B65E13">
        <w:rPr>
          <w:color w:val="000000"/>
          <w:szCs w:val="20"/>
        </w:rPr>
        <w:t xml:space="preserve">Ponadto w myśl przepisu art. 6 ust. 1 ustawy z dnia 21 sierpnia 1997 r. o gospodarce nieruchomości: </w:t>
      </w:r>
      <w:r w:rsidRPr="00B65E13">
        <w:rPr>
          <w:i/>
          <w:iCs/>
          <w:color w:val="000000"/>
          <w:szCs w:val="20"/>
        </w:rPr>
        <w:t>Celami publicznymi jest wydzielanie gruntów pod drogi publiczne, drogi rowerowe i drogi wodne, budowa, utrzymywanie oraz wykonywanie robót budowlanych tych dróg, obiektów i urządzeń transportu publicznego, a także łączności publicznej i sygnalizacj</w:t>
      </w:r>
      <w:r w:rsidRPr="00B65E13">
        <w:rPr>
          <w:i/>
          <w:iCs/>
          <w:color w:val="000000"/>
        </w:rPr>
        <w:t>i.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Dysponując wiedzą i możliwościami, Miasto Poznań tworzy system, w którym dzięki współpracy osób, środowisk, organizacji i społeczeństwa możliwa jest realizacja przedsięwzięć dążących do zaspokajania nie tylko podstawowych potrzeb jednostek, ale także potrzeb wyższego rzędu, ogólnospołecznych, takich jak: poprawa jakości życia, atrakcyjności przestrzeni i architektury, podnoszenie atrakcyjności inwestycyjnej miasta czy zwiększenie znaczenia miasta jako ośrodka kultury i sportu. 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 xml:space="preserve">Priorytetem dla Miasta Poznania jest stworzenie przyjaznych oraz dobrze skomunikowanych osiedli. Dlatego Miasto realizuje strategię zrównoważonego transportu poprzez konsekwentną </w:t>
      </w:r>
      <w:r w:rsidRPr="00B65E13">
        <w:rPr>
          <w:color w:val="000000"/>
          <w:szCs w:val="20"/>
        </w:rPr>
        <w:lastRenderedPageBreak/>
        <w:t xml:space="preserve">realizację inwestycji, poprawę infrastruktury transportu publicznego, rozwój infrastruktury rowerowej oraz podporządkowanie ruchu pieszych. Niewątpliwie kluczowym zamierzeniem inwestycyjnym, w kontekście strategii Miasta, o której mowa wyżej, jest „budowa trasy tramwajowej na Naramowice”. Dla przedmiotowej inwestycji został sporządzony projekt na wykonanie koncepcji technicznej na podstawie dokumentacji projektowej dla ul. Nowej Naramowickiej, w kontekście przeprowadzenia linii tramwajowej od pętli "Wilczak" do przystanku końcowego "Burysława".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W związku z faktem, iż budynek przy ul. Sarmackiej 1 przeznaczony jest do rozbiórki, z</w:t>
      </w:r>
      <w:r w:rsidR="004E71CC">
        <w:rPr>
          <w:color w:val="000000"/>
          <w:szCs w:val="20"/>
        </w:rPr>
        <w:t> </w:t>
      </w:r>
      <w:r w:rsidRPr="00B65E13">
        <w:rPr>
          <w:color w:val="000000"/>
          <w:szCs w:val="20"/>
        </w:rPr>
        <w:t xml:space="preserve">uwagi na jego kolidowanie z niniejszym przedsięwzięciem, zachodzi konieczność nabycia do zasobu gminy zabudowanej nieruchomości, w tym również lokalu mieszkalnego nr 4. Zatem nabycie przedmiotowego lokalu jest uzasadnione. </w:t>
      </w:r>
    </w:p>
    <w:p w:rsidR="00B65E13" w:rsidRPr="00B65E13" w:rsidRDefault="00B65E13" w:rsidP="00B65E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65E13" w:rsidRDefault="00B65E13" w:rsidP="00B65E13">
      <w:pPr>
        <w:spacing w:line="360" w:lineRule="auto"/>
        <w:jc w:val="both"/>
        <w:rPr>
          <w:color w:val="000000"/>
          <w:szCs w:val="20"/>
        </w:rPr>
      </w:pPr>
      <w:r w:rsidRPr="00B65E13">
        <w:rPr>
          <w:color w:val="000000"/>
          <w:szCs w:val="20"/>
        </w:rPr>
        <w:t>Z uwagi na powyższe podjęcie zarządzenia jest w pełni uzasadnione.</w:t>
      </w:r>
    </w:p>
    <w:p w:rsidR="00B65E13" w:rsidRDefault="00B65E13" w:rsidP="00B65E13">
      <w:pPr>
        <w:spacing w:line="360" w:lineRule="auto"/>
        <w:jc w:val="both"/>
      </w:pPr>
    </w:p>
    <w:p w:rsidR="00B65E13" w:rsidRDefault="00B65E13" w:rsidP="00B65E13">
      <w:pPr>
        <w:keepNext/>
        <w:spacing w:line="360" w:lineRule="auto"/>
        <w:jc w:val="center"/>
      </w:pPr>
      <w:r>
        <w:t xml:space="preserve">DYREKTOR WYDZIAŁU </w:t>
      </w:r>
    </w:p>
    <w:p w:rsidR="00B65E13" w:rsidRPr="00B65E13" w:rsidRDefault="00B65E13" w:rsidP="00B65E13">
      <w:pPr>
        <w:keepNext/>
        <w:spacing w:line="360" w:lineRule="auto"/>
        <w:jc w:val="center"/>
      </w:pPr>
      <w:r>
        <w:t>(-) Bartosz Guss</w:t>
      </w:r>
    </w:p>
    <w:sectPr w:rsidR="00B65E13" w:rsidRPr="00B65E13" w:rsidSect="00B65E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CB" w:rsidRDefault="009E19CB">
      <w:r>
        <w:separator/>
      </w:r>
    </w:p>
  </w:endnote>
  <w:endnote w:type="continuationSeparator" w:id="0">
    <w:p w:rsidR="009E19CB" w:rsidRDefault="009E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CB" w:rsidRDefault="009E19CB">
      <w:r>
        <w:separator/>
      </w:r>
    </w:p>
  </w:footnote>
  <w:footnote w:type="continuationSeparator" w:id="0">
    <w:p w:rsidR="009E19CB" w:rsidRDefault="009E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nieruchomości lokalowej nr 4 wraz z udziałem w wysokości 19/100 części w nieruchomości wspólnej przy ul. Sarmackiej 1."/>
  </w:docVars>
  <w:rsids>
    <w:rsidRoot w:val="00B65E13"/>
    <w:rsid w:val="000607A3"/>
    <w:rsid w:val="001B1D53"/>
    <w:rsid w:val="0022095A"/>
    <w:rsid w:val="002946C5"/>
    <w:rsid w:val="002C29F3"/>
    <w:rsid w:val="00315B42"/>
    <w:rsid w:val="004E71CC"/>
    <w:rsid w:val="00796326"/>
    <w:rsid w:val="009E19CB"/>
    <w:rsid w:val="00A87E1B"/>
    <w:rsid w:val="00AA04BE"/>
    <w:rsid w:val="00B65E1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B2F38"/>
  <w15:chartTrackingRefBased/>
  <w15:docId w15:val="{0D4E185B-4CEC-465F-A814-579A5562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5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2018-06-20T10:19:00Z</dcterms:created>
  <dcterms:modified xsi:type="dcterms:W3CDTF">2018-06-20T10:24:00Z</dcterms:modified>
</cp:coreProperties>
</file>