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727F0B">
          <w:t>15/2019/K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727F0B">
        <w:rPr>
          <w:b/>
          <w:sz w:val="28"/>
        </w:rPr>
        <w:fldChar w:fldCharType="separate"/>
      </w:r>
      <w:r w:rsidR="00727F0B">
        <w:rPr>
          <w:b/>
          <w:sz w:val="28"/>
        </w:rPr>
        <w:t>14 marca 2019r.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727F0B">
              <w:rPr>
                <w:b/>
                <w:sz w:val="24"/>
                <w:szCs w:val="24"/>
              </w:rPr>
              <w:fldChar w:fldCharType="separate"/>
            </w:r>
            <w:r w:rsidR="00727F0B">
              <w:rPr>
                <w:b/>
                <w:sz w:val="24"/>
                <w:szCs w:val="24"/>
              </w:rPr>
              <w:t xml:space="preserve">zarządzenie w sprawie wprowadzenia w życie Regulaminu Zakładowego Funduszu Świadczeń Socjalnych Urzędu Miasta Poznania. </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727F0B" w:rsidP="00727F0B">
      <w:pPr>
        <w:tabs>
          <w:tab w:val="right" w:leader="dot" w:pos="7371"/>
          <w:tab w:val="left" w:leader="dot" w:pos="8505"/>
        </w:tabs>
        <w:spacing w:line="360" w:lineRule="auto"/>
        <w:jc w:val="both"/>
        <w:rPr>
          <w:color w:val="000000"/>
          <w:sz w:val="24"/>
        </w:rPr>
      </w:pPr>
      <w:bookmarkStart w:id="2" w:name="p0"/>
      <w:bookmarkEnd w:id="2"/>
      <w:r w:rsidRPr="00727F0B">
        <w:rPr>
          <w:color w:val="000000"/>
          <w:sz w:val="24"/>
        </w:rPr>
        <w:t xml:space="preserve">Na podstawie </w:t>
      </w:r>
      <w:r w:rsidRPr="00727F0B">
        <w:rPr>
          <w:color w:val="000000"/>
          <w:sz w:val="24"/>
          <w:szCs w:val="24"/>
        </w:rPr>
        <w:t xml:space="preserve">art. 33 ust. 3 i 5 ustawy o samorządzie gminnym z dnia 8 marca 1990 r. </w:t>
      </w:r>
      <w:r w:rsidRPr="00727F0B">
        <w:rPr>
          <w:color w:val="000000"/>
          <w:sz w:val="24"/>
          <w:szCs w:val="24"/>
        </w:rPr>
        <w:br/>
        <w:t xml:space="preserve">(t.j. Dz. U. z 2018 r., poz. 994 z późn. zm.) i art. 8 ust. 2 oraz art. 10 ustawy z dnia 4 marca 1994 r. o zakładowym fundusz świadczeń socjalnych (t. j. Dz. U. z 2018 r., poz. 1316 z późn. zm.), w uzgodnieniu z Organizacją Międzyzakładową NSZZ „Solidarność” Pracowników Urzędu Miasta Poznania i Straży Miejskiej Miasta Poznania, </w:t>
      </w:r>
      <w:r w:rsidRPr="00727F0B">
        <w:rPr>
          <w:color w:val="000000"/>
          <w:sz w:val="24"/>
        </w:rPr>
        <w:t>zarządza się, co następuje:</w:t>
      </w:r>
    </w:p>
    <w:p w:rsidR="00727F0B" w:rsidRDefault="00727F0B" w:rsidP="00727F0B">
      <w:pPr>
        <w:tabs>
          <w:tab w:val="right" w:leader="dot" w:pos="7371"/>
          <w:tab w:val="left" w:leader="dot" w:pos="8505"/>
        </w:tabs>
        <w:spacing w:line="360" w:lineRule="auto"/>
        <w:jc w:val="both"/>
        <w:rPr>
          <w:sz w:val="24"/>
        </w:rPr>
      </w:pPr>
    </w:p>
    <w:p w:rsidR="00727F0B" w:rsidRDefault="00727F0B" w:rsidP="00727F0B">
      <w:pPr>
        <w:keepNext/>
        <w:tabs>
          <w:tab w:val="right" w:leader="dot" w:pos="7371"/>
          <w:tab w:val="left" w:leader="dot" w:pos="8505"/>
        </w:tabs>
        <w:spacing w:line="360" w:lineRule="auto"/>
        <w:jc w:val="center"/>
        <w:rPr>
          <w:b/>
          <w:color w:val="000000"/>
          <w:sz w:val="24"/>
        </w:rPr>
      </w:pPr>
      <w:r>
        <w:rPr>
          <w:b/>
          <w:color w:val="000000"/>
          <w:sz w:val="24"/>
        </w:rPr>
        <w:t>§ 1</w:t>
      </w:r>
    </w:p>
    <w:p w:rsidR="00727F0B" w:rsidRDefault="00727F0B" w:rsidP="00727F0B">
      <w:pPr>
        <w:keepNext/>
        <w:tabs>
          <w:tab w:val="right" w:leader="dot" w:pos="7371"/>
          <w:tab w:val="left" w:leader="dot" w:pos="8505"/>
        </w:tabs>
        <w:spacing w:line="360" w:lineRule="auto"/>
        <w:rPr>
          <w:color w:val="000000"/>
          <w:sz w:val="24"/>
        </w:rPr>
      </w:pPr>
    </w:p>
    <w:p w:rsidR="00727F0B" w:rsidRPr="00727F0B" w:rsidRDefault="00727F0B" w:rsidP="00727F0B">
      <w:pPr>
        <w:autoSpaceDE w:val="0"/>
        <w:autoSpaceDN w:val="0"/>
        <w:adjustRightInd w:val="0"/>
        <w:spacing w:line="360" w:lineRule="auto"/>
        <w:jc w:val="both"/>
        <w:rPr>
          <w:color w:val="000000"/>
          <w:sz w:val="24"/>
          <w:szCs w:val="24"/>
        </w:rPr>
      </w:pPr>
      <w:bookmarkStart w:id="3" w:name="z1"/>
      <w:bookmarkEnd w:id="3"/>
      <w:r w:rsidRPr="00727F0B">
        <w:rPr>
          <w:color w:val="000000"/>
          <w:sz w:val="24"/>
          <w:szCs w:val="24"/>
        </w:rPr>
        <w:t>W Regulaminie Zakładowego Funduszu Świadczeń Socjalnych Urzędu Miasta Poznania, stanowiącym załącznik do zarządzenia Nr 8/2016/K Prezydenta Miasta Poznania z dnia 29 lutego 2016 r. w sprawie wprowadzenia w życie Regulaminu Zakładowego Funduszu Świadczeń Socjalnych Urzędu Miasta Poznania, zmienionego zarządzeniami Prezydenta Miasta Poznania: Nr 29/2016/K z dnia 12 lipca 2016 r., Nr 8/2017/K z dnia 27 lutego 2017 r., Nr 24/2017/ z dnia 1 czerwca 2017 r., Nr 11/2018/K z dnia 12 marca 2018 r. oraz Nr 29/2018/K z dna 1 czerwca 2018 r., wprowadza się następujące zmiany:</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1) w § 13 ust. 7 otrzymuje brzmienie:</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„7. Wypłata dofinansowania świadczeń określonych w § 7 pkt 1 następuje po potrąceniu zaliczki na podatek dochodowy od osób fizycznych. Obowiązek potrącenia zaliczki nie dotyczy dofinansowania do zorganizowanego wypoczynku dzieci do 18. roku życia oraz wypoczynku emerytów i rencistów do wysokości nieprzekraczającej kwoty 3.000 zł w roku podatkowym.”;</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2) § 15 otrzymuje brzmienie:</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lastRenderedPageBreak/>
        <w:t>"1.</w:t>
      </w:r>
      <w:r w:rsidRPr="00727F0B">
        <w:rPr>
          <w:color w:val="000000"/>
          <w:sz w:val="24"/>
          <w:szCs w:val="24"/>
        </w:rPr>
        <w:tab/>
        <w:t>Podstawę do przyznania świadczeń stanowi wskazany w oświadczeniu dochód gospodarstwa domowego, do którego zaliczamy wszelkie dochody w rozumieniu ustawy o</w:t>
      </w:r>
      <w:r w:rsidR="00063F2B">
        <w:rPr>
          <w:color w:val="000000"/>
          <w:sz w:val="24"/>
          <w:szCs w:val="24"/>
        </w:rPr>
        <w:t> </w:t>
      </w:r>
      <w:r w:rsidRPr="00727F0B">
        <w:rPr>
          <w:color w:val="000000"/>
          <w:sz w:val="24"/>
          <w:szCs w:val="24"/>
        </w:rPr>
        <w:t xml:space="preserve">podatku dochodowym od osób fizycznych, uzyskiwane przez wszystkie osoby wspólnie zamieszkujące i gospodarujące, wykazane na podstawie zeznań podatkowych PIT za ubiegły rok kalendarzowy.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2.</w:t>
      </w:r>
      <w:r w:rsidRPr="00727F0B">
        <w:rPr>
          <w:color w:val="000000"/>
          <w:sz w:val="24"/>
          <w:szCs w:val="24"/>
        </w:rPr>
        <w:tab/>
        <w:t>W przypadku istnienia rozdzielności majątkowej między małżonkami, jeżeli małżonkowie faktycznie wspólnie zamieszkują i wspólnie utrzymują się (zamieszkiwanie w</w:t>
      </w:r>
      <w:r w:rsidR="00063F2B">
        <w:rPr>
          <w:color w:val="000000"/>
          <w:sz w:val="24"/>
          <w:szCs w:val="24"/>
        </w:rPr>
        <w:t> </w:t>
      </w:r>
      <w:r w:rsidRPr="00727F0B">
        <w:rPr>
          <w:color w:val="000000"/>
          <w:sz w:val="24"/>
          <w:szCs w:val="24"/>
        </w:rPr>
        <w:t xml:space="preserve">tym samym mieszkaniu, wspólna partycypacja w codziennych wydatkach i zaspokajaniu bieżących potrzeb rodziny itp.), dochody współmałżonka zalicza się do dochodu gospodarstwa domowego.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3.</w:t>
      </w:r>
      <w:r w:rsidRPr="00727F0B">
        <w:rPr>
          <w:color w:val="000000"/>
          <w:sz w:val="24"/>
          <w:szCs w:val="24"/>
        </w:rPr>
        <w:tab/>
        <w:t>W przypadku obowiązku alimentacyjnego zasądzonego wyrokiem lub określonego w</w:t>
      </w:r>
      <w:r w:rsidR="00063F2B">
        <w:rPr>
          <w:color w:val="000000"/>
          <w:sz w:val="24"/>
          <w:szCs w:val="24"/>
        </w:rPr>
        <w:t> </w:t>
      </w:r>
      <w:r w:rsidRPr="00727F0B">
        <w:rPr>
          <w:color w:val="000000"/>
          <w:sz w:val="24"/>
          <w:szCs w:val="24"/>
        </w:rPr>
        <w:t xml:space="preserve">ugodzie sądowej na rzecz dzieci, kwota uiszczanych alimentów pomniejsza osiągany dochód gospodarstwa domowego. W przypadku gdy alimenty są otrzymywane na dzieci na podstawie zasądzonego wyroku lub ugody sądowej, kwota otrzymywanych alimentów zwiększa osiągany dochód gospodarstwa domowego.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4.</w:t>
      </w:r>
      <w:r w:rsidRPr="00727F0B">
        <w:rPr>
          <w:color w:val="000000"/>
          <w:sz w:val="24"/>
          <w:szCs w:val="24"/>
        </w:rPr>
        <w:tab/>
        <w:t>Świadczenia, o których mowa w § 7 pkt 1, dotyczące dofinansowania wypoczynku oraz wsparcia finansowego związanego ze Świętami Bożego Narodzenia, przyznawane są na podstawie wniosku osoby uprawnionej, odrębnego dla pracowników Urzędu (wzór –</w:t>
      </w:r>
      <w:r w:rsidR="00063F2B">
        <w:rPr>
          <w:color w:val="000000"/>
          <w:sz w:val="24"/>
          <w:szCs w:val="24"/>
        </w:rPr>
        <w:t> </w:t>
      </w:r>
      <w:r w:rsidRPr="00727F0B">
        <w:rPr>
          <w:color w:val="000000"/>
          <w:sz w:val="24"/>
          <w:szCs w:val="24"/>
        </w:rPr>
        <w:t>załącznik nr 1) oraz emerytów i rencistów – byłych pracowników Urzędu (wzór – załącznik nr 2), zawierającego oświadczenie wnioskodawcy w przedmiocie sytuacji życiowej, rodzinnej i materialnej.”;</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3) w § 20 ust. 4 otrzymuje brzmienie:</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 xml:space="preserve">„4. Pożyczki, których wysokość przekracza 50% wynagrodzenia brutto pożyczkobiorcy, rozumianego jako suma stałych składników wynagrodzenia, tzn. wynagrodzenia zasadniczego, dodatku za wysługę lat, dodatku funkcyjnego, wymagają poręczenia. Warunkiem podpisania umowy pożyczki jest poręczenie jej spłaty przez osoby trzecie zatrudnione w Urzędzie na podstawie umowy o pracę na czas nieokreślony, z wyłączeniem współmałżonka, w liczbie: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1)</w:t>
      </w:r>
      <w:r w:rsidRPr="00727F0B">
        <w:rPr>
          <w:color w:val="000000"/>
          <w:sz w:val="24"/>
          <w:szCs w:val="24"/>
        </w:rPr>
        <w:tab/>
        <w:t xml:space="preserve">dwóch poręczycieli przy kwotach pożyczki w wysokości 4000 zł oraz 7000 zł;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2)</w:t>
      </w:r>
      <w:r w:rsidRPr="00727F0B">
        <w:rPr>
          <w:color w:val="000000"/>
          <w:sz w:val="24"/>
          <w:szCs w:val="24"/>
        </w:rPr>
        <w:tab/>
        <w:t xml:space="preserve">jeden poręczyciel przy kwocie pożyczki w wysokości 2000 zł;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3)</w:t>
      </w:r>
      <w:r w:rsidRPr="00727F0B">
        <w:rPr>
          <w:color w:val="000000"/>
          <w:sz w:val="24"/>
          <w:szCs w:val="24"/>
        </w:rPr>
        <w:tab/>
        <w:t>w przypadku pożyczkobiorców emerytów i rencistów – byłych pracowników Urzędu, poręczycielem może być osoba zatrudniona poza Urzędem, z wyłączeniem współmałżonka;</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4)</w:t>
      </w:r>
      <w:r w:rsidRPr="00727F0B">
        <w:rPr>
          <w:color w:val="000000"/>
          <w:sz w:val="24"/>
          <w:szCs w:val="24"/>
        </w:rPr>
        <w:tab/>
        <w:t xml:space="preserve">pracownik może być poręczycielem tylko dwóch pożyczkobiorców w tym samym czasie;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lastRenderedPageBreak/>
        <w:t>5)</w:t>
      </w:r>
      <w:r w:rsidRPr="00727F0B">
        <w:rPr>
          <w:color w:val="000000"/>
          <w:sz w:val="24"/>
          <w:szCs w:val="24"/>
        </w:rPr>
        <w:tab/>
        <w:t>w przypadku, gdy o pożyczkę ubiegają się oboje współmałżonkowie zatrudnieni w</w:t>
      </w:r>
      <w:r w:rsidR="00063F2B">
        <w:rPr>
          <w:color w:val="000000"/>
          <w:sz w:val="24"/>
          <w:szCs w:val="24"/>
        </w:rPr>
        <w:t> </w:t>
      </w:r>
      <w:r w:rsidRPr="00727F0B">
        <w:rPr>
          <w:color w:val="000000"/>
          <w:sz w:val="24"/>
          <w:szCs w:val="24"/>
        </w:rPr>
        <w:t>Urzędzie, zamieszkujący w tym samym lokalu i prowadzący wspólne gospodarstwo domowe, nie mogą być poręczycielami wzajemnie, a każdy ze współmałżonków zobowiązany jest mieć odrębnych poręczycieli.”;</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4) w § 20 po ust. 5 dodaje się ust. 6 w brzmieniu:</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„6. W razie śmierci pożyczkobiorcy kwota niespłaconej pożyczki ulega umorzeniu.”;</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5) w § 21 ust. 3 otrzymuje brzmienie:</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„3. Okres spłaty udzielonej pożyczki uzależniony jest od wysokości dochodów na osobę w</w:t>
      </w:r>
      <w:r w:rsidR="00063F2B">
        <w:rPr>
          <w:color w:val="000000"/>
          <w:sz w:val="24"/>
          <w:szCs w:val="24"/>
        </w:rPr>
        <w:t> </w:t>
      </w:r>
      <w:r w:rsidRPr="00727F0B">
        <w:rPr>
          <w:color w:val="000000"/>
          <w:sz w:val="24"/>
          <w:szCs w:val="24"/>
        </w:rPr>
        <w:t xml:space="preserve">gospodarstwie domowym i kształtuje się następująco: </w:t>
      </w:r>
    </w:p>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1)</w:t>
      </w:r>
      <w:r w:rsidRPr="00727F0B">
        <w:rPr>
          <w:color w:val="000000"/>
          <w:sz w:val="24"/>
          <w:szCs w:val="24"/>
        </w:rPr>
        <w:tab/>
        <w:t>dla pracowników Urzędu:</w:t>
      </w:r>
    </w:p>
    <w:p w:rsidR="00727F0B" w:rsidRPr="00727F0B" w:rsidRDefault="00727F0B" w:rsidP="00727F0B">
      <w:pPr>
        <w:autoSpaceDE w:val="0"/>
        <w:autoSpaceDN w:val="0"/>
        <w:adjustRightInd w:val="0"/>
        <w:spacing w:line="360" w:lineRule="auto"/>
        <w:jc w:val="both"/>
        <w:rPr>
          <w:color w:val="000000"/>
          <w:sz w:val="24"/>
          <w:szCs w:val="24"/>
        </w:rPr>
      </w:pPr>
    </w:p>
    <w:tbl>
      <w:tblPr>
        <w:tblW w:w="5000" w:type="pct"/>
        <w:tblCellMar>
          <w:left w:w="70" w:type="dxa"/>
          <w:right w:w="70" w:type="dxa"/>
        </w:tblCellMar>
        <w:tblLook w:val="00BF" w:firstRow="1" w:lastRow="0" w:firstColumn="1" w:lastColumn="0" w:noHBand="0" w:noVBand="0"/>
      </w:tblPr>
      <w:tblGrid>
        <w:gridCol w:w="2983"/>
        <w:gridCol w:w="6229"/>
      </w:tblGrid>
      <w:tr w:rsidR="00727F0B" w:rsidRPr="00727F0B" w:rsidTr="00727F0B">
        <w:trPr>
          <w:trHeight w:val="458"/>
        </w:trPr>
        <w:tc>
          <w:tcPr>
            <w:tcW w:w="1619"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okres spłaty pożyczki</w:t>
            </w:r>
          </w:p>
        </w:tc>
        <w:tc>
          <w:tcPr>
            <w:tcW w:w="3381"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wysokość dochodów na osobę w gospodarstwie domowym</w:t>
            </w:r>
          </w:p>
        </w:tc>
      </w:tr>
      <w:tr w:rsidR="00727F0B" w:rsidRPr="00727F0B" w:rsidTr="00727F0B">
        <w:trPr>
          <w:trHeight w:val="458"/>
        </w:trPr>
        <w:tc>
          <w:tcPr>
            <w:tcW w:w="1619"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12 miesięcy</w:t>
            </w:r>
          </w:p>
        </w:tc>
        <w:tc>
          <w:tcPr>
            <w:tcW w:w="3381"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powyżej 4200 zł</w:t>
            </w:r>
          </w:p>
        </w:tc>
      </w:tr>
      <w:tr w:rsidR="00727F0B" w:rsidRPr="00727F0B" w:rsidTr="00727F0B">
        <w:trPr>
          <w:trHeight w:val="458"/>
        </w:trPr>
        <w:tc>
          <w:tcPr>
            <w:tcW w:w="1619"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24 miesiące</w:t>
            </w:r>
          </w:p>
        </w:tc>
        <w:tc>
          <w:tcPr>
            <w:tcW w:w="3381"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od 1601 zł do 4200 zł</w:t>
            </w:r>
          </w:p>
        </w:tc>
      </w:tr>
      <w:tr w:rsidR="00727F0B" w:rsidRPr="00727F0B" w:rsidTr="00727F0B">
        <w:trPr>
          <w:trHeight w:val="458"/>
        </w:trPr>
        <w:tc>
          <w:tcPr>
            <w:tcW w:w="1619"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36 oraz 48 miesięcy</w:t>
            </w:r>
          </w:p>
        </w:tc>
        <w:tc>
          <w:tcPr>
            <w:tcW w:w="3381" w:type="pct"/>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do 1601 zł</w:t>
            </w:r>
          </w:p>
        </w:tc>
      </w:tr>
    </w:tbl>
    <w:p w:rsidR="00727F0B" w:rsidRPr="00727F0B" w:rsidRDefault="00727F0B" w:rsidP="00727F0B">
      <w:pPr>
        <w:tabs>
          <w:tab w:val="left" w:pos="720"/>
        </w:tabs>
        <w:autoSpaceDE w:val="0"/>
        <w:autoSpaceDN w:val="0"/>
        <w:adjustRightInd w:val="0"/>
        <w:spacing w:line="360" w:lineRule="auto"/>
        <w:jc w:val="both"/>
        <w:rPr>
          <w:color w:val="000000"/>
          <w:sz w:val="24"/>
          <w:szCs w:val="24"/>
        </w:rPr>
      </w:pPr>
    </w:p>
    <w:p w:rsidR="00727F0B" w:rsidRPr="00727F0B" w:rsidRDefault="00727F0B" w:rsidP="00727F0B">
      <w:pPr>
        <w:tabs>
          <w:tab w:val="left" w:pos="720"/>
        </w:tabs>
        <w:autoSpaceDE w:val="0"/>
        <w:autoSpaceDN w:val="0"/>
        <w:adjustRightInd w:val="0"/>
        <w:spacing w:line="360" w:lineRule="auto"/>
        <w:jc w:val="both"/>
        <w:rPr>
          <w:color w:val="000000"/>
          <w:sz w:val="24"/>
          <w:szCs w:val="24"/>
        </w:rPr>
      </w:pPr>
      <w:r w:rsidRPr="00727F0B">
        <w:rPr>
          <w:color w:val="000000"/>
          <w:sz w:val="24"/>
          <w:szCs w:val="24"/>
        </w:rPr>
        <w:t>2)</w:t>
      </w:r>
      <w:r w:rsidRPr="00727F0B">
        <w:rPr>
          <w:color w:val="000000"/>
          <w:sz w:val="24"/>
          <w:szCs w:val="24"/>
        </w:rPr>
        <w:tab/>
        <w:t>dla emerytów i rencistów – byłych pracowników Urzędu:</w:t>
      </w:r>
    </w:p>
    <w:tbl>
      <w:tblPr>
        <w:tblW w:w="0" w:type="auto"/>
        <w:tblLayout w:type="fixed"/>
        <w:tblCellMar>
          <w:left w:w="70" w:type="dxa"/>
          <w:right w:w="70" w:type="dxa"/>
        </w:tblCellMar>
        <w:tblLook w:val="00BF" w:firstRow="1" w:lastRow="0" w:firstColumn="1" w:lastColumn="0" w:noHBand="0" w:noVBand="0"/>
      </w:tblPr>
      <w:tblGrid>
        <w:gridCol w:w="2835"/>
        <w:gridCol w:w="5919"/>
      </w:tblGrid>
      <w:tr w:rsidR="00727F0B" w:rsidRPr="00727F0B">
        <w:trPr>
          <w:trHeight w:val="403"/>
        </w:trPr>
        <w:tc>
          <w:tcPr>
            <w:tcW w:w="2835"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okres spłaty pożyczki</w:t>
            </w:r>
          </w:p>
        </w:tc>
        <w:tc>
          <w:tcPr>
            <w:tcW w:w="5919"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wysokość dochodów na osobę w gospodarstwie domowym</w:t>
            </w:r>
          </w:p>
        </w:tc>
      </w:tr>
      <w:tr w:rsidR="00727F0B" w:rsidRPr="00727F0B">
        <w:trPr>
          <w:trHeight w:val="403"/>
        </w:trPr>
        <w:tc>
          <w:tcPr>
            <w:tcW w:w="2835"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12 miesięcy</w:t>
            </w:r>
          </w:p>
        </w:tc>
        <w:tc>
          <w:tcPr>
            <w:tcW w:w="5919"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powyżej 3300 zł</w:t>
            </w:r>
          </w:p>
        </w:tc>
      </w:tr>
      <w:tr w:rsidR="00727F0B" w:rsidRPr="00727F0B">
        <w:trPr>
          <w:trHeight w:val="403"/>
        </w:trPr>
        <w:tc>
          <w:tcPr>
            <w:tcW w:w="2835"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24 miesiące</w:t>
            </w:r>
          </w:p>
        </w:tc>
        <w:tc>
          <w:tcPr>
            <w:tcW w:w="5919"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od 1601 zł do 3300 zł</w:t>
            </w:r>
          </w:p>
        </w:tc>
      </w:tr>
      <w:tr w:rsidR="00727F0B" w:rsidRPr="00727F0B">
        <w:trPr>
          <w:trHeight w:val="403"/>
        </w:trPr>
        <w:tc>
          <w:tcPr>
            <w:tcW w:w="2835"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36 miesięcy</w:t>
            </w:r>
          </w:p>
        </w:tc>
        <w:tc>
          <w:tcPr>
            <w:tcW w:w="5919" w:type="dxa"/>
            <w:tcBorders>
              <w:top w:val="single" w:sz="6" w:space="0" w:color="000000"/>
              <w:left w:val="single" w:sz="6" w:space="0" w:color="000000"/>
              <w:bottom w:val="single" w:sz="6" w:space="0" w:color="000000"/>
              <w:right w:val="single" w:sz="6" w:space="0" w:color="000000"/>
            </w:tcBorders>
            <w:vAlign w:val="center"/>
          </w:tcPr>
          <w:p w:rsidR="00727F0B" w:rsidRPr="00727F0B" w:rsidRDefault="00727F0B" w:rsidP="00727F0B">
            <w:pPr>
              <w:autoSpaceDE w:val="0"/>
              <w:autoSpaceDN w:val="0"/>
              <w:adjustRightInd w:val="0"/>
              <w:spacing w:line="360" w:lineRule="auto"/>
              <w:jc w:val="both"/>
              <w:rPr>
                <w:color w:val="000000"/>
                <w:sz w:val="24"/>
                <w:szCs w:val="24"/>
              </w:rPr>
            </w:pPr>
            <w:r w:rsidRPr="00727F0B">
              <w:rPr>
                <w:color w:val="000000"/>
                <w:sz w:val="24"/>
                <w:szCs w:val="24"/>
              </w:rPr>
              <w:t>do 1601 zł</w:t>
            </w:r>
          </w:p>
        </w:tc>
      </w:tr>
    </w:tbl>
    <w:p w:rsidR="00727F0B" w:rsidRPr="00727F0B" w:rsidRDefault="00727F0B" w:rsidP="00727F0B">
      <w:pPr>
        <w:autoSpaceDE w:val="0"/>
        <w:autoSpaceDN w:val="0"/>
        <w:adjustRightInd w:val="0"/>
        <w:spacing w:line="360" w:lineRule="auto"/>
        <w:jc w:val="both"/>
        <w:rPr>
          <w:color w:val="000000"/>
          <w:sz w:val="24"/>
          <w:szCs w:val="24"/>
        </w:rPr>
      </w:pP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6) załącznik nr 1 do Regulaminu otrzymuje brzmienie jak w załączniku nr 1 do zarządzenia;</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7) załącznik nr 2 do Regulaminu otrzymuje brzmienie jak w załączniku nr 2 do zarządzenia;</w:t>
      </w:r>
    </w:p>
    <w:p w:rsidR="00727F0B" w:rsidRPr="00727F0B" w:rsidRDefault="00727F0B" w:rsidP="00727F0B">
      <w:pPr>
        <w:autoSpaceDE w:val="0"/>
        <w:autoSpaceDN w:val="0"/>
        <w:adjustRightInd w:val="0"/>
        <w:spacing w:line="360" w:lineRule="auto"/>
        <w:ind w:left="680" w:hanging="340"/>
        <w:jc w:val="both"/>
        <w:rPr>
          <w:color w:val="000000"/>
          <w:sz w:val="24"/>
          <w:szCs w:val="24"/>
        </w:rPr>
      </w:pPr>
      <w:r w:rsidRPr="00727F0B">
        <w:rPr>
          <w:color w:val="000000"/>
          <w:sz w:val="24"/>
          <w:szCs w:val="24"/>
        </w:rPr>
        <w:t>8) załącznik nr 3 do Regulaminu otrzymuje brzmienie jak w załączniku nr 3 do zarządzenia;</w:t>
      </w:r>
    </w:p>
    <w:p w:rsidR="00727F0B" w:rsidRDefault="00727F0B" w:rsidP="00727F0B">
      <w:pPr>
        <w:tabs>
          <w:tab w:val="right" w:leader="dot" w:pos="7371"/>
          <w:tab w:val="left" w:leader="dot" w:pos="8505"/>
        </w:tabs>
        <w:spacing w:line="360" w:lineRule="auto"/>
        <w:ind w:left="680" w:hanging="340"/>
        <w:jc w:val="both"/>
        <w:rPr>
          <w:color w:val="000000"/>
          <w:sz w:val="24"/>
          <w:szCs w:val="24"/>
        </w:rPr>
      </w:pPr>
      <w:r w:rsidRPr="00727F0B">
        <w:rPr>
          <w:color w:val="000000"/>
          <w:sz w:val="24"/>
          <w:szCs w:val="24"/>
        </w:rPr>
        <w:t>9) załącznik nr 4 do Regulaminu otrzymuje brzmienie jak w załączniku nr 4 do zarządzenia;</w:t>
      </w:r>
    </w:p>
    <w:p w:rsidR="00727F0B" w:rsidRDefault="00727F0B" w:rsidP="00727F0B">
      <w:pPr>
        <w:tabs>
          <w:tab w:val="right" w:leader="dot" w:pos="7371"/>
          <w:tab w:val="left" w:leader="dot" w:pos="8505"/>
        </w:tabs>
        <w:spacing w:line="360" w:lineRule="auto"/>
        <w:jc w:val="both"/>
        <w:rPr>
          <w:color w:val="000000"/>
          <w:sz w:val="24"/>
        </w:rPr>
      </w:pPr>
    </w:p>
    <w:p w:rsidR="00727F0B" w:rsidRDefault="00727F0B" w:rsidP="00727F0B">
      <w:pPr>
        <w:keepNext/>
        <w:tabs>
          <w:tab w:val="right" w:leader="dot" w:pos="7371"/>
          <w:tab w:val="left" w:leader="dot" w:pos="8505"/>
        </w:tabs>
        <w:spacing w:line="360" w:lineRule="auto"/>
        <w:jc w:val="center"/>
        <w:rPr>
          <w:b/>
          <w:color w:val="000000"/>
          <w:sz w:val="24"/>
        </w:rPr>
      </w:pPr>
      <w:r>
        <w:rPr>
          <w:b/>
          <w:color w:val="000000"/>
          <w:sz w:val="24"/>
        </w:rPr>
        <w:lastRenderedPageBreak/>
        <w:t>§ 2</w:t>
      </w:r>
    </w:p>
    <w:p w:rsidR="00727F0B" w:rsidRDefault="00727F0B" w:rsidP="00727F0B">
      <w:pPr>
        <w:keepNext/>
        <w:tabs>
          <w:tab w:val="right" w:leader="dot" w:pos="7371"/>
          <w:tab w:val="left" w:leader="dot" w:pos="8505"/>
        </w:tabs>
        <w:spacing w:line="360" w:lineRule="auto"/>
        <w:rPr>
          <w:color w:val="000000"/>
          <w:sz w:val="24"/>
        </w:rPr>
      </w:pPr>
    </w:p>
    <w:p w:rsidR="00727F0B" w:rsidRDefault="00727F0B" w:rsidP="00727F0B">
      <w:pPr>
        <w:tabs>
          <w:tab w:val="right" w:leader="dot" w:pos="7371"/>
          <w:tab w:val="left" w:leader="dot" w:pos="8505"/>
        </w:tabs>
        <w:spacing w:line="360" w:lineRule="auto"/>
        <w:jc w:val="both"/>
        <w:rPr>
          <w:color w:val="000000"/>
          <w:sz w:val="24"/>
          <w:szCs w:val="24"/>
        </w:rPr>
      </w:pPr>
      <w:bookmarkStart w:id="4" w:name="z2"/>
      <w:bookmarkEnd w:id="4"/>
      <w:r w:rsidRPr="00727F0B">
        <w:rPr>
          <w:color w:val="000000"/>
          <w:sz w:val="24"/>
          <w:szCs w:val="24"/>
        </w:rPr>
        <w:t>Pozostałe przepisy Regulaminu oraz zarządzenia pozostają bez zmian.</w:t>
      </w:r>
    </w:p>
    <w:p w:rsidR="00727F0B" w:rsidRDefault="00727F0B" w:rsidP="00727F0B">
      <w:pPr>
        <w:tabs>
          <w:tab w:val="right" w:leader="dot" w:pos="7371"/>
          <w:tab w:val="left" w:leader="dot" w:pos="8505"/>
        </w:tabs>
        <w:spacing w:line="360" w:lineRule="auto"/>
        <w:jc w:val="both"/>
        <w:rPr>
          <w:color w:val="000000"/>
          <w:sz w:val="24"/>
        </w:rPr>
      </w:pPr>
    </w:p>
    <w:p w:rsidR="00727F0B" w:rsidRDefault="00727F0B" w:rsidP="00727F0B">
      <w:pPr>
        <w:keepNext/>
        <w:tabs>
          <w:tab w:val="right" w:leader="dot" w:pos="7371"/>
          <w:tab w:val="left" w:leader="dot" w:pos="8505"/>
        </w:tabs>
        <w:spacing w:line="360" w:lineRule="auto"/>
        <w:jc w:val="center"/>
        <w:rPr>
          <w:b/>
          <w:color w:val="000000"/>
          <w:sz w:val="24"/>
        </w:rPr>
      </w:pPr>
      <w:r>
        <w:rPr>
          <w:b/>
          <w:color w:val="000000"/>
          <w:sz w:val="24"/>
        </w:rPr>
        <w:t>§ 3</w:t>
      </w:r>
    </w:p>
    <w:p w:rsidR="00727F0B" w:rsidRDefault="00727F0B" w:rsidP="00727F0B">
      <w:pPr>
        <w:keepNext/>
        <w:tabs>
          <w:tab w:val="right" w:leader="dot" w:pos="7371"/>
          <w:tab w:val="left" w:leader="dot" w:pos="8505"/>
        </w:tabs>
        <w:spacing w:line="360" w:lineRule="auto"/>
        <w:rPr>
          <w:color w:val="000000"/>
          <w:sz w:val="24"/>
        </w:rPr>
      </w:pPr>
    </w:p>
    <w:p w:rsidR="00727F0B" w:rsidRDefault="00727F0B" w:rsidP="00727F0B">
      <w:pPr>
        <w:tabs>
          <w:tab w:val="right" w:leader="dot" w:pos="7371"/>
          <w:tab w:val="left" w:leader="dot" w:pos="8505"/>
        </w:tabs>
        <w:spacing w:line="360" w:lineRule="auto"/>
        <w:jc w:val="both"/>
        <w:rPr>
          <w:color w:val="000000"/>
          <w:sz w:val="24"/>
          <w:szCs w:val="24"/>
        </w:rPr>
      </w:pPr>
      <w:bookmarkStart w:id="5" w:name="z3"/>
      <w:bookmarkEnd w:id="5"/>
      <w:r w:rsidRPr="00727F0B">
        <w:rPr>
          <w:color w:val="000000"/>
          <w:sz w:val="24"/>
          <w:szCs w:val="24"/>
        </w:rPr>
        <w:t>Wykonanie zarządzenia powierza się Dyrektorowi Wydziału Organizacyjnego.</w:t>
      </w:r>
    </w:p>
    <w:p w:rsidR="00727F0B" w:rsidRDefault="00727F0B" w:rsidP="00727F0B">
      <w:pPr>
        <w:tabs>
          <w:tab w:val="right" w:leader="dot" w:pos="7371"/>
          <w:tab w:val="left" w:leader="dot" w:pos="8505"/>
        </w:tabs>
        <w:spacing w:line="360" w:lineRule="auto"/>
        <w:jc w:val="both"/>
        <w:rPr>
          <w:color w:val="000000"/>
          <w:sz w:val="24"/>
        </w:rPr>
      </w:pPr>
    </w:p>
    <w:p w:rsidR="00727F0B" w:rsidRDefault="00727F0B" w:rsidP="00727F0B">
      <w:pPr>
        <w:keepNext/>
        <w:tabs>
          <w:tab w:val="right" w:leader="dot" w:pos="7371"/>
          <w:tab w:val="left" w:leader="dot" w:pos="8505"/>
        </w:tabs>
        <w:spacing w:line="360" w:lineRule="auto"/>
        <w:jc w:val="center"/>
        <w:rPr>
          <w:b/>
          <w:color w:val="000000"/>
          <w:sz w:val="24"/>
        </w:rPr>
      </w:pPr>
      <w:r>
        <w:rPr>
          <w:b/>
          <w:color w:val="000000"/>
          <w:sz w:val="24"/>
        </w:rPr>
        <w:t>§ 4</w:t>
      </w:r>
    </w:p>
    <w:p w:rsidR="00727F0B" w:rsidRDefault="00727F0B" w:rsidP="00727F0B">
      <w:pPr>
        <w:keepNext/>
        <w:tabs>
          <w:tab w:val="right" w:leader="dot" w:pos="7371"/>
          <w:tab w:val="left" w:leader="dot" w:pos="8505"/>
        </w:tabs>
        <w:spacing w:line="360" w:lineRule="auto"/>
        <w:rPr>
          <w:color w:val="000000"/>
          <w:sz w:val="24"/>
        </w:rPr>
      </w:pPr>
    </w:p>
    <w:p w:rsidR="00727F0B" w:rsidRPr="00727F0B" w:rsidRDefault="00727F0B" w:rsidP="00727F0B">
      <w:pPr>
        <w:autoSpaceDE w:val="0"/>
        <w:autoSpaceDN w:val="0"/>
        <w:adjustRightInd w:val="0"/>
        <w:spacing w:line="360" w:lineRule="auto"/>
        <w:ind w:left="340" w:hanging="340"/>
        <w:jc w:val="both"/>
        <w:rPr>
          <w:color w:val="000000"/>
          <w:sz w:val="24"/>
          <w:szCs w:val="24"/>
        </w:rPr>
      </w:pPr>
      <w:bookmarkStart w:id="6" w:name="z4"/>
      <w:bookmarkEnd w:id="6"/>
      <w:r w:rsidRPr="00727F0B">
        <w:rPr>
          <w:color w:val="000000"/>
          <w:sz w:val="24"/>
          <w:szCs w:val="24"/>
        </w:rPr>
        <w:t>1. Zarządzenie wchodzi w życie z dniem podpisania.</w:t>
      </w:r>
    </w:p>
    <w:p w:rsidR="00727F0B" w:rsidRDefault="00727F0B" w:rsidP="00727F0B">
      <w:pPr>
        <w:tabs>
          <w:tab w:val="right" w:leader="dot" w:pos="7371"/>
          <w:tab w:val="left" w:leader="dot" w:pos="8505"/>
        </w:tabs>
        <w:spacing w:line="360" w:lineRule="auto"/>
        <w:ind w:left="340" w:hanging="340"/>
        <w:jc w:val="both"/>
        <w:rPr>
          <w:color w:val="000000"/>
          <w:sz w:val="24"/>
          <w:szCs w:val="24"/>
        </w:rPr>
      </w:pPr>
      <w:r w:rsidRPr="00727F0B">
        <w:rPr>
          <w:color w:val="000000"/>
          <w:sz w:val="24"/>
          <w:szCs w:val="24"/>
        </w:rPr>
        <w:t>2. Zmiana do Regulaminu Zakładowego Funduszu Świadczeń Socjalnych Urzędu Miasta Poznania wchodzi w życie z dniem podpisania zarządzenia.</w:t>
      </w:r>
    </w:p>
    <w:p w:rsidR="00727F0B" w:rsidRDefault="00727F0B" w:rsidP="00727F0B">
      <w:pPr>
        <w:tabs>
          <w:tab w:val="right" w:leader="dot" w:pos="7371"/>
          <w:tab w:val="left" w:leader="dot" w:pos="8505"/>
        </w:tabs>
        <w:spacing w:line="360" w:lineRule="auto"/>
        <w:jc w:val="both"/>
        <w:rPr>
          <w:color w:val="000000"/>
          <w:sz w:val="24"/>
        </w:rPr>
      </w:pPr>
    </w:p>
    <w:p w:rsidR="00727F0B" w:rsidRDefault="00727F0B" w:rsidP="00727F0B">
      <w:pPr>
        <w:keepNext/>
        <w:tabs>
          <w:tab w:val="right" w:leader="dot" w:pos="7371"/>
          <w:tab w:val="left" w:leader="dot" w:pos="8505"/>
        </w:tabs>
        <w:spacing w:line="360" w:lineRule="auto"/>
        <w:jc w:val="center"/>
        <w:rPr>
          <w:color w:val="000000"/>
          <w:sz w:val="24"/>
        </w:rPr>
      </w:pPr>
      <w:r>
        <w:rPr>
          <w:color w:val="000000"/>
          <w:sz w:val="24"/>
        </w:rPr>
        <w:t xml:space="preserve">Z up. PREZYDENTA MIASTA </w:t>
      </w:r>
    </w:p>
    <w:p w:rsidR="00727F0B" w:rsidRDefault="00727F0B" w:rsidP="00727F0B">
      <w:pPr>
        <w:keepNext/>
        <w:tabs>
          <w:tab w:val="right" w:leader="dot" w:pos="7371"/>
          <w:tab w:val="left" w:leader="dot" w:pos="8505"/>
        </w:tabs>
        <w:spacing w:line="360" w:lineRule="auto"/>
        <w:jc w:val="center"/>
        <w:rPr>
          <w:color w:val="000000"/>
          <w:sz w:val="24"/>
        </w:rPr>
      </w:pPr>
      <w:r>
        <w:rPr>
          <w:color w:val="000000"/>
          <w:sz w:val="24"/>
        </w:rPr>
        <w:t>(-) Mariusz Wiśniewski</w:t>
      </w:r>
    </w:p>
    <w:p w:rsidR="00727F0B" w:rsidRPr="00727F0B" w:rsidRDefault="00727F0B" w:rsidP="00727F0B">
      <w:pPr>
        <w:keepNext/>
        <w:tabs>
          <w:tab w:val="right" w:leader="dot" w:pos="7371"/>
          <w:tab w:val="left" w:leader="dot" w:pos="8505"/>
        </w:tabs>
        <w:spacing w:line="360" w:lineRule="auto"/>
        <w:jc w:val="center"/>
        <w:rPr>
          <w:color w:val="000000"/>
          <w:sz w:val="24"/>
        </w:rPr>
      </w:pPr>
      <w:r>
        <w:rPr>
          <w:color w:val="000000"/>
          <w:sz w:val="24"/>
        </w:rPr>
        <w:t>Z-CA PREZYDENTA MIASTA POZNANIA</w:t>
      </w:r>
    </w:p>
    <w:sectPr w:rsidR="00727F0B" w:rsidRPr="00727F0B" w:rsidSect="00727F0B">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F0B" w:rsidRDefault="00727F0B">
      <w:r>
        <w:separator/>
      </w:r>
    </w:p>
  </w:endnote>
  <w:endnote w:type="continuationSeparator" w:id="0">
    <w:p w:rsidR="00727F0B" w:rsidRDefault="0072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F0B" w:rsidRDefault="00727F0B">
      <w:r>
        <w:separator/>
      </w:r>
    </w:p>
  </w:footnote>
  <w:footnote w:type="continuationSeparator" w:id="0">
    <w:p w:rsidR="00727F0B" w:rsidRDefault="0072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4 marca 2019r."/>
    <w:docVar w:name="AktNr" w:val="15/2019/K"/>
    <w:docVar w:name="Sprawa" w:val="zarządzenie w sprawie wprowadzenia w życie Regulaminu Zakładowego Funduszu Świadczeń Socjalnych Urzędu Miasta Poznania. "/>
  </w:docVars>
  <w:rsids>
    <w:rsidRoot w:val="00727F0B"/>
    <w:rsid w:val="0003528D"/>
    <w:rsid w:val="00063F2B"/>
    <w:rsid w:val="00072485"/>
    <w:rsid w:val="000A5BC9"/>
    <w:rsid w:val="000B2C44"/>
    <w:rsid w:val="000E2E12"/>
    <w:rsid w:val="00167A3B"/>
    <w:rsid w:val="0017594F"/>
    <w:rsid w:val="001E3D52"/>
    <w:rsid w:val="00326E26"/>
    <w:rsid w:val="003679C6"/>
    <w:rsid w:val="004A64F6"/>
    <w:rsid w:val="004C5AE8"/>
    <w:rsid w:val="00565809"/>
    <w:rsid w:val="005A6C39"/>
    <w:rsid w:val="005C6BB7"/>
    <w:rsid w:val="005E453F"/>
    <w:rsid w:val="0065477E"/>
    <w:rsid w:val="006A2966"/>
    <w:rsid w:val="006B21B2"/>
    <w:rsid w:val="00727F0B"/>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B17E4-DF50-4BE1-B98A-8DC1681B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Projekt_PZPM_zmiana</Template>
  <TotalTime>0</TotalTime>
  <Pages>4</Pages>
  <Words>860</Words>
  <Characters>5079</Characters>
  <Application>Microsoft Office Word</Application>
  <DocSecurity>0</DocSecurity>
  <Lines>126</Lines>
  <Paragraphs>69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2019-03-14T12:11:00Z</dcterms:created>
  <dcterms:modified xsi:type="dcterms:W3CDTF">2019-03-14T12:11:00Z</dcterms:modified>
</cp:coreProperties>
</file>