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1F" w:rsidRDefault="00FE361F" w:rsidP="00667A52">
      <w:pPr>
        <w:pStyle w:val="Heading1"/>
        <w:ind w:right="-648" w:firstLine="6"/>
        <w:jc w:val="right"/>
        <w:rPr>
          <w:rFonts w:ascii="Times New Roman" w:hAnsi="Times New Roman" w:cs="Times New Roman"/>
          <w:snapToGrid w:val="0"/>
          <w:sz w:val="20"/>
          <w:szCs w:val="20"/>
        </w:rPr>
      </w:pPr>
      <w:r>
        <w:rPr>
          <w:rFonts w:ascii="Times New Roman" w:hAnsi="Times New Roman" w:cs="Times New Roman"/>
          <w:sz w:val="20"/>
          <w:szCs w:val="20"/>
        </w:rPr>
        <w:t xml:space="preserve">Załącznik </w:t>
      </w:r>
      <w:r>
        <w:rPr>
          <w:rFonts w:ascii="Times New Roman" w:hAnsi="Times New Roman" w:cs="Times New Roman"/>
          <w:snapToGrid w:val="0"/>
          <w:sz w:val="20"/>
          <w:szCs w:val="20"/>
        </w:rPr>
        <w:t>do zarządzenia Nr 513</w:t>
      </w:r>
      <w:r>
        <w:rPr>
          <w:rFonts w:ascii="Times New Roman" w:hAnsi="Times New Roman" w:cs="Times New Roman"/>
          <w:b w:val="0"/>
          <w:bCs w:val="0"/>
          <w:snapToGrid w:val="0"/>
          <w:sz w:val="20"/>
          <w:szCs w:val="20"/>
        </w:rPr>
        <w:t>/</w:t>
      </w:r>
      <w:r>
        <w:rPr>
          <w:rFonts w:ascii="Times New Roman" w:hAnsi="Times New Roman" w:cs="Times New Roman"/>
          <w:snapToGrid w:val="0"/>
          <w:sz w:val="20"/>
          <w:szCs w:val="20"/>
        </w:rPr>
        <w:t>2019/P</w:t>
      </w:r>
    </w:p>
    <w:p w:rsidR="00FE361F" w:rsidRDefault="00FE361F" w:rsidP="00667A52">
      <w:pPr>
        <w:ind w:right="-648"/>
        <w:jc w:val="right"/>
        <w:rPr>
          <w:b/>
          <w:bCs/>
          <w:snapToGrid w:val="0"/>
          <w:sz w:val="20"/>
          <w:szCs w:val="20"/>
        </w:rPr>
      </w:pPr>
      <w:r>
        <w:rPr>
          <w:b/>
          <w:bCs/>
          <w:snapToGrid w:val="0"/>
          <w:sz w:val="20"/>
          <w:szCs w:val="20"/>
        </w:rPr>
        <w:t>PREZYDENTA MIASTA POZNANIA</w:t>
      </w:r>
    </w:p>
    <w:p w:rsidR="00FE361F" w:rsidRPr="00E65203" w:rsidRDefault="00FE361F" w:rsidP="00667A52">
      <w:pPr>
        <w:ind w:right="-648"/>
        <w:jc w:val="right"/>
        <w:rPr>
          <w:b/>
          <w:bCs/>
          <w:snapToGrid w:val="0"/>
          <w:sz w:val="20"/>
          <w:szCs w:val="20"/>
        </w:rPr>
      </w:pPr>
      <w:r>
        <w:rPr>
          <w:b/>
          <w:bCs/>
          <w:snapToGrid w:val="0"/>
          <w:sz w:val="20"/>
          <w:szCs w:val="20"/>
        </w:rPr>
        <w:t xml:space="preserve">z dnia </w:t>
      </w:r>
      <w:r w:rsidRPr="00E97B85">
        <w:rPr>
          <w:b/>
          <w:snapToGrid w:val="0"/>
          <w:sz w:val="20"/>
          <w:szCs w:val="20"/>
        </w:rPr>
        <w:t>19.06.</w:t>
      </w:r>
      <w:r>
        <w:rPr>
          <w:b/>
          <w:bCs/>
          <w:snapToGrid w:val="0"/>
          <w:sz w:val="20"/>
          <w:szCs w:val="20"/>
        </w:rPr>
        <w:t>2019 r.</w:t>
      </w:r>
    </w:p>
    <w:p w:rsidR="00FE361F" w:rsidRPr="00E65203" w:rsidRDefault="00FE361F" w:rsidP="00667A52">
      <w:pPr>
        <w:pStyle w:val="Heading2"/>
        <w:ind w:left="0" w:firstLine="6"/>
        <w:jc w:val="center"/>
        <w:rPr>
          <w:rFonts w:ascii="Times New Roman" w:hAnsi="Times New Roman" w:cs="Times New Roman"/>
          <w:i w:val="0"/>
          <w:iCs w:val="0"/>
          <w:sz w:val="24"/>
          <w:szCs w:val="24"/>
        </w:rPr>
      </w:pPr>
      <w:r w:rsidRPr="00E65203">
        <w:rPr>
          <w:rFonts w:ascii="Times New Roman" w:hAnsi="Times New Roman" w:cs="Times New Roman"/>
          <w:i w:val="0"/>
          <w:iCs w:val="0"/>
          <w:sz w:val="24"/>
          <w:szCs w:val="24"/>
        </w:rPr>
        <w:t>WYKAZ</w:t>
      </w:r>
    </w:p>
    <w:p w:rsidR="00FE361F" w:rsidRPr="00E65203" w:rsidRDefault="00FE361F" w:rsidP="00667A52">
      <w:pPr>
        <w:pStyle w:val="Heading2"/>
        <w:ind w:left="-720" w:right="-650" w:firstLine="5"/>
        <w:jc w:val="center"/>
        <w:rPr>
          <w:rFonts w:ascii="Times New Roman" w:hAnsi="Times New Roman" w:cs="Times New Roman"/>
          <w:i w:val="0"/>
          <w:iCs w:val="0"/>
          <w:spacing w:val="-6"/>
          <w:sz w:val="24"/>
          <w:szCs w:val="24"/>
        </w:rPr>
      </w:pPr>
      <w:r w:rsidRPr="00E65203">
        <w:rPr>
          <w:rFonts w:ascii="Times New Roman" w:hAnsi="Times New Roman" w:cs="Times New Roman"/>
          <w:i w:val="0"/>
          <w:iCs w:val="0"/>
          <w:spacing w:val="-6"/>
          <w:sz w:val="24"/>
          <w:szCs w:val="24"/>
        </w:rPr>
        <w:t>nieruchomości p</w:t>
      </w:r>
      <w:r>
        <w:rPr>
          <w:rFonts w:ascii="Times New Roman" w:hAnsi="Times New Roman" w:cs="Times New Roman"/>
          <w:i w:val="0"/>
          <w:iCs w:val="0"/>
          <w:spacing w:val="-6"/>
          <w:sz w:val="24"/>
          <w:szCs w:val="24"/>
        </w:rPr>
        <w:t>rzeznaczonych do zbycia w drodze</w:t>
      </w:r>
      <w:r w:rsidRPr="00E65203">
        <w:rPr>
          <w:rFonts w:ascii="Times New Roman" w:hAnsi="Times New Roman" w:cs="Times New Roman"/>
          <w:i w:val="0"/>
          <w:iCs w:val="0"/>
          <w:spacing w:val="-6"/>
          <w:sz w:val="24"/>
          <w:szCs w:val="24"/>
        </w:rPr>
        <w:t xml:space="preserve"> umowy zamiany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4"/>
        <w:gridCol w:w="6403"/>
        <w:gridCol w:w="6403"/>
      </w:tblGrid>
      <w:tr w:rsidR="00FE361F" w:rsidRPr="00BA2CBD">
        <w:trPr>
          <w:trHeight w:val="302"/>
        </w:trPr>
        <w:tc>
          <w:tcPr>
            <w:tcW w:w="0" w:type="auto"/>
          </w:tcPr>
          <w:p w:rsidR="00FE361F" w:rsidRPr="00E07127" w:rsidRDefault="00FE361F" w:rsidP="001144AE">
            <w:pPr>
              <w:pStyle w:val="Heading2"/>
              <w:ind w:left="0" w:right="-650" w:firstLine="0"/>
              <w:rPr>
                <w:rFonts w:ascii="Times New Roman" w:hAnsi="Times New Roman" w:cs="Times New Roman"/>
                <w:i w:val="0"/>
                <w:iCs w:val="0"/>
                <w:spacing w:val="-6"/>
                <w:sz w:val="28"/>
                <w:szCs w:val="28"/>
              </w:rPr>
            </w:pPr>
          </w:p>
        </w:tc>
        <w:tc>
          <w:tcPr>
            <w:tcW w:w="0" w:type="auto"/>
          </w:tcPr>
          <w:p w:rsidR="00FE361F" w:rsidRPr="00E07127" w:rsidRDefault="00FE361F" w:rsidP="001144AE">
            <w:pPr>
              <w:pStyle w:val="Heading2"/>
              <w:ind w:left="0" w:right="-650" w:firstLine="0"/>
              <w:jc w:val="center"/>
              <w:rPr>
                <w:rFonts w:ascii="Times New Roman" w:hAnsi="Times New Roman" w:cs="Times New Roman"/>
                <w:i w:val="0"/>
                <w:iCs w:val="0"/>
                <w:spacing w:val="-6"/>
                <w:sz w:val="24"/>
                <w:szCs w:val="24"/>
              </w:rPr>
            </w:pPr>
            <w:r w:rsidRPr="00E07127">
              <w:rPr>
                <w:rFonts w:ascii="Times New Roman" w:hAnsi="Times New Roman" w:cs="Times New Roman"/>
                <w:i w:val="0"/>
                <w:iCs w:val="0"/>
                <w:spacing w:val="-6"/>
                <w:sz w:val="24"/>
                <w:szCs w:val="24"/>
              </w:rPr>
              <w:t>MIASTO  POZNAŃ</w:t>
            </w:r>
          </w:p>
        </w:tc>
        <w:tc>
          <w:tcPr>
            <w:tcW w:w="0" w:type="auto"/>
          </w:tcPr>
          <w:p w:rsidR="00FE361F" w:rsidRPr="00BA2CBD" w:rsidRDefault="00FE361F" w:rsidP="00BA2CBD">
            <w:pPr>
              <w:pStyle w:val="Heading2"/>
              <w:ind w:left="0" w:right="-650" w:firstLine="0"/>
              <w:jc w:val="center"/>
              <w:rPr>
                <w:rFonts w:ascii="Times New Roman" w:hAnsi="Times New Roman" w:cs="Times New Roman"/>
                <w:i w:val="0"/>
                <w:iCs w:val="0"/>
                <w:spacing w:val="-6"/>
                <w:sz w:val="24"/>
                <w:szCs w:val="24"/>
              </w:rPr>
            </w:pPr>
            <w:r w:rsidRPr="00BA2CBD">
              <w:rPr>
                <w:rFonts w:ascii="Times New Roman" w:hAnsi="Times New Roman" w:cs="Times New Roman"/>
                <w:i w:val="0"/>
                <w:iCs w:val="0"/>
                <w:color w:val="000000"/>
                <w:sz w:val="24"/>
                <w:szCs w:val="24"/>
              </w:rPr>
              <w:t>BIMs Plus FHH Sp. z o.o. Poznań Sp. k</w:t>
            </w:r>
            <w:r w:rsidRPr="00BA2CBD">
              <w:rPr>
                <w:rFonts w:ascii="Times New Roman" w:hAnsi="Times New Roman" w:cs="Times New Roman"/>
                <w:i w:val="0"/>
                <w:iCs w:val="0"/>
                <w:spacing w:val="-6"/>
                <w:sz w:val="24"/>
                <w:szCs w:val="24"/>
              </w:rPr>
              <w:t xml:space="preserve"> </w:t>
            </w:r>
          </w:p>
        </w:tc>
      </w:tr>
      <w:tr w:rsidR="00FE361F">
        <w:tc>
          <w:tcPr>
            <w:tcW w:w="0" w:type="auto"/>
          </w:tcPr>
          <w:p w:rsidR="00FE361F" w:rsidRPr="00E07127" w:rsidRDefault="00FE361F" w:rsidP="001144AE">
            <w:pPr>
              <w:numPr>
                <w:ilvl w:val="0"/>
                <w:numId w:val="1"/>
              </w:numPr>
              <w:tabs>
                <w:tab w:val="left" w:pos="0"/>
                <w:tab w:val="num" w:pos="202"/>
                <w:tab w:val="num" w:pos="290"/>
              </w:tabs>
              <w:spacing w:before="60" w:after="60"/>
              <w:ind w:left="290" w:hanging="290"/>
              <w:rPr>
                <w:caps/>
                <w:snapToGrid w:val="0"/>
                <w:sz w:val="19"/>
                <w:szCs w:val="19"/>
              </w:rPr>
            </w:pPr>
            <w:r w:rsidRPr="00E07127">
              <w:rPr>
                <w:snapToGrid w:val="0"/>
                <w:sz w:val="19"/>
                <w:szCs w:val="19"/>
              </w:rPr>
              <w:t>adres nieruchomości</w:t>
            </w:r>
          </w:p>
        </w:tc>
        <w:tc>
          <w:tcPr>
            <w:tcW w:w="0" w:type="auto"/>
          </w:tcPr>
          <w:p w:rsidR="00FE361F" w:rsidRPr="00E07127" w:rsidRDefault="00FE361F" w:rsidP="001144AE">
            <w:pPr>
              <w:pStyle w:val="Heading3"/>
              <w:spacing w:before="60" w:after="60"/>
              <w:ind w:right="74"/>
              <w:jc w:val="both"/>
              <w:rPr>
                <w:rFonts w:ascii="Times New Roman" w:hAnsi="Times New Roman" w:cs="Times New Roman"/>
                <w:i w:val="0"/>
                <w:iCs w:val="0"/>
                <w:sz w:val="19"/>
                <w:szCs w:val="19"/>
              </w:rPr>
            </w:pPr>
            <w:r>
              <w:rPr>
                <w:rFonts w:ascii="Times New Roman" w:hAnsi="Times New Roman" w:cs="Times New Roman"/>
                <w:i w:val="0"/>
                <w:iCs w:val="0"/>
                <w:sz w:val="19"/>
                <w:szCs w:val="19"/>
              </w:rPr>
              <w:t>Poznań, ul. Wichrowa</w:t>
            </w:r>
          </w:p>
        </w:tc>
        <w:tc>
          <w:tcPr>
            <w:tcW w:w="0" w:type="auto"/>
          </w:tcPr>
          <w:p w:rsidR="00FE361F" w:rsidRPr="00E07127" w:rsidRDefault="00FE361F" w:rsidP="001144AE">
            <w:pPr>
              <w:pStyle w:val="ListParagraph"/>
              <w:numPr>
                <w:ilvl w:val="0"/>
                <w:numId w:val="2"/>
              </w:numPr>
              <w:ind w:left="363" w:hanging="363"/>
              <w:rPr>
                <w:b/>
                <w:bCs/>
                <w:sz w:val="19"/>
                <w:szCs w:val="19"/>
              </w:rPr>
            </w:pPr>
            <w:r>
              <w:rPr>
                <w:b/>
                <w:bCs/>
                <w:sz w:val="19"/>
                <w:szCs w:val="19"/>
              </w:rPr>
              <w:t>Poznań, ul. Wichrowa</w:t>
            </w:r>
            <w:r w:rsidRPr="00E07127">
              <w:rPr>
                <w:b/>
                <w:bCs/>
                <w:sz w:val="19"/>
                <w:szCs w:val="19"/>
              </w:rPr>
              <w:t>,</w:t>
            </w:r>
          </w:p>
          <w:p w:rsidR="00FE361F" w:rsidRPr="00E07127" w:rsidRDefault="00FE361F" w:rsidP="001144AE">
            <w:pPr>
              <w:numPr>
                <w:ilvl w:val="0"/>
                <w:numId w:val="2"/>
              </w:numPr>
              <w:ind w:left="366" w:hanging="366"/>
              <w:rPr>
                <w:b/>
                <w:bCs/>
                <w:sz w:val="19"/>
                <w:szCs w:val="19"/>
              </w:rPr>
            </w:pPr>
            <w:r>
              <w:rPr>
                <w:b/>
                <w:bCs/>
                <w:sz w:val="19"/>
                <w:szCs w:val="19"/>
              </w:rPr>
              <w:t>Poznań, ul. Wichrowa</w:t>
            </w:r>
            <w:r w:rsidRPr="00E07127">
              <w:rPr>
                <w:b/>
                <w:bCs/>
                <w:sz w:val="19"/>
                <w:szCs w:val="19"/>
              </w:rPr>
              <w:t>,</w:t>
            </w:r>
          </w:p>
          <w:p w:rsidR="00FE361F" w:rsidRPr="00E07127" w:rsidRDefault="00FE361F" w:rsidP="001144AE">
            <w:pPr>
              <w:numPr>
                <w:ilvl w:val="0"/>
                <w:numId w:val="2"/>
              </w:numPr>
              <w:ind w:left="366" w:hanging="366"/>
              <w:rPr>
                <w:sz w:val="19"/>
                <w:szCs w:val="19"/>
              </w:rPr>
            </w:pPr>
            <w:r>
              <w:rPr>
                <w:b/>
                <w:bCs/>
                <w:sz w:val="19"/>
                <w:szCs w:val="19"/>
              </w:rPr>
              <w:t>Poznań, ul. Wichrowa</w:t>
            </w:r>
            <w:r w:rsidRPr="00E07127">
              <w:rPr>
                <w:b/>
                <w:bCs/>
                <w:sz w:val="19"/>
                <w:szCs w:val="19"/>
              </w:rPr>
              <w:t>.</w:t>
            </w:r>
          </w:p>
        </w:tc>
      </w:tr>
      <w:tr w:rsidR="00FE361F" w:rsidRPr="001967A4">
        <w:tc>
          <w:tcPr>
            <w:tcW w:w="0" w:type="auto"/>
          </w:tcPr>
          <w:p w:rsidR="00FE361F" w:rsidRPr="00E07127" w:rsidRDefault="00FE361F" w:rsidP="001144AE">
            <w:pPr>
              <w:numPr>
                <w:ilvl w:val="0"/>
                <w:numId w:val="1"/>
              </w:numPr>
              <w:tabs>
                <w:tab w:val="clear" w:pos="360"/>
                <w:tab w:val="left" w:pos="-70"/>
                <w:tab w:val="num" w:pos="224"/>
              </w:tabs>
              <w:spacing w:before="60" w:after="60"/>
              <w:ind w:left="290" w:hanging="290"/>
              <w:jc w:val="both"/>
              <w:rPr>
                <w:snapToGrid w:val="0"/>
                <w:sz w:val="19"/>
                <w:szCs w:val="19"/>
              </w:rPr>
            </w:pPr>
            <w:r w:rsidRPr="00E07127">
              <w:rPr>
                <w:snapToGrid w:val="0"/>
                <w:sz w:val="19"/>
                <w:szCs w:val="19"/>
              </w:rPr>
              <w:t xml:space="preserve">oznaczenie geodezyjne  </w:t>
            </w:r>
          </w:p>
        </w:tc>
        <w:tc>
          <w:tcPr>
            <w:tcW w:w="0" w:type="auto"/>
          </w:tcPr>
          <w:p w:rsidR="00FE361F" w:rsidRDefault="00FE361F" w:rsidP="00F60325">
            <w:pPr>
              <w:spacing w:before="60"/>
              <w:ind w:left="108" w:right="74" w:hanging="108"/>
              <w:jc w:val="both"/>
              <w:rPr>
                <w:sz w:val="19"/>
                <w:szCs w:val="19"/>
              </w:rPr>
            </w:pPr>
            <w:r>
              <w:rPr>
                <w:sz w:val="19"/>
                <w:szCs w:val="19"/>
              </w:rPr>
              <w:t xml:space="preserve">dz. nr 23/14 i dz. nr 23/12,  (ark. 22, obręb Krzyżowniki), </w:t>
            </w:r>
          </w:p>
          <w:p w:rsidR="00FE361F" w:rsidRPr="00E07127" w:rsidRDefault="00FE361F" w:rsidP="00F60325">
            <w:pPr>
              <w:spacing w:before="60"/>
              <w:ind w:left="108" w:right="74" w:hanging="108"/>
              <w:jc w:val="both"/>
              <w:rPr>
                <w:sz w:val="19"/>
                <w:szCs w:val="19"/>
              </w:rPr>
            </w:pPr>
            <w:r>
              <w:rPr>
                <w:sz w:val="19"/>
                <w:szCs w:val="19"/>
              </w:rPr>
              <w:t xml:space="preserve">KW nr PO1P/00101747/0, o łącznym obszarze </w:t>
            </w:r>
            <w:smartTag w:uri="urn:schemas-microsoft-com:office:smarttags" w:element="metricconverter">
              <w:smartTagPr>
                <w:attr w:name="ProductID" w:val="0,1107 ha"/>
              </w:smartTagPr>
              <w:r>
                <w:rPr>
                  <w:sz w:val="19"/>
                  <w:szCs w:val="19"/>
                </w:rPr>
                <w:t>0,1107 ha</w:t>
              </w:r>
            </w:smartTag>
            <w:r>
              <w:rPr>
                <w:sz w:val="19"/>
                <w:szCs w:val="19"/>
              </w:rPr>
              <w:t>,</w:t>
            </w:r>
          </w:p>
          <w:p w:rsidR="00FE361F" w:rsidRPr="00E07127" w:rsidRDefault="00FE361F" w:rsidP="001144AE">
            <w:pPr>
              <w:spacing w:before="60"/>
              <w:ind w:right="74"/>
              <w:jc w:val="both"/>
              <w:rPr>
                <w:b/>
                <w:bCs/>
                <w:sz w:val="19"/>
                <w:szCs w:val="19"/>
              </w:rPr>
            </w:pPr>
            <w:r w:rsidRPr="00E07127">
              <w:rPr>
                <w:sz w:val="19"/>
                <w:szCs w:val="19"/>
              </w:rPr>
              <w:t xml:space="preserve">właściciel: Miasto Poznań </w:t>
            </w:r>
          </w:p>
        </w:tc>
        <w:tc>
          <w:tcPr>
            <w:tcW w:w="0" w:type="auto"/>
          </w:tcPr>
          <w:p w:rsidR="00FE361F" w:rsidRPr="00E07127" w:rsidRDefault="00FE361F" w:rsidP="001144AE">
            <w:pPr>
              <w:spacing w:before="60"/>
              <w:ind w:right="74"/>
              <w:jc w:val="both"/>
              <w:rPr>
                <w:b/>
                <w:bCs/>
                <w:sz w:val="19"/>
                <w:szCs w:val="19"/>
              </w:rPr>
            </w:pPr>
            <w:r w:rsidRPr="00E07127">
              <w:rPr>
                <w:b/>
                <w:bCs/>
                <w:snapToGrid w:val="0"/>
                <w:sz w:val="19"/>
                <w:szCs w:val="19"/>
              </w:rPr>
              <w:t>Ad. I.</w:t>
            </w:r>
            <w:r w:rsidRPr="00E07127">
              <w:rPr>
                <w:snapToGrid w:val="0"/>
                <w:sz w:val="19"/>
                <w:szCs w:val="19"/>
              </w:rPr>
              <w:t xml:space="preserve"> dz.</w:t>
            </w:r>
            <w:r w:rsidRPr="00E07127">
              <w:rPr>
                <w:b/>
                <w:bCs/>
                <w:snapToGrid w:val="0"/>
                <w:sz w:val="19"/>
                <w:szCs w:val="19"/>
              </w:rPr>
              <w:t xml:space="preserve"> </w:t>
            </w:r>
            <w:r>
              <w:rPr>
                <w:color w:val="000000"/>
                <w:sz w:val="19"/>
                <w:szCs w:val="19"/>
              </w:rPr>
              <w:t>nr 21/5 i 21/7 (ark. 22</w:t>
            </w:r>
            <w:r w:rsidRPr="00E07127">
              <w:rPr>
                <w:color w:val="000000"/>
                <w:sz w:val="19"/>
                <w:szCs w:val="19"/>
              </w:rPr>
              <w:t>,</w:t>
            </w:r>
            <w:r>
              <w:rPr>
                <w:color w:val="000000"/>
                <w:sz w:val="19"/>
                <w:szCs w:val="19"/>
              </w:rPr>
              <w:t xml:space="preserve"> obręb Krzyżowniki), KW nr PO1P/00101654/1,</w:t>
            </w:r>
            <w:r w:rsidRPr="00E07127">
              <w:rPr>
                <w:color w:val="000000"/>
                <w:sz w:val="19"/>
                <w:szCs w:val="19"/>
              </w:rPr>
              <w:t xml:space="preserve"> </w:t>
            </w:r>
            <w:r>
              <w:rPr>
                <w:color w:val="000000"/>
                <w:sz w:val="19"/>
                <w:szCs w:val="19"/>
              </w:rPr>
              <w:t xml:space="preserve">o łącznym obszarze </w:t>
            </w:r>
            <w:smartTag w:uri="urn:schemas-microsoft-com:office:smarttags" w:element="metricconverter">
              <w:smartTagPr>
                <w:attr w:name="ProductID" w:val="0,0035 ha"/>
              </w:smartTagPr>
              <w:r>
                <w:rPr>
                  <w:color w:val="000000"/>
                  <w:sz w:val="19"/>
                  <w:szCs w:val="19"/>
                </w:rPr>
                <w:t>0,0035 ha</w:t>
              </w:r>
            </w:smartTag>
            <w:r>
              <w:rPr>
                <w:color w:val="000000"/>
                <w:sz w:val="19"/>
                <w:szCs w:val="19"/>
              </w:rPr>
              <w:t xml:space="preserve">, właściciel: BIMs Plus FHH </w:t>
            </w:r>
            <w:r w:rsidRPr="00E07127">
              <w:rPr>
                <w:color w:val="000000"/>
                <w:sz w:val="19"/>
                <w:szCs w:val="19"/>
              </w:rPr>
              <w:t>Sp. z o.o.</w:t>
            </w:r>
            <w:r>
              <w:rPr>
                <w:color w:val="000000"/>
                <w:sz w:val="19"/>
                <w:szCs w:val="19"/>
              </w:rPr>
              <w:t xml:space="preserve"> Poznań Sp. k.</w:t>
            </w:r>
          </w:p>
          <w:p w:rsidR="00FE361F" w:rsidRPr="001967A4" w:rsidRDefault="00FE361F" w:rsidP="001967A4">
            <w:pPr>
              <w:spacing w:before="60"/>
              <w:ind w:right="74"/>
              <w:jc w:val="both"/>
              <w:rPr>
                <w:b/>
                <w:bCs/>
                <w:sz w:val="19"/>
                <w:szCs w:val="19"/>
              </w:rPr>
            </w:pPr>
            <w:r w:rsidRPr="00E07127">
              <w:rPr>
                <w:b/>
                <w:bCs/>
                <w:color w:val="000000"/>
                <w:sz w:val="19"/>
                <w:szCs w:val="19"/>
              </w:rPr>
              <w:t>Ad. II.</w:t>
            </w:r>
            <w:r>
              <w:rPr>
                <w:color w:val="000000"/>
                <w:sz w:val="19"/>
                <w:szCs w:val="19"/>
              </w:rPr>
              <w:t xml:space="preserve"> dz. nr 5/22 (ark. 24, obręb Krzyżowniki), KW nr PO1P/00170402/4</w:t>
            </w:r>
            <w:r w:rsidRPr="00E07127">
              <w:rPr>
                <w:color w:val="000000"/>
                <w:sz w:val="19"/>
                <w:szCs w:val="19"/>
              </w:rPr>
              <w:t xml:space="preserve">, </w:t>
            </w:r>
            <w:r>
              <w:rPr>
                <w:color w:val="000000"/>
                <w:sz w:val="19"/>
                <w:szCs w:val="19"/>
              </w:rPr>
              <w:t xml:space="preserve">o pow.: </w:t>
            </w:r>
            <w:smartTag w:uri="urn:schemas-microsoft-com:office:smarttags" w:element="metricconverter">
              <w:smartTagPr>
                <w:attr w:name="ProductID" w:val="0,0914 ha"/>
              </w:smartTagPr>
              <w:r>
                <w:rPr>
                  <w:color w:val="000000"/>
                  <w:sz w:val="19"/>
                  <w:szCs w:val="19"/>
                </w:rPr>
                <w:t>0,0914 ha</w:t>
              </w:r>
            </w:smartTag>
            <w:r w:rsidRPr="00E07127">
              <w:rPr>
                <w:color w:val="000000"/>
                <w:sz w:val="19"/>
                <w:szCs w:val="19"/>
              </w:rPr>
              <w:t xml:space="preserve">, właściciel: </w:t>
            </w:r>
            <w:r>
              <w:rPr>
                <w:color w:val="000000"/>
                <w:sz w:val="19"/>
                <w:szCs w:val="19"/>
              </w:rPr>
              <w:t xml:space="preserve">Skarb Państwa w użytkowaniu wieczystym BIMs Plus FHH </w:t>
            </w:r>
            <w:r w:rsidRPr="00E07127">
              <w:rPr>
                <w:color w:val="000000"/>
                <w:sz w:val="19"/>
                <w:szCs w:val="19"/>
              </w:rPr>
              <w:t>Sp. z o.o.</w:t>
            </w:r>
            <w:r>
              <w:rPr>
                <w:color w:val="000000"/>
                <w:sz w:val="19"/>
                <w:szCs w:val="19"/>
              </w:rPr>
              <w:t xml:space="preserve"> Poznań Sp. k.</w:t>
            </w:r>
          </w:p>
          <w:p w:rsidR="00FE361F" w:rsidRPr="001967A4" w:rsidRDefault="00FE361F" w:rsidP="001967A4">
            <w:pPr>
              <w:spacing w:before="60"/>
              <w:ind w:right="74"/>
              <w:jc w:val="both"/>
              <w:rPr>
                <w:b/>
                <w:bCs/>
                <w:sz w:val="19"/>
                <w:szCs w:val="19"/>
              </w:rPr>
            </w:pPr>
            <w:r w:rsidRPr="00E07127">
              <w:rPr>
                <w:b/>
                <w:bCs/>
                <w:color w:val="000000"/>
                <w:sz w:val="19"/>
                <w:szCs w:val="19"/>
              </w:rPr>
              <w:t>Ad. III.</w:t>
            </w:r>
            <w:r w:rsidRPr="00E07127">
              <w:rPr>
                <w:color w:val="000000"/>
                <w:sz w:val="19"/>
                <w:szCs w:val="19"/>
              </w:rPr>
              <w:t xml:space="preserve"> </w:t>
            </w:r>
            <w:r>
              <w:rPr>
                <w:color w:val="000000"/>
                <w:sz w:val="19"/>
                <w:szCs w:val="19"/>
              </w:rPr>
              <w:t>Udział 421/785 części w prawie użytkowania wieczystego dz. nr 5/25</w:t>
            </w:r>
            <w:r w:rsidRPr="00E07127">
              <w:rPr>
                <w:color w:val="000000"/>
                <w:sz w:val="19"/>
                <w:szCs w:val="19"/>
              </w:rPr>
              <w:t xml:space="preserve"> (</w:t>
            </w:r>
            <w:r>
              <w:rPr>
                <w:color w:val="000000"/>
                <w:sz w:val="19"/>
                <w:szCs w:val="19"/>
              </w:rPr>
              <w:t>ark. 24, obręb Krzyżowniki), KW nr PO1P/00282636/1</w:t>
            </w:r>
            <w:r w:rsidRPr="00E07127">
              <w:rPr>
                <w:color w:val="000000"/>
                <w:sz w:val="19"/>
                <w:szCs w:val="19"/>
              </w:rPr>
              <w:t>,</w:t>
            </w:r>
            <w:r>
              <w:rPr>
                <w:color w:val="000000"/>
                <w:sz w:val="19"/>
                <w:szCs w:val="19"/>
              </w:rPr>
              <w:t xml:space="preserve"> o pow.:</w:t>
            </w:r>
            <w:r w:rsidRPr="00E07127">
              <w:rPr>
                <w:color w:val="000000"/>
                <w:sz w:val="19"/>
                <w:szCs w:val="19"/>
              </w:rPr>
              <w:t xml:space="preserve"> </w:t>
            </w:r>
            <w:smartTag w:uri="urn:schemas-microsoft-com:office:smarttags" w:element="metricconverter">
              <w:smartTagPr>
                <w:attr w:name="ProductID" w:val="0,0785 ha"/>
              </w:smartTagPr>
              <w:r>
                <w:rPr>
                  <w:color w:val="000000"/>
                  <w:sz w:val="19"/>
                  <w:szCs w:val="19"/>
                </w:rPr>
                <w:t>0,0785 ha</w:t>
              </w:r>
            </w:smartTag>
            <w:r>
              <w:rPr>
                <w:color w:val="000000"/>
                <w:sz w:val="19"/>
                <w:szCs w:val="19"/>
              </w:rPr>
              <w:t>,</w:t>
            </w:r>
            <w:r>
              <w:rPr>
                <w:color w:val="000000"/>
                <w:sz w:val="19"/>
                <w:szCs w:val="19"/>
              </w:rPr>
              <w:br/>
            </w:r>
            <w:r w:rsidRPr="00E07127">
              <w:rPr>
                <w:color w:val="000000"/>
                <w:sz w:val="19"/>
                <w:szCs w:val="19"/>
              </w:rPr>
              <w:t>właściciel: Skarb Państwa w użytkowaniu wieczystym</w:t>
            </w:r>
            <w:r>
              <w:rPr>
                <w:color w:val="000000"/>
                <w:sz w:val="19"/>
                <w:szCs w:val="19"/>
              </w:rPr>
              <w:t xml:space="preserve"> BIMs Plus FHH </w:t>
            </w:r>
            <w:r w:rsidRPr="00E07127">
              <w:rPr>
                <w:color w:val="000000"/>
                <w:sz w:val="19"/>
                <w:szCs w:val="19"/>
              </w:rPr>
              <w:t>Sp. z o.o.</w:t>
            </w:r>
            <w:r>
              <w:rPr>
                <w:color w:val="000000"/>
                <w:sz w:val="19"/>
                <w:szCs w:val="19"/>
              </w:rPr>
              <w:t xml:space="preserve"> Poznań Sp. k.</w:t>
            </w:r>
          </w:p>
        </w:tc>
      </w:tr>
      <w:tr w:rsidR="00FE361F">
        <w:tc>
          <w:tcPr>
            <w:tcW w:w="0" w:type="auto"/>
          </w:tcPr>
          <w:p w:rsidR="00FE361F" w:rsidRPr="00E07127" w:rsidRDefault="00FE361F" w:rsidP="001144AE">
            <w:pPr>
              <w:numPr>
                <w:ilvl w:val="0"/>
                <w:numId w:val="1"/>
              </w:numPr>
              <w:tabs>
                <w:tab w:val="num" w:pos="224"/>
                <w:tab w:val="left" w:pos="1490"/>
              </w:tabs>
              <w:spacing w:before="60" w:after="60"/>
              <w:ind w:left="290" w:hanging="290"/>
              <w:rPr>
                <w:snapToGrid w:val="0"/>
                <w:sz w:val="19"/>
                <w:szCs w:val="19"/>
              </w:rPr>
            </w:pPr>
            <w:r w:rsidRPr="00E07127">
              <w:rPr>
                <w:snapToGrid w:val="0"/>
                <w:sz w:val="19"/>
                <w:szCs w:val="19"/>
              </w:rPr>
              <w:t>opis nieruchomości i sposób zagospodarowania</w:t>
            </w:r>
          </w:p>
        </w:tc>
        <w:tc>
          <w:tcPr>
            <w:tcW w:w="0" w:type="auto"/>
          </w:tcPr>
          <w:p w:rsidR="00FE361F" w:rsidRDefault="00FE361F" w:rsidP="00BE6991">
            <w:pPr>
              <w:pStyle w:val="BodyText3"/>
              <w:spacing w:after="60"/>
              <w:rPr>
                <w:rFonts w:ascii="Times New Roman" w:hAnsi="Times New Roman" w:cs="Times New Roman"/>
                <w:color w:val="000000"/>
                <w:sz w:val="19"/>
                <w:szCs w:val="19"/>
              </w:rPr>
            </w:pPr>
            <w:r>
              <w:rPr>
                <w:rFonts w:ascii="Times New Roman" w:hAnsi="Times New Roman" w:cs="Times New Roman"/>
                <w:color w:val="000000"/>
                <w:sz w:val="19"/>
                <w:szCs w:val="19"/>
              </w:rPr>
              <w:t xml:space="preserve">Nieruchomość gruntowa zlokalizowana w peryferyjnej, zachodniej części miasta Poznania, w rejonie ul. Wichrowej. Bliższe otoczenie nieruchomości stanowi zabudowa mieszkaniowa jednorodzinna, magazynowa, usługowa, tereny ogrodów działkowych oraz teren lotniska Ławica. Działki gruntu tworzą kompleks o kształcie wydłużonego wieloboku, pochyłym ukształtowaniu terenu w kierunku południowym. W północnej części nieruchomości znajdują się fragmenty utwardzeń wykonanych z masy bitumicznej i kostki betonowej oraz fragment ogrodzenia wykonany z siatki przymocowanej do stalowych słupków. Przez teren działek gruntu przebiega sieć elektroenergetyczna oraz część przyłącza wodociągowego. Dojazd do nieruchomości realizowany jest drogą </w:t>
            </w:r>
            <w:r>
              <w:rPr>
                <w:rFonts w:ascii="Times New Roman" w:hAnsi="Times New Roman" w:cs="Times New Roman"/>
                <w:color w:val="000000"/>
                <w:sz w:val="19"/>
                <w:szCs w:val="19"/>
              </w:rPr>
              <w:br/>
              <w:t xml:space="preserve">o nawierzchni asfaltowej (ul. Wichrowa). </w:t>
            </w:r>
          </w:p>
          <w:p w:rsidR="00FE361F" w:rsidRPr="00E07127" w:rsidRDefault="00FE361F" w:rsidP="00BE6991">
            <w:pPr>
              <w:pStyle w:val="BodyText3"/>
              <w:spacing w:after="60"/>
              <w:rPr>
                <w:rFonts w:ascii="Times New Roman" w:hAnsi="Times New Roman" w:cs="Times New Roman"/>
                <w:color w:val="000000"/>
                <w:sz w:val="19"/>
                <w:szCs w:val="19"/>
              </w:rPr>
            </w:pPr>
            <w:r>
              <w:rPr>
                <w:rFonts w:ascii="Times New Roman" w:hAnsi="Times New Roman" w:cs="Times New Roman"/>
                <w:color w:val="000000"/>
                <w:sz w:val="19"/>
                <w:szCs w:val="19"/>
              </w:rPr>
              <w:br/>
            </w:r>
          </w:p>
          <w:p w:rsidR="00FE361F" w:rsidRPr="00E07127" w:rsidRDefault="00FE361F" w:rsidP="00BE6991">
            <w:pPr>
              <w:pStyle w:val="BodyText3"/>
              <w:spacing w:after="60"/>
              <w:rPr>
                <w:rFonts w:ascii="Times New Roman" w:hAnsi="Times New Roman" w:cs="Times New Roman"/>
                <w:sz w:val="19"/>
                <w:szCs w:val="19"/>
              </w:rPr>
            </w:pPr>
          </w:p>
        </w:tc>
        <w:tc>
          <w:tcPr>
            <w:tcW w:w="0" w:type="auto"/>
          </w:tcPr>
          <w:p w:rsidR="00FE361F" w:rsidRDefault="00FE361F" w:rsidP="001144AE">
            <w:pPr>
              <w:pStyle w:val="BodyText3"/>
              <w:spacing w:after="60"/>
              <w:rPr>
                <w:rFonts w:ascii="Times New Roman" w:hAnsi="Times New Roman" w:cs="Times New Roman"/>
                <w:color w:val="000000"/>
                <w:sz w:val="19"/>
                <w:szCs w:val="19"/>
              </w:rPr>
            </w:pPr>
            <w:r w:rsidRPr="00E07127">
              <w:rPr>
                <w:rFonts w:ascii="Times New Roman" w:hAnsi="Times New Roman" w:cs="Times New Roman"/>
                <w:b/>
                <w:bCs/>
                <w:color w:val="000000"/>
                <w:sz w:val="19"/>
                <w:szCs w:val="19"/>
              </w:rPr>
              <w:t>Ad. I.</w:t>
            </w:r>
            <w:r w:rsidRPr="00E07127">
              <w:rPr>
                <w:rFonts w:ascii="Times New Roman" w:hAnsi="Times New Roman" w:cs="Times New Roman"/>
                <w:color w:val="000000"/>
                <w:sz w:val="19"/>
                <w:szCs w:val="19"/>
              </w:rPr>
              <w:t xml:space="preserve"> </w:t>
            </w:r>
            <w:r>
              <w:rPr>
                <w:rFonts w:ascii="Times New Roman" w:hAnsi="Times New Roman" w:cs="Times New Roman"/>
                <w:color w:val="000000"/>
                <w:sz w:val="19"/>
                <w:szCs w:val="19"/>
              </w:rPr>
              <w:t>Nieruchomość gruntowa zlokalizowana w peryferyjnej, zachodniej części miasta Poznania, w rejonie ul. Wichrowej. Bliższe otoczenie nieruchomości stanowi zabudowa mieszkaniowa jednorodzinna, magazynowa, usługowa, tereny ogrodów działkowych oraz teren lotniska Ławica. Działka gruntu nr 21/5 ma kształt trójkata, a działka nr 21/7 jest w kształcie wydłużonego trapezu. Ukształtowanie terenu, na którym znajdują się działki jest płaskie. Na terenie działki nr 21/7 znajdujesię część ogrodzenia panelowego oraz lampa oświetleniowa na stalowym słupie. Dojazd do nieruchomości realizowany jest drogą asfaltową (ul. Wichrowa).</w:t>
            </w:r>
          </w:p>
          <w:p w:rsidR="00FE361F" w:rsidRPr="003B47E0" w:rsidRDefault="00FE361F" w:rsidP="001144AE">
            <w:pPr>
              <w:pStyle w:val="BodyText3"/>
              <w:spacing w:after="60"/>
              <w:rPr>
                <w:rFonts w:ascii="Times New Roman" w:hAnsi="Times New Roman" w:cs="Times New Roman"/>
                <w:color w:val="000000"/>
                <w:sz w:val="19"/>
                <w:szCs w:val="19"/>
              </w:rPr>
            </w:pPr>
            <w:r w:rsidRPr="00E07127">
              <w:rPr>
                <w:rFonts w:ascii="Times New Roman" w:hAnsi="Times New Roman" w:cs="Times New Roman"/>
                <w:b/>
                <w:bCs/>
                <w:sz w:val="19"/>
                <w:szCs w:val="19"/>
              </w:rPr>
              <w:t xml:space="preserve"> Ad. II</w:t>
            </w:r>
            <w:r>
              <w:rPr>
                <w:rFonts w:ascii="Times New Roman" w:hAnsi="Times New Roman" w:cs="Times New Roman"/>
                <w:sz w:val="19"/>
                <w:szCs w:val="19"/>
              </w:rPr>
              <w:t xml:space="preserve"> i </w:t>
            </w:r>
            <w:r w:rsidRPr="00B950A4">
              <w:rPr>
                <w:rFonts w:ascii="Times New Roman" w:hAnsi="Times New Roman" w:cs="Times New Roman"/>
                <w:b/>
                <w:bCs/>
                <w:sz w:val="19"/>
                <w:szCs w:val="19"/>
              </w:rPr>
              <w:t>III</w:t>
            </w:r>
            <w:r>
              <w:rPr>
                <w:rFonts w:ascii="Times New Roman" w:hAnsi="Times New Roman" w:cs="Times New Roman"/>
                <w:sz w:val="19"/>
                <w:szCs w:val="19"/>
              </w:rPr>
              <w:t xml:space="preserve">. Działki gruntu nr 5/22 i 5/25 </w:t>
            </w:r>
            <w:r>
              <w:rPr>
                <w:rFonts w:ascii="Times New Roman" w:hAnsi="Times New Roman" w:cs="Times New Roman"/>
                <w:color w:val="000000"/>
                <w:sz w:val="19"/>
                <w:szCs w:val="19"/>
              </w:rPr>
              <w:t>zlokalizowane w peryferyjnej, zachodniej części miasta Poznania, w rejonie ul. Wichrowej. Bliższe otoczenie nieruchomości stanowi zabudowa mieszkaniowa jednorodzinna, magazynowa, usługowa, tereny ogrodów działkowych oraz teren lotniska Ławica. Działki gruntu tworzą kompleks o kształcie wydłużonego wieloboku, pochyłym ukształtowaniu terenu w kierunku południowym. Na części nieruchomości znajdują się fragmenty utwardzeń wykonanych z masy bitumicznej i kostki betonowej oraz fragmenty ogrodzeń wykonane z siatki przymocowanej do stalowych słupków, z prefabrykowanych przęseł żelbetowych oraz przęseł panelowych. Na terenie nieruchomości znajdują się ponadto liczne nasadzenia ozdobne oraz słupy stalowe. Przez teren działek gruntu przebiega sieć elektroenergetyczna oraz część przyłącza wodociągowego. Dojazd do nieruchomości realizowany jest drogą o nawierzchni asfaltowej (ul. Wichrowa).</w:t>
            </w:r>
          </w:p>
        </w:tc>
      </w:tr>
      <w:tr w:rsidR="00FE361F">
        <w:tc>
          <w:tcPr>
            <w:tcW w:w="0" w:type="auto"/>
          </w:tcPr>
          <w:p w:rsidR="00FE361F" w:rsidRPr="00E07127" w:rsidRDefault="00FE361F" w:rsidP="001144AE">
            <w:pPr>
              <w:numPr>
                <w:ilvl w:val="0"/>
                <w:numId w:val="1"/>
              </w:numPr>
              <w:tabs>
                <w:tab w:val="num" w:pos="110"/>
                <w:tab w:val="left" w:pos="216"/>
              </w:tabs>
              <w:spacing w:before="60" w:after="60"/>
              <w:ind w:left="202" w:hanging="202"/>
              <w:rPr>
                <w:snapToGrid w:val="0"/>
                <w:sz w:val="19"/>
                <w:szCs w:val="19"/>
              </w:rPr>
            </w:pPr>
            <w:r w:rsidRPr="00E07127">
              <w:rPr>
                <w:snapToGrid w:val="0"/>
                <w:sz w:val="19"/>
                <w:szCs w:val="19"/>
              </w:rPr>
              <w:t xml:space="preserve">przeznaczenie w planie zagospodarowania przestrzennego </w:t>
            </w:r>
          </w:p>
        </w:tc>
        <w:tc>
          <w:tcPr>
            <w:tcW w:w="0" w:type="auto"/>
            <w:gridSpan w:val="2"/>
          </w:tcPr>
          <w:p w:rsidR="00FE361F" w:rsidRPr="003B47E0" w:rsidRDefault="00FE361F" w:rsidP="001144AE">
            <w:pPr>
              <w:pStyle w:val="BodyText"/>
              <w:rPr>
                <w:sz w:val="19"/>
                <w:szCs w:val="19"/>
              </w:rPr>
            </w:pPr>
            <w:r w:rsidRPr="003B47E0">
              <w:rPr>
                <w:sz w:val="19"/>
                <w:szCs w:val="19"/>
              </w:rPr>
              <w:t>Wszystkie opisane wyżej nieruchomoś</w:t>
            </w:r>
            <w:r>
              <w:rPr>
                <w:sz w:val="19"/>
                <w:szCs w:val="19"/>
              </w:rPr>
              <w:t>ci</w:t>
            </w:r>
            <w:r w:rsidRPr="003B47E0">
              <w:rPr>
                <w:sz w:val="19"/>
                <w:szCs w:val="19"/>
              </w:rPr>
              <w:t xml:space="preserve"> położone są na terenie, na którym nie obowiązuje miejscowy plan zagospodarowania przestrzennego.</w:t>
            </w:r>
          </w:p>
          <w:p w:rsidR="00FE361F" w:rsidRPr="00E07127" w:rsidRDefault="00FE361F" w:rsidP="003B47E0">
            <w:pPr>
              <w:pStyle w:val="BodyText3"/>
              <w:spacing w:after="60"/>
              <w:rPr>
                <w:rFonts w:cs="Times New Roman"/>
                <w:color w:val="000000"/>
                <w:sz w:val="19"/>
                <w:szCs w:val="19"/>
              </w:rPr>
            </w:pPr>
            <w:r w:rsidRPr="003B47E0">
              <w:rPr>
                <w:rFonts w:ascii="Times New Roman" w:hAnsi="Times New Roman" w:cs="Times New Roman"/>
                <w:sz w:val="19"/>
                <w:szCs w:val="19"/>
              </w:rPr>
              <w:t xml:space="preserve">W „Studium uwarunkowań i kierunków zagospodarowania przestrzennego </w:t>
            </w:r>
            <w:r>
              <w:rPr>
                <w:rFonts w:ascii="Times New Roman" w:hAnsi="Times New Roman" w:cs="Times New Roman"/>
                <w:sz w:val="19"/>
                <w:szCs w:val="19"/>
              </w:rPr>
              <w:t>m</w:t>
            </w:r>
            <w:r w:rsidRPr="003B47E0">
              <w:rPr>
                <w:rFonts w:ascii="Times New Roman" w:hAnsi="Times New Roman" w:cs="Times New Roman"/>
                <w:sz w:val="19"/>
                <w:szCs w:val="19"/>
              </w:rPr>
              <w:t>iasta Poznania</w:t>
            </w:r>
            <w:r>
              <w:rPr>
                <w:rFonts w:ascii="Times New Roman" w:hAnsi="Times New Roman" w:cs="Times New Roman"/>
                <w:sz w:val="19"/>
                <w:szCs w:val="19"/>
              </w:rPr>
              <w:t>”</w:t>
            </w:r>
            <w:r w:rsidRPr="003B47E0">
              <w:rPr>
                <w:rFonts w:ascii="Times New Roman" w:hAnsi="Times New Roman" w:cs="Times New Roman"/>
                <w:sz w:val="19"/>
                <w:szCs w:val="19"/>
              </w:rPr>
              <w:t xml:space="preserve"> (uchwała </w:t>
            </w:r>
            <w:r>
              <w:rPr>
                <w:rFonts w:ascii="Times New Roman" w:hAnsi="Times New Roman" w:cs="Times New Roman"/>
                <w:sz w:val="19"/>
                <w:szCs w:val="19"/>
              </w:rPr>
              <w:t>N</w:t>
            </w:r>
            <w:r w:rsidRPr="003B47E0">
              <w:rPr>
                <w:rFonts w:ascii="Times New Roman" w:hAnsi="Times New Roman" w:cs="Times New Roman"/>
                <w:sz w:val="19"/>
                <w:szCs w:val="19"/>
              </w:rPr>
              <w:t>r LXXII/1137/VI/2014 Rady Miasta Poznania z 23 września 2014 r.) działki gruntu położone są na terenie oznaczonym symbolem U/P</w:t>
            </w:r>
            <w:r>
              <w:rPr>
                <w:rFonts w:ascii="Times New Roman" w:hAnsi="Times New Roman" w:cs="Times New Roman"/>
                <w:sz w:val="19"/>
                <w:szCs w:val="19"/>
              </w:rPr>
              <w:t xml:space="preserve"> </w:t>
            </w:r>
            <w:r w:rsidRPr="003B47E0">
              <w:rPr>
                <w:rFonts w:ascii="Times New Roman" w:hAnsi="Times New Roman" w:cs="Times New Roman"/>
                <w:sz w:val="19"/>
                <w:szCs w:val="19"/>
              </w:rPr>
              <w:t>– tereny zabudowy usługowej, produkcyjnej, składów i magazynów</w:t>
            </w:r>
            <w:r>
              <w:rPr>
                <w:rFonts w:ascii="Times New Roman" w:hAnsi="Times New Roman" w:cs="Times New Roman"/>
                <w:sz w:val="19"/>
                <w:szCs w:val="19"/>
              </w:rPr>
              <w:t>.</w:t>
            </w:r>
            <w:r w:rsidRPr="003B47E0">
              <w:rPr>
                <w:rFonts w:ascii="Times New Roman" w:hAnsi="Times New Roman" w:cs="Times New Roman"/>
                <w:sz w:val="19"/>
                <w:szCs w:val="19"/>
              </w:rPr>
              <w:t xml:space="preserve"> Zgodnie </w:t>
            </w:r>
            <w:r>
              <w:rPr>
                <w:rFonts w:ascii="Times New Roman" w:hAnsi="Times New Roman" w:cs="Times New Roman"/>
                <w:sz w:val="19"/>
                <w:szCs w:val="19"/>
              </w:rPr>
              <w:br/>
            </w:r>
            <w:r w:rsidRPr="003B47E0">
              <w:rPr>
                <w:rFonts w:ascii="Times New Roman" w:hAnsi="Times New Roman" w:cs="Times New Roman"/>
                <w:sz w:val="19"/>
                <w:szCs w:val="19"/>
              </w:rPr>
              <w:t xml:space="preserve">z rysunkiem „Studium </w:t>
            </w:r>
            <w:r>
              <w:rPr>
                <w:rFonts w:ascii="Times New Roman" w:hAnsi="Times New Roman" w:cs="Times New Roman"/>
                <w:sz w:val="19"/>
                <w:szCs w:val="19"/>
              </w:rPr>
              <w:t>…</w:t>
            </w:r>
            <w:r w:rsidRPr="003B47E0">
              <w:rPr>
                <w:rFonts w:ascii="Times New Roman" w:hAnsi="Times New Roman" w:cs="Times New Roman"/>
                <w:sz w:val="19"/>
                <w:szCs w:val="19"/>
              </w:rPr>
              <w:t xml:space="preserve">” </w:t>
            </w:r>
            <w:r>
              <w:rPr>
                <w:rFonts w:ascii="Times New Roman" w:hAnsi="Times New Roman" w:cs="Times New Roman"/>
                <w:sz w:val="19"/>
                <w:szCs w:val="19"/>
              </w:rPr>
              <w:t>nieruchomości znajdują</w:t>
            </w:r>
            <w:r w:rsidRPr="003B47E0">
              <w:rPr>
                <w:rFonts w:ascii="Times New Roman" w:hAnsi="Times New Roman" w:cs="Times New Roman"/>
                <w:sz w:val="19"/>
                <w:szCs w:val="19"/>
              </w:rPr>
              <w:t xml:space="preserve"> się na obszarze ograniczonego użytkowania dla lotniska Ławica – strefa wewnętrzna oraz zewnętrzna.</w:t>
            </w:r>
            <w:r>
              <w:rPr>
                <w:sz w:val="19"/>
                <w:szCs w:val="19"/>
              </w:rPr>
              <w:t xml:space="preserve"> </w:t>
            </w:r>
          </w:p>
        </w:tc>
      </w:tr>
      <w:tr w:rsidR="00FE361F">
        <w:tc>
          <w:tcPr>
            <w:tcW w:w="0" w:type="auto"/>
          </w:tcPr>
          <w:p w:rsidR="00FE361F" w:rsidRPr="00E07127" w:rsidRDefault="00FE361F" w:rsidP="001144AE">
            <w:pPr>
              <w:numPr>
                <w:ilvl w:val="0"/>
                <w:numId w:val="1"/>
              </w:numPr>
              <w:tabs>
                <w:tab w:val="num" w:pos="202"/>
                <w:tab w:val="num" w:pos="290"/>
                <w:tab w:val="left" w:pos="1490"/>
              </w:tabs>
              <w:spacing w:before="60" w:after="60"/>
              <w:ind w:left="290" w:hanging="290"/>
              <w:rPr>
                <w:snapToGrid w:val="0"/>
                <w:sz w:val="19"/>
                <w:szCs w:val="19"/>
              </w:rPr>
            </w:pPr>
            <w:r w:rsidRPr="00E07127">
              <w:rPr>
                <w:snapToGrid w:val="0"/>
                <w:sz w:val="19"/>
                <w:szCs w:val="19"/>
              </w:rPr>
              <w:t>forma i tryb zbycia</w:t>
            </w:r>
          </w:p>
        </w:tc>
        <w:tc>
          <w:tcPr>
            <w:tcW w:w="0" w:type="auto"/>
            <w:gridSpan w:val="2"/>
          </w:tcPr>
          <w:p w:rsidR="00FE361F" w:rsidRPr="00401F1F" w:rsidRDefault="00FE361F" w:rsidP="001144AE">
            <w:pPr>
              <w:spacing w:before="120"/>
              <w:jc w:val="both"/>
              <w:rPr>
                <w:sz w:val="19"/>
                <w:szCs w:val="19"/>
              </w:rPr>
            </w:pPr>
            <w:r w:rsidRPr="00401F1F">
              <w:rPr>
                <w:snapToGrid w:val="0"/>
                <w:sz w:val="19"/>
                <w:szCs w:val="19"/>
              </w:rPr>
              <w:t>Zbycie w trybie bezprzetargowym w drodze umowy zamiany zgodnie z art. 15 ustawy z dnia</w:t>
            </w:r>
            <w:r w:rsidRPr="00401F1F">
              <w:rPr>
                <w:sz w:val="19"/>
                <w:szCs w:val="19"/>
              </w:rPr>
              <w:t xml:space="preserve"> 21 sierpnia 1997 r. o gospodarce nieruchomościami (Dz. U. z 2018 r. poz. 2204 j.t. z późn. zm.).</w:t>
            </w:r>
          </w:p>
          <w:p w:rsidR="00FE361F" w:rsidRPr="00401F1F" w:rsidRDefault="00FE361F" w:rsidP="00401F1F">
            <w:pPr>
              <w:spacing w:before="120" w:line="276" w:lineRule="auto"/>
              <w:jc w:val="both"/>
              <w:rPr>
                <w:sz w:val="19"/>
                <w:szCs w:val="19"/>
              </w:rPr>
            </w:pPr>
            <w:r>
              <w:rPr>
                <w:sz w:val="19"/>
                <w:szCs w:val="19"/>
              </w:rPr>
              <w:t xml:space="preserve">Celem zamiany </w:t>
            </w:r>
            <w:r w:rsidRPr="00401F1F">
              <w:rPr>
                <w:sz w:val="19"/>
                <w:szCs w:val="19"/>
              </w:rPr>
              <w:t xml:space="preserve">nieruchomości jest ujednolicenie pola inwestycyjnego spółki </w:t>
            </w:r>
            <w:r>
              <w:rPr>
                <w:color w:val="000000"/>
                <w:sz w:val="19"/>
                <w:szCs w:val="19"/>
              </w:rPr>
              <w:t xml:space="preserve">BIMs Plus FHH </w:t>
            </w:r>
            <w:r w:rsidRPr="00E07127">
              <w:rPr>
                <w:color w:val="000000"/>
                <w:sz w:val="19"/>
                <w:szCs w:val="19"/>
              </w:rPr>
              <w:t>Sp. z o.o.</w:t>
            </w:r>
            <w:r>
              <w:rPr>
                <w:color w:val="000000"/>
                <w:sz w:val="19"/>
                <w:szCs w:val="19"/>
              </w:rPr>
              <w:t xml:space="preserve"> Poznań Sp. k.</w:t>
            </w:r>
            <w:r w:rsidRPr="00401F1F">
              <w:rPr>
                <w:sz w:val="19"/>
                <w:szCs w:val="19"/>
              </w:rPr>
              <w:t>, a tym samym poprawa warunków dla dalszego rozwoju spółki.</w:t>
            </w:r>
          </w:p>
          <w:p w:rsidR="00FE361F" w:rsidRPr="00401F1F" w:rsidRDefault="00FE361F" w:rsidP="001D4EE9">
            <w:pPr>
              <w:spacing w:before="120" w:line="276" w:lineRule="auto"/>
              <w:jc w:val="both"/>
              <w:rPr>
                <w:sz w:val="19"/>
                <w:szCs w:val="19"/>
              </w:rPr>
            </w:pPr>
            <w:r w:rsidRPr="00401F1F">
              <w:rPr>
                <w:sz w:val="19"/>
                <w:szCs w:val="19"/>
              </w:rPr>
              <w:t xml:space="preserve">W związku z tym, że ze strony Miasta przedmiotem zamiany jest nieruchomość stanowiąca drogę </w:t>
            </w:r>
            <w:r>
              <w:rPr>
                <w:sz w:val="19"/>
                <w:szCs w:val="19"/>
              </w:rPr>
              <w:t xml:space="preserve">gruntową, </w:t>
            </w:r>
            <w:r w:rsidRPr="00401F1F">
              <w:rPr>
                <w:sz w:val="19"/>
                <w:szCs w:val="19"/>
              </w:rPr>
              <w:t xml:space="preserve">dojazdową do działek położonych w bezpośrednim sąsiedztwie północno-zachodniej części lotniska Ławica, to </w:t>
            </w:r>
            <w:r>
              <w:rPr>
                <w:color w:val="000000"/>
                <w:sz w:val="19"/>
                <w:szCs w:val="19"/>
              </w:rPr>
              <w:t xml:space="preserve">BIMs Plus FHH </w:t>
            </w:r>
            <w:r w:rsidRPr="00E07127">
              <w:rPr>
                <w:color w:val="000000"/>
                <w:sz w:val="19"/>
                <w:szCs w:val="19"/>
              </w:rPr>
              <w:t>Sp. z o.o.</w:t>
            </w:r>
            <w:r>
              <w:rPr>
                <w:color w:val="000000"/>
                <w:sz w:val="19"/>
                <w:szCs w:val="19"/>
              </w:rPr>
              <w:t xml:space="preserve"> Poznań Sp. k.</w:t>
            </w:r>
            <w:r>
              <w:rPr>
                <w:sz w:val="19"/>
                <w:szCs w:val="19"/>
              </w:rPr>
              <w:t xml:space="preserve"> zobowiązane będzie </w:t>
            </w:r>
            <w:r w:rsidRPr="00401F1F">
              <w:rPr>
                <w:sz w:val="19"/>
                <w:szCs w:val="19"/>
              </w:rPr>
              <w:t xml:space="preserve">na nieruchomości przekazanej Miastu zrealizować na swój koszt ogólnodostępną drogę o parametrach </w:t>
            </w:r>
            <w:r>
              <w:rPr>
                <w:sz w:val="19"/>
                <w:szCs w:val="19"/>
              </w:rPr>
              <w:t xml:space="preserve">i standardzie wyższym od obecnie funkcjonującego dojazdu na warunkach </w:t>
            </w:r>
            <w:r w:rsidRPr="00401F1F">
              <w:rPr>
                <w:sz w:val="19"/>
                <w:szCs w:val="19"/>
              </w:rPr>
              <w:t xml:space="preserve">ustalonych z Zarządem Dróg Miejskich w Poznaniu.  </w:t>
            </w:r>
            <w:r w:rsidRPr="00E07127">
              <w:rPr>
                <w:color w:val="000000"/>
                <w:sz w:val="19"/>
                <w:szCs w:val="19"/>
              </w:rPr>
              <w:t xml:space="preserve"> </w:t>
            </w:r>
          </w:p>
        </w:tc>
      </w:tr>
      <w:tr w:rsidR="00FE361F">
        <w:tc>
          <w:tcPr>
            <w:tcW w:w="0" w:type="auto"/>
          </w:tcPr>
          <w:p w:rsidR="00FE361F" w:rsidRPr="00E07127" w:rsidRDefault="00FE361F" w:rsidP="001144AE">
            <w:pPr>
              <w:numPr>
                <w:ilvl w:val="0"/>
                <w:numId w:val="1"/>
              </w:numPr>
              <w:tabs>
                <w:tab w:val="num" w:pos="202"/>
                <w:tab w:val="num" w:pos="290"/>
                <w:tab w:val="left" w:pos="1490"/>
              </w:tabs>
              <w:spacing w:before="60" w:after="60"/>
              <w:ind w:left="290" w:hanging="290"/>
              <w:rPr>
                <w:snapToGrid w:val="0"/>
                <w:sz w:val="19"/>
                <w:szCs w:val="19"/>
              </w:rPr>
            </w:pPr>
            <w:r w:rsidRPr="00E07127">
              <w:rPr>
                <w:snapToGrid w:val="0"/>
                <w:sz w:val="19"/>
                <w:szCs w:val="19"/>
              </w:rPr>
              <w:t xml:space="preserve">cena nieruchomości  </w:t>
            </w:r>
          </w:p>
        </w:tc>
        <w:tc>
          <w:tcPr>
            <w:tcW w:w="0" w:type="auto"/>
          </w:tcPr>
          <w:p w:rsidR="00FE361F" w:rsidRDefault="00FE361F" w:rsidP="00FF61C2">
            <w:pPr>
              <w:spacing w:line="260" w:lineRule="exact"/>
              <w:jc w:val="both"/>
              <w:rPr>
                <w:color w:val="000000"/>
                <w:sz w:val="19"/>
                <w:szCs w:val="19"/>
              </w:rPr>
            </w:pPr>
            <w:r w:rsidRPr="00E07127">
              <w:rPr>
                <w:color w:val="000000"/>
                <w:sz w:val="19"/>
                <w:szCs w:val="19"/>
              </w:rPr>
              <w:t>C</w:t>
            </w:r>
            <w:r>
              <w:rPr>
                <w:color w:val="000000"/>
                <w:sz w:val="19"/>
                <w:szCs w:val="19"/>
              </w:rPr>
              <w:t xml:space="preserve">ena nieruchomości </w:t>
            </w:r>
            <w:r w:rsidRPr="00E07127">
              <w:rPr>
                <w:color w:val="000000"/>
                <w:sz w:val="19"/>
                <w:szCs w:val="19"/>
              </w:rPr>
              <w:t>zbywanej w drodze umowy zamiany</w:t>
            </w:r>
            <w:r>
              <w:rPr>
                <w:color w:val="000000"/>
                <w:sz w:val="19"/>
                <w:szCs w:val="19"/>
              </w:rPr>
              <w:t xml:space="preserve"> wynosi  </w:t>
            </w:r>
            <w:r w:rsidRPr="00401F1F">
              <w:rPr>
                <w:b/>
                <w:bCs/>
                <w:color w:val="000000"/>
                <w:sz w:val="19"/>
                <w:szCs w:val="19"/>
              </w:rPr>
              <w:t>221.278,00 zł</w:t>
            </w:r>
            <w:r w:rsidRPr="00E07127">
              <w:rPr>
                <w:color w:val="000000"/>
                <w:sz w:val="19"/>
                <w:szCs w:val="19"/>
              </w:rPr>
              <w:t xml:space="preserve"> (słownie</w:t>
            </w:r>
            <w:r>
              <w:rPr>
                <w:color w:val="000000"/>
                <w:sz w:val="19"/>
                <w:szCs w:val="19"/>
              </w:rPr>
              <w:t>:</w:t>
            </w:r>
            <w:r w:rsidRPr="00E07127">
              <w:rPr>
                <w:color w:val="000000"/>
                <w:sz w:val="19"/>
                <w:szCs w:val="19"/>
              </w:rPr>
              <w:t xml:space="preserve"> </w:t>
            </w:r>
            <w:r>
              <w:rPr>
                <w:color w:val="000000"/>
                <w:sz w:val="19"/>
                <w:szCs w:val="19"/>
              </w:rPr>
              <w:t xml:space="preserve">dwieście dwadzieścia jeden tysięcy dwieście siedemdziesiąt osiem złotych </w:t>
            </w:r>
            <w:r w:rsidRPr="00E07127">
              <w:rPr>
                <w:color w:val="000000"/>
                <w:sz w:val="19"/>
                <w:szCs w:val="19"/>
              </w:rPr>
              <w:t>00/100)</w:t>
            </w:r>
            <w:r>
              <w:rPr>
                <w:color w:val="000000"/>
                <w:sz w:val="19"/>
                <w:szCs w:val="19"/>
              </w:rPr>
              <w:t xml:space="preserve"> brutto.</w:t>
            </w:r>
          </w:p>
          <w:p w:rsidR="00FE361F" w:rsidRPr="00E07127" w:rsidRDefault="00FE361F" w:rsidP="00FF61C2">
            <w:pPr>
              <w:spacing w:line="260" w:lineRule="exact"/>
              <w:jc w:val="both"/>
              <w:rPr>
                <w:color w:val="000000"/>
                <w:sz w:val="19"/>
                <w:szCs w:val="19"/>
              </w:rPr>
            </w:pPr>
          </w:p>
        </w:tc>
        <w:tc>
          <w:tcPr>
            <w:tcW w:w="0" w:type="auto"/>
          </w:tcPr>
          <w:p w:rsidR="00FE361F" w:rsidRDefault="00FE361F" w:rsidP="00221514">
            <w:pPr>
              <w:pStyle w:val="Heading2"/>
              <w:spacing w:line="240" w:lineRule="auto"/>
              <w:ind w:left="0" w:right="-650" w:firstLine="0"/>
              <w:jc w:val="both"/>
              <w:rPr>
                <w:rFonts w:ascii="Times New Roman" w:hAnsi="Times New Roman" w:cs="Times New Roman"/>
                <w:b w:val="0"/>
                <w:bCs w:val="0"/>
                <w:i w:val="0"/>
                <w:iCs w:val="0"/>
                <w:snapToGrid w:val="0"/>
                <w:sz w:val="19"/>
                <w:szCs w:val="19"/>
              </w:rPr>
            </w:pPr>
            <w:r w:rsidRPr="00E07127">
              <w:rPr>
                <w:rFonts w:ascii="Times New Roman" w:hAnsi="Times New Roman" w:cs="Times New Roman"/>
                <w:b w:val="0"/>
                <w:bCs w:val="0"/>
                <w:i w:val="0"/>
                <w:iCs w:val="0"/>
                <w:snapToGrid w:val="0"/>
                <w:sz w:val="19"/>
                <w:szCs w:val="19"/>
              </w:rPr>
              <w:t xml:space="preserve">Cena </w:t>
            </w:r>
            <w:r>
              <w:rPr>
                <w:rFonts w:ascii="Times New Roman" w:hAnsi="Times New Roman" w:cs="Times New Roman"/>
                <w:b w:val="0"/>
                <w:bCs w:val="0"/>
                <w:i w:val="0"/>
                <w:iCs w:val="0"/>
                <w:snapToGrid w:val="0"/>
                <w:sz w:val="19"/>
                <w:szCs w:val="19"/>
              </w:rPr>
              <w:t xml:space="preserve"> </w:t>
            </w:r>
            <w:r w:rsidRPr="00E07127">
              <w:rPr>
                <w:rFonts w:ascii="Times New Roman" w:hAnsi="Times New Roman" w:cs="Times New Roman"/>
                <w:b w:val="0"/>
                <w:bCs w:val="0"/>
                <w:i w:val="0"/>
                <w:iCs w:val="0"/>
                <w:snapToGrid w:val="0"/>
                <w:sz w:val="19"/>
                <w:szCs w:val="19"/>
              </w:rPr>
              <w:t xml:space="preserve">łączna </w:t>
            </w:r>
            <w:r>
              <w:rPr>
                <w:rFonts w:ascii="Times New Roman" w:hAnsi="Times New Roman" w:cs="Times New Roman"/>
                <w:b w:val="0"/>
                <w:bCs w:val="0"/>
                <w:i w:val="0"/>
                <w:iCs w:val="0"/>
                <w:snapToGrid w:val="0"/>
                <w:sz w:val="19"/>
                <w:szCs w:val="19"/>
              </w:rPr>
              <w:t xml:space="preserve"> </w:t>
            </w:r>
            <w:r w:rsidRPr="00E07127">
              <w:rPr>
                <w:rFonts w:ascii="Times New Roman" w:hAnsi="Times New Roman" w:cs="Times New Roman"/>
                <w:b w:val="0"/>
                <w:bCs w:val="0"/>
                <w:i w:val="0"/>
                <w:iCs w:val="0"/>
                <w:snapToGrid w:val="0"/>
                <w:sz w:val="19"/>
                <w:szCs w:val="19"/>
              </w:rPr>
              <w:t>działek</w:t>
            </w:r>
            <w:r>
              <w:rPr>
                <w:rFonts w:ascii="Times New Roman" w:hAnsi="Times New Roman" w:cs="Times New Roman"/>
                <w:b w:val="0"/>
                <w:bCs w:val="0"/>
                <w:i w:val="0"/>
                <w:iCs w:val="0"/>
                <w:snapToGrid w:val="0"/>
                <w:sz w:val="19"/>
                <w:szCs w:val="19"/>
              </w:rPr>
              <w:t xml:space="preserve">,  prawa  użytkowania  wieczystego  i  udziału  w  prawie </w:t>
            </w:r>
          </w:p>
          <w:p w:rsidR="00FE361F" w:rsidRDefault="00FE361F" w:rsidP="00221514">
            <w:pPr>
              <w:pStyle w:val="Heading2"/>
              <w:spacing w:line="240" w:lineRule="auto"/>
              <w:ind w:left="0" w:right="-650" w:firstLine="0"/>
              <w:jc w:val="both"/>
              <w:rPr>
                <w:rFonts w:ascii="Times New Roman" w:hAnsi="Times New Roman" w:cs="Times New Roman"/>
                <w:b w:val="0"/>
                <w:bCs w:val="0"/>
                <w:i w:val="0"/>
                <w:iCs w:val="0"/>
                <w:color w:val="000000"/>
                <w:sz w:val="19"/>
                <w:szCs w:val="19"/>
              </w:rPr>
            </w:pPr>
            <w:r>
              <w:rPr>
                <w:rFonts w:ascii="Times New Roman" w:hAnsi="Times New Roman" w:cs="Times New Roman"/>
                <w:b w:val="0"/>
                <w:bCs w:val="0"/>
                <w:i w:val="0"/>
                <w:iCs w:val="0"/>
                <w:snapToGrid w:val="0"/>
                <w:sz w:val="19"/>
                <w:szCs w:val="19"/>
              </w:rPr>
              <w:t xml:space="preserve">użytkowania   wieczystego   nieruchomości  </w:t>
            </w:r>
            <w:r w:rsidRPr="00E07127">
              <w:rPr>
                <w:rFonts w:ascii="Times New Roman" w:hAnsi="Times New Roman" w:cs="Times New Roman"/>
                <w:b w:val="0"/>
                <w:bCs w:val="0"/>
                <w:i w:val="0"/>
                <w:iCs w:val="0"/>
                <w:snapToGrid w:val="0"/>
                <w:sz w:val="19"/>
                <w:szCs w:val="19"/>
              </w:rPr>
              <w:t xml:space="preserve">wynosi </w:t>
            </w:r>
            <w:r>
              <w:rPr>
                <w:rFonts w:ascii="Times New Roman" w:hAnsi="Times New Roman" w:cs="Times New Roman"/>
                <w:b w:val="0"/>
                <w:bCs w:val="0"/>
                <w:i w:val="0"/>
                <w:iCs w:val="0"/>
                <w:snapToGrid w:val="0"/>
                <w:sz w:val="19"/>
                <w:szCs w:val="19"/>
              </w:rPr>
              <w:t xml:space="preserve"> </w:t>
            </w:r>
            <w:r w:rsidRPr="00401F1F">
              <w:rPr>
                <w:rFonts w:ascii="Times New Roman" w:hAnsi="Times New Roman" w:cs="Times New Roman"/>
                <w:i w:val="0"/>
                <w:iCs w:val="0"/>
                <w:color w:val="000000"/>
                <w:sz w:val="19"/>
                <w:szCs w:val="19"/>
              </w:rPr>
              <w:t>221.278,00  zł</w:t>
            </w:r>
            <w:r w:rsidRPr="00221514">
              <w:rPr>
                <w:rFonts w:ascii="Times New Roman" w:hAnsi="Times New Roman" w:cs="Times New Roman"/>
                <w:b w:val="0"/>
                <w:bCs w:val="0"/>
                <w:i w:val="0"/>
                <w:iCs w:val="0"/>
                <w:color w:val="000000"/>
                <w:sz w:val="19"/>
                <w:szCs w:val="19"/>
              </w:rPr>
              <w:t xml:space="preserve">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(słownie: </w:t>
            </w:r>
          </w:p>
          <w:p w:rsidR="00FE361F" w:rsidRDefault="00FE361F" w:rsidP="00221514">
            <w:pPr>
              <w:pStyle w:val="Heading2"/>
              <w:spacing w:line="240" w:lineRule="auto"/>
              <w:ind w:left="0" w:right="-650" w:firstLine="0"/>
              <w:jc w:val="both"/>
              <w:rPr>
                <w:rFonts w:ascii="Times New Roman" w:hAnsi="Times New Roman" w:cs="Times New Roman"/>
                <w:b w:val="0"/>
                <w:bCs w:val="0"/>
                <w:i w:val="0"/>
                <w:iCs w:val="0"/>
                <w:color w:val="000000"/>
                <w:sz w:val="19"/>
                <w:szCs w:val="19"/>
              </w:rPr>
            </w:pPr>
            <w:r w:rsidRPr="00221514">
              <w:rPr>
                <w:rFonts w:ascii="Times New Roman" w:hAnsi="Times New Roman" w:cs="Times New Roman"/>
                <w:b w:val="0"/>
                <w:bCs w:val="0"/>
                <w:i w:val="0"/>
                <w:iCs w:val="0"/>
                <w:color w:val="000000"/>
                <w:sz w:val="19"/>
                <w:szCs w:val="19"/>
              </w:rPr>
              <w:t xml:space="preserve">dwieście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dwadzieścia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jeden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tysięcy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dwieście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siedemdziesiąt </w:t>
            </w:r>
            <w:r>
              <w:rPr>
                <w:rFonts w:ascii="Times New Roman" w:hAnsi="Times New Roman" w:cs="Times New Roman"/>
                <w:b w:val="0"/>
                <w:bCs w:val="0"/>
                <w:i w:val="0"/>
                <w:iCs w:val="0"/>
                <w:color w:val="000000"/>
                <w:sz w:val="19"/>
                <w:szCs w:val="19"/>
              </w:rPr>
              <w:t xml:space="preserve"> </w:t>
            </w:r>
            <w:r w:rsidRPr="00221514">
              <w:rPr>
                <w:rFonts w:ascii="Times New Roman" w:hAnsi="Times New Roman" w:cs="Times New Roman"/>
                <w:b w:val="0"/>
                <w:bCs w:val="0"/>
                <w:i w:val="0"/>
                <w:iCs w:val="0"/>
                <w:color w:val="000000"/>
                <w:sz w:val="19"/>
                <w:szCs w:val="19"/>
              </w:rPr>
              <w:t xml:space="preserve">osiem złotych </w:t>
            </w:r>
          </w:p>
          <w:p w:rsidR="00FE361F" w:rsidRPr="00221514" w:rsidRDefault="00FE361F" w:rsidP="00221514">
            <w:pPr>
              <w:pStyle w:val="Heading2"/>
              <w:spacing w:line="240" w:lineRule="auto"/>
              <w:ind w:left="0" w:right="-650" w:firstLine="0"/>
              <w:jc w:val="both"/>
              <w:rPr>
                <w:rFonts w:ascii="Times New Roman" w:hAnsi="Times New Roman" w:cs="Times New Roman"/>
                <w:b w:val="0"/>
                <w:bCs w:val="0"/>
                <w:i w:val="0"/>
                <w:iCs w:val="0"/>
                <w:color w:val="000000"/>
                <w:sz w:val="19"/>
                <w:szCs w:val="19"/>
              </w:rPr>
            </w:pPr>
            <w:r w:rsidRPr="00221514">
              <w:rPr>
                <w:rFonts w:ascii="Times New Roman" w:hAnsi="Times New Roman" w:cs="Times New Roman"/>
                <w:b w:val="0"/>
                <w:bCs w:val="0"/>
                <w:i w:val="0"/>
                <w:iCs w:val="0"/>
                <w:color w:val="000000"/>
                <w:sz w:val="19"/>
                <w:szCs w:val="19"/>
              </w:rPr>
              <w:t>00/100) brutto.</w:t>
            </w:r>
          </w:p>
          <w:p w:rsidR="00FE361F" w:rsidRPr="00E07127" w:rsidRDefault="00FE361F" w:rsidP="001144AE">
            <w:pPr>
              <w:pStyle w:val="Heading2"/>
              <w:spacing w:line="240" w:lineRule="auto"/>
              <w:ind w:left="0" w:right="-650" w:firstLine="0"/>
              <w:rPr>
                <w:rFonts w:ascii="Times New Roman" w:hAnsi="Times New Roman" w:cs="Times New Roman"/>
                <w:b w:val="0"/>
                <w:bCs w:val="0"/>
                <w:i w:val="0"/>
                <w:iCs w:val="0"/>
                <w:spacing w:val="-6"/>
                <w:sz w:val="19"/>
                <w:szCs w:val="19"/>
              </w:rPr>
            </w:pPr>
          </w:p>
        </w:tc>
      </w:tr>
    </w:tbl>
    <w:p w:rsidR="00FE361F" w:rsidRDefault="00FE361F"/>
    <w:sectPr w:rsidR="00FE361F" w:rsidSect="00267D66">
      <w:pgSz w:w="16838" w:h="11906" w:orient="landscape"/>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6DA2"/>
    <w:multiLevelType w:val="hybridMultilevel"/>
    <w:tmpl w:val="ED02F462"/>
    <w:lvl w:ilvl="0" w:tplc="0B12F4C8">
      <w:start w:val="1"/>
      <w:numFmt w:val="upperRoman"/>
      <w:lvlText w:val="%1."/>
      <w:lvlJc w:val="left"/>
      <w:pPr>
        <w:ind w:left="1080" w:hanging="720"/>
      </w:pPr>
      <w:rPr>
        <w:rFonts w:ascii="Times New Roman" w:eastAsia="Times New Roman" w:hAnsi="Times New Roman" w:cs="Times New Roman"/>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87375D9"/>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efaultTabStop w:val="708"/>
  <w:hyphenationZone w:val="425"/>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A52"/>
    <w:rsid w:val="000A7659"/>
    <w:rsid w:val="001144AE"/>
    <w:rsid w:val="00144233"/>
    <w:rsid w:val="00171105"/>
    <w:rsid w:val="00175479"/>
    <w:rsid w:val="001967A4"/>
    <w:rsid w:val="001D4EE9"/>
    <w:rsid w:val="001E0ED5"/>
    <w:rsid w:val="00221514"/>
    <w:rsid w:val="00223B34"/>
    <w:rsid w:val="00242E4B"/>
    <w:rsid w:val="00267D66"/>
    <w:rsid w:val="00390DDA"/>
    <w:rsid w:val="0039342E"/>
    <w:rsid w:val="003A0324"/>
    <w:rsid w:val="003B47E0"/>
    <w:rsid w:val="003E1FE5"/>
    <w:rsid w:val="00401F1F"/>
    <w:rsid w:val="004731F4"/>
    <w:rsid w:val="004D797A"/>
    <w:rsid w:val="004E3A55"/>
    <w:rsid w:val="00523706"/>
    <w:rsid w:val="00552498"/>
    <w:rsid w:val="005A3C39"/>
    <w:rsid w:val="00641C54"/>
    <w:rsid w:val="00654019"/>
    <w:rsid w:val="00667A52"/>
    <w:rsid w:val="006A2357"/>
    <w:rsid w:val="00752321"/>
    <w:rsid w:val="00752FCE"/>
    <w:rsid w:val="00796F32"/>
    <w:rsid w:val="007A269D"/>
    <w:rsid w:val="007B78A4"/>
    <w:rsid w:val="00853CA0"/>
    <w:rsid w:val="008D2DEC"/>
    <w:rsid w:val="00904507"/>
    <w:rsid w:val="009645F2"/>
    <w:rsid w:val="00A869CA"/>
    <w:rsid w:val="00AB4DCB"/>
    <w:rsid w:val="00B950A4"/>
    <w:rsid w:val="00BA2CBD"/>
    <w:rsid w:val="00BE149D"/>
    <w:rsid w:val="00BE5103"/>
    <w:rsid w:val="00BE6991"/>
    <w:rsid w:val="00C55BAC"/>
    <w:rsid w:val="00C607C9"/>
    <w:rsid w:val="00D118CF"/>
    <w:rsid w:val="00D225B6"/>
    <w:rsid w:val="00D408A4"/>
    <w:rsid w:val="00D77C0D"/>
    <w:rsid w:val="00D8222C"/>
    <w:rsid w:val="00DA2956"/>
    <w:rsid w:val="00DA6EB3"/>
    <w:rsid w:val="00E014FB"/>
    <w:rsid w:val="00E05A7A"/>
    <w:rsid w:val="00E07127"/>
    <w:rsid w:val="00E65203"/>
    <w:rsid w:val="00E709C6"/>
    <w:rsid w:val="00E97B85"/>
    <w:rsid w:val="00EC5547"/>
    <w:rsid w:val="00EE74DD"/>
    <w:rsid w:val="00F53E0C"/>
    <w:rsid w:val="00F60325"/>
    <w:rsid w:val="00FB5D6F"/>
    <w:rsid w:val="00FE361F"/>
    <w:rsid w:val="00FF61C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52"/>
    <w:rPr>
      <w:rFonts w:ascii="Times New Roman" w:eastAsia="Times New Roman" w:hAnsi="Times New Roman"/>
      <w:sz w:val="24"/>
      <w:szCs w:val="24"/>
    </w:rPr>
  </w:style>
  <w:style w:type="paragraph" w:styleId="Heading1">
    <w:name w:val="heading 1"/>
    <w:basedOn w:val="Normal"/>
    <w:next w:val="Normal"/>
    <w:link w:val="Heading1Char"/>
    <w:uiPriority w:val="99"/>
    <w:qFormat/>
    <w:rsid w:val="00667A52"/>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667A52"/>
    <w:pPr>
      <w:keepNext/>
      <w:snapToGrid w:val="0"/>
      <w:spacing w:line="360" w:lineRule="auto"/>
      <w:ind w:left="4248" w:firstLine="708"/>
      <w:outlineLvl w:val="1"/>
    </w:pPr>
    <w:rPr>
      <w:rFonts w:ascii="Arial" w:hAnsi="Arial" w:cs="Arial"/>
      <w:b/>
      <w:bCs/>
      <w:i/>
      <w:iCs/>
      <w:noProof/>
      <w:sz w:val="20"/>
      <w:szCs w:val="20"/>
    </w:rPr>
  </w:style>
  <w:style w:type="paragraph" w:styleId="Heading3">
    <w:name w:val="heading 3"/>
    <w:basedOn w:val="Normal"/>
    <w:next w:val="Normal"/>
    <w:link w:val="Heading3Char"/>
    <w:uiPriority w:val="99"/>
    <w:qFormat/>
    <w:rsid w:val="00667A52"/>
    <w:pPr>
      <w:keepNext/>
      <w:snapToGrid w:val="0"/>
      <w:jc w:val="center"/>
      <w:outlineLvl w:val="2"/>
    </w:pPr>
    <w:rPr>
      <w:rFonts w:ascii="Arial" w:hAnsi="Arial" w:cs="Arial"/>
      <w:b/>
      <w:bCs/>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A52"/>
    <w:rPr>
      <w:rFonts w:ascii="Arial" w:hAnsi="Arial" w:cs="Arial"/>
      <w:b/>
      <w:bCs/>
      <w:sz w:val="28"/>
      <w:szCs w:val="28"/>
      <w:lang w:eastAsia="pl-PL"/>
    </w:rPr>
  </w:style>
  <w:style w:type="character" w:customStyle="1" w:styleId="Heading2Char">
    <w:name w:val="Heading 2 Char"/>
    <w:basedOn w:val="DefaultParagraphFont"/>
    <w:link w:val="Heading2"/>
    <w:uiPriority w:val="99"/>
    <w:locked/>
    <w:rsid w:val="00667A52"/>
    <w:rPr>
      <w:rFonts w:ascii="Arial" w:hAnsi="Arial" w:cs="Arial"/>
      <w:b/>
      <w:bCs/>
      <w:i/>
      <w:iCs/>
      <w:noProof/>
      <w:sz w:val="20"/>
      <w:szCs w:val="20"/>
      <w:lang w:eastAsia="pl-PL"/>
    </w:rPr>
  </w:style>
  <w:style w:type="character" w:customStyle="1" w:styleId="Heading3Char">
    <w:name w:val="Heading 3 Char"/>
    <w:basedOn w:val="DefaultParagraphFont"/>
    <w:link w:val="Heading3"/>
    <w:uiPriority w:val="99"/>
    <w:locked/>
    <w:rsid w:val="00667A52"/>
    <w:rPr>
      <w:rFonts w:ascii="Arial" w:hAnsi="Arial" w:cs="Arial"/>
      <w:b/>
      <w:bCs/>
      <w:i/>
      <w:iCs/>
      <w:lang w:eastAsia="pl-PL"/>
    </w:rPr>
  </w:style>
  <w:style w:type="paragraph" w:styleId="BodyText3">
    <w:name w:val="Body Text 3"/>
    <w:basedOn w:val="Normal"/>
    <w:link w:val="BodyText3Char"/>
    <w:uiPriority w:val="99"/>
    <w:rsid w:val="00667A52"/>
    <w:pPr>
      <w:snapToGrid w:val="0"/>
      <w:spacing w:before="120"/>
      <w:jc w:val="both"/>
    </w:pPr>
    <w:rPr>
      <w:rFonts w:ascii="Arial" w:hAnsi="Arial" w:cs="Arial"/>
      <w:noProof/>
      <w:sz w:val="20"/>
      <w:szCs w:val="20"/>
    </w:rPr>
  </w:style>
  <w:style w:type="character" w:customStyle="1" w:styleId="BodyText3Char">
    <w:name w:val="Body Text 3 Char"/>
    <w:basedOn w:val="DefaultParagraphFont"/>
    <w:link w:val="BodyText3"/>
    <w:uiPriority w:val="99"/>
    <w:locked/>
    <w:rsid w:val="00667A52"/>
    <w:rPr>
      <w:rFonts w:ascii="Arial" w:hAnsi="Arial" w:cs="Arial"/>
      <w:noProof/>
      <w:sz w:val="20"/>
      <w:szCs w:val="20"/>
      <w:lang w:eastAsia="pl-PL"/>
    </w:rPr>
  </w:style>
  <w:style w:type="paragraph" w:styleId="BodyText">
    <w:name w:val="Body Text"/>
    <w:basedOn w:val="Normal"/>
    <w:link w:val="BodyTextChar"/>
    <w:uiPriority w:val="99"/>
    <w:rsid w:val="00667A52"/>
    <w:pPr>
      <w:autoSpaceDE w:val="0"/>
      <w:autoSpaceDN w:val="0"/>
      <w:adjustRightInd w:val="0"/>
      <w:spacing w:after="60"/>
      <w:jc w:val="both"/>
    </w:pPr>
    <w:rPr>
      <w:color w:val="000000"/>
      <w:sz w:val="20"/>
      <w:szCs w:val="20"/>
    </w:rPr>
  </w:style>
  <w:style w:type="character" w:customStyle="1" w:styleId="BodyTextChar">
    <w:name w:val="Body Text Char"/>
    <w:basedOn w:val="DefaultParagraphFont"/>
    <w:link w:val="BodyText"/>
    <w:uiPriority w:val="99"/>
    <w:locked/>
    <w:rsid w:val="00667A52"/>
    <w:rPr>
      <w:rFonts w:ascii="Times New Roman" w:hAnsi="Times New Roman" w:cs="Times New Roman"/>
      <w:color w:val="000000"/>
      <w:sz w:val="20"/>
      <w:szCs w:val="20"/>
      <w:lang w:eastAsia="pl-PL"/>
    </w:rPr>
  </w:style>
  <w:style w:type="paragraph" w:styleId="ListParagraph">
    <w:name w:val="List Paragraph"/>
    <w:basedOn w:val="Normal"/>
    <w:uiPriority w:val="99"/>
    <w:qFormat/>
    <w:rsid w:val="00667A52"/>
    <w:pPr>
      <w:ind w:left="720"/>
      <w:contextualSpacing/>
    </w:pPr>
  </w:style>
  <w:style w:type="paragraph" w:styleId="BalloonText">
    <w:name w:val="Balloon Text"/>
    <w:basedOn w:val="Normal"/>
    <w:link w:val="BalloonTextChar"/>
    <w:uiPriority w:val="99"/>
    <w:semiHidden/>
    <w:rsid w:val="006A2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4D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2</Pages>
  <Words>770</Words>
  <Characters>4621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/2019/P</dc:title>
  <dc:subject/>
  <dc:creator>macwoj</dc:creator>
  <cp:keywords/>
  <dc:description/>
  <cp:lastModifiedBy>marant</cp:lastModifiedBy>
  <cp:revision>10</cp:revision>
  <dcterms:created xsi:type="dcterms:W3CDTF">2019-06-03T07:11:00Z</dcterms:created>
  <dcterms:modified xsi:type="dcterms:W3CDTF">2019-06-19T11:29:00Z</dcterms:modified>
</cp:coreProperties>
</file>