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4B2E">
          <w:t>707/2019/P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4B2E">
        <w:rPr>
          <w:b/>
          <w:sz w:val="28"/>
        </w:rPr>
        <w:fldChar w:fldCharType="separate"/>
      </w:r>
      <w:r w:rsidR="00CD4B2E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4B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4B2E">
              <w:rPr>
                <w:b/>
                <w:sz w:val="24"/>
                <w:szCs w:val="24"/>
              </w:rPr>
              <w:fldChar w:fldCharType="separate"/>
            </w:r>
            <w:r w:rsidR="00CD4B2E">
              <w:rPr>
                <w:b/>
                <w:sz w:val="24"/>
                <w:szCs w:val="24"/>
              </w:rPr>
              <w:t>przekazania na stan majątkowy Zespołu Szkół Ekonomicznych im. Stanisława Staszica w Poznaniu, ul. Marszałkowska 40, 60-327 Poznań, środków trwałych dydaktycznych, zakupionych w ramach projektu pod nazwą: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4B2E" w:rsidP="00CD4B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4B2E">
        <w:rPr>
          <w:color w:val="000000"/>
          <w:sz w:val="24"/>
          <w:szCs w:val="24"/>
        </w:rPr>
        <w:t>Na podstawie art. 30 ust. 2 pkt 3 ustawy z dnia 8 marca 1990 r. o samorządzie gminnym (Dz. U. z 2019 r. poz. 506 ze zm.), zarządza się, co następuje:</w:t>
      </w:r>
    </w:p>
    <w:p w:rsidR="00CD4B2E" w:rsidRDefault="00CD4B2E" w:rsidP="00CD4B2E">
      <w:pPr>
        <w:spacing w:line="360" w:lineRule="auto"/>
        <w:jc w:val="both"/>
        <w:rPr>
          <w:sz w:val="24"/>
        </w:rPr>
      </w:pPr>
    </w:p>
    <w:p w:rsidR="00CD4B2E" w:rsidRDefault="00CD4B2E" w:rsidP="00CD4B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4B2E" w:rsidRDefault="00CD4B2E" w:rsidP="00CD4B2E">
      <w:pPr>
        <w:keepNext/>
        <w:spacing w:line="360" w:lineRule="auto"/>
        <w:rPr>
          <w:color w:val="000000"/>
          <w:sz w:val="24"/>
        </w:rPr>
      </w:pP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4B2E">
        <w:rPr>
          <w:color w:val="000000"/>
          <w:sz w:val="24"/>
          <w:szCs w:val="24"/>
        </w:rPr>
        <w:t>Przekazuje się na stan majątkowy Zespołu Szkół Ekonomicznych im. Stanisława Staszica w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Poznaniu, ul. Marszałkowska 40, 60-327 Poznań, środki trwałe o przeznaczeniu dydaktycznym o łącznej wartości 823 447,92 zł, zakupione w ramach projektu pod nazwą: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1) zestaw komputerowy typu PC DELL Precision 5820 TOWER W-2125/16GB/1TB/P400_8GB/DVD/W10P/3YNBD (16 szt.) + monitor Eizo 24 I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CS2420 (16 szt.) + oprogramowanie Microsoft OfficeProPlus 2019 SNGL OLP NL Acdmc (16 szt.) + program do przetwarzania grafiki wektorowej dla 16 stanowisk, wersja edukacyjna (licencja) – Corel Draw Graphics Suite 2017 PL Win (16 szt.) – 251 030,08 zł;</w:t>
      </w:r>
    </w:p>
    <w:p w:rsidR="00CD4B2E" w:rsidRPr="00314D3D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14D3D">
        <w:rPr>
          <w:color w:val="000000"/>
          <w:sz w:val="24"/>
          <w:szCs w:val="24"/>
          <w:lang w:val="en-US"/>
        </w:rPr>
        <w:lastRenderedPageBreak/>
        <w:t>2) program do przetwarzania grafiki rastrowej Adobe Creative Cloud for Teams School Site Device License (16 szt.) – 10 745,28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3) program do składu i publikacji książek (licencja) Adobe Idesign CC for teams EDU (16 szt.) – 14 346,72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4) program do projektowania grafiki trójwymiarowej (licencja) Adobe Creative Cloud for Teams School Site Device License 3DS MAX EDU (16 szt.) – 12 614,88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5) drukarka HP DesignJet T830 36" MFP (1 szt.) – 26 923,47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6) kamera Panasonic HC-VXF990 4K + karta + torba + zestaw do czyszczenia (1 szt.) –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4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858,50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7) zestaw fotograficzny: aparat NIKON D5300 Body + karta + torba + zestaw czyszczący (1 szt.); obiektyw Sigma Digital CC – Nikon (1 szt.); lampa błyskowa NIKON SB-700 (1 szt.); tło fotograficzne – system zawieszenia + 4 tła Free Power 2,7 x 5 m (1 szt.) –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6 905,22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8) zestaw komputerowy: serwer DELL POWEREDGE T330 E3-1220 v5/8GB/2x1TB/DVD/KL/M/WIN10P/3YNBD (16 szt.); monitor DELL 24" U2415 (16 szt.); oprogramowanie Microsoft OfficeProPlus 2019 SNGL OLP NL Acdmc (16 szt.); lutownica transformatorowa 100W z akcesoriami (16 szt.) – 215 504,48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9) szafa stojąca rack Linkbasic 19" 22U 600 x 800 mm czarna, drzwi przednie szklane (2 szt.) – 2 801,94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10) zestaw urządzeń sieciowych: switch Cisco Catalyst 2960 Plus + router Cisco RV130W-EK9-G5 (15 szt.) – 37 500,00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11) zestaw urządzeń sieciowych: router Cisco 2901 + router Cisco RV130W (6 szt.) – 47 628,00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12) zestaw komputerowy: jednostka centralna typu komputer PC i5-740/4GB/500GB/W10/ + monitor iiyama T2235MCS-BI 22" (1 szt.) – 10 440,00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13) zestaw oprogramowania: program do zarządzania pracownią z komputera i tabletu Mentor Navigator PC2 Practice (1 szt.); oprogramowanie magnetofonu cyfrowego –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Mentor Recorder PRC-MC (1 szt.) – 1 958,78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14) zestaw: przyłącza stanowisk uczniowskich + okablowanie + głośnik do zabudowy w</w:t>
      </w:r>
      <w:r w:rsidR="00314D3D">
        <w:rPr>
          <w:color w:val="000000"/>
          <w:sz w:val="24"/>
          <w:szCs w:val="24"/>
        </w:rPr>
        <w:t> </w:t>
      </w:r>
      <w:r w:rsidRPr="00CD4B2E">
        <w:rPr>
          <w:color w:val="000000"/>
          <w:sz w:val="24"/>
          <w:szCs w:val="24"/>
        </w:rPr>
        <w:t>biurku (1 szt.) – 1 860,38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15) stolik ucznia 2-osobowy Mentor Fala Perfekt (8 szt.) – 4 920,00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16) krzesło Entelo Dobre Krzesło Clasic Blue (16 szt.) – 2 779,80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17) biurko nauczyciela Mentor Fala Perfekt (1 szt.) – 999,38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18) krzesło obrotowe dla nauczyciela, rozmiar 6, Twist Dobre Krzesło (1 szt.) – 338,25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lastRenderedPageBreak/>
        <w:t>19) zestaw: tablica interaktywna Dual Board 1279 (1 szt.); oprogramowanie do tablicy interaktywnej do języka angielskiego – Gateway plus 4 (B2) (1 szt.) – 3 793,32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20) kurs multimedialny Business English – komplet, multimedialny kurs języka angielskiego, dla biznesu, SuperMemo (4 szt.) – 2 735,52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21) tablica biała suchościeralna na stojaku obrotowa, 2 x 3, 170 x 100 cm ceramiczna (4 szt.) – 1 367,76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22) projektor multimedialny, krótkoogniskowy z dedykowalnym uchwytem, Canon PJ LV-X310ST DLP/XGA/3100/10000 (1 szt.) – 2 894,19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23) komputer stacjonarny z systemem operacyjnym typu komputer PC DELL OPTIPLEX 5060 i3-8100/8GB/128GB/W10/3YNBD (1 szt.) – 3 843,00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24) zestaw multimedialny: notebook Dell Latitude 5590 15,6" FHD i5-83550U/8GB/500GB/W10P/3Y z napędem DVD DW316 (17 szt.); rozszerzenie gwarancji do 5 lat Dell Latitude 3YrNBD&gt;5YrNBD; pakiet programów biurowych (licencja) Microsoft OfficeProPlus 2019 SNGL OLP NL Acdmc (17 szt.); słuchawki Mentor BL-888 z mikrofonem (17 szt.) – 85 396,44 zł, w tym VAT odwrócony 14 236,31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25) oprogramowanie do zarządzania klasą NetSupport School – zestaw 17 licencji (17 szt.) – 1 568,25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26) urządzenie wielofunkcyjne XEROX WORKCENTRE6515DN (1 szt.) – 2 337,00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27) zestaw oprogramowania do nauki języka angielskiego: pakiet edukacyjny SuperMemo Olive Green, poziomy A1-C1 (17 szt.) – 11 625,96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28) zestaw oprogramowania do nauki języka niemieckiego: pakiet edukacyjny Profesor Henry 6.0 megapakiet (8 x CD + książka) (17 szt.); pakiet edukacyjny SuperMemo Niemiecki Kein Problem! (wszystkie poziomy) + Fotokurs OK! Deutsch (17 szt.); pakiet edukacyjny Profesor Klaus kurs intensywny (17 szt.); zestaw programów edukacyjnych: Nauka słówek niemieckich dla początkujących Extremes Deutsch, podstawowy i średni + Extremes Deutsch zaawansowany i biegły + Niemieckie słownictwo Extremes Deutsch ze słownikiem (17 szt.) – 26 179,32 zł;</w:t>
      </w:r>
    </w:p>
    <w:p w:rsidR="00CD4B2E" w:rsidRPr="00CD4B2E" w:rsidRDefault="00CD4B2E" w:rsidP="00CD4B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29) okablowanie sieciowe sali wg specyfikacji SIWZ, poz. 46 (1 szt.) – 24 600,00 zł;</w:t>
      </w:r>
    </w:p>
    <w:p w:rsidR="00CD4B2E" w:rsidRDefault="00CD4B2E" w:rsidP="00CD4B2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4B2E">
        <w:rPr>
          <w:color w:val="000000"/>
          <w:sz w:val="24"/>
          <w:szCs w:val="24"/>
        </w:rPr>
        <w:t>30) mobilna szafa na laptopy Bakpol (1 szt.) – 2 952,00 zł.</w:t>
      </w:r>
    </w:p>
    <w:p w:rsidR="00CD4B2E" w:rsidRDefault="00CD4B2E" w:rsidP="00CD4B2E">
      <w:pPr>
        <w:spacing w:line="360" w:lineRule="auto"/>
        <w:jc w:val="both"/>
        <w:rPr>
          <w:color w:val="000000"/>
          <w:sz w:val="24"/>
        </w:rPr>
      </w:pPr>
    </w:p>
    <w:p w:rsidR="00CD4B2E" w:rsidRDefault="00CD4B2E" w:rsidP="00CD4B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D4B2E" w:rsidRDefault="00CD4B2E" w:rsidP="00CD4B2E">
      <w:pPr>
        <w:keepNext/>
        <w:spacing w:line="360" w:lineRule="auto"/>
        <w:rPr>
          <w:color w:val="000000"/>
          <w:sz w:val="24"/>
        </w:rPr>
      </w:pPr>
    </w:p>
    <w:p w:rsidR="00CD4B2E" w:rsidRDefault="00CD4B2E" w:rsidP="00CD4B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4B2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D4B2E" w:rsidRDefault="00CD4B2E" w:rsidP="00CD4B2E">
      <w:pPr>
        <w:spacing w:line="360" w:lineRule="auto"/>
        <w:jc w:val="both"/>
        <w:rPr>
          <w:color w:val="000000"/>
          <w:sz w:val="24"/>
        </w:rPr>
      </w:pPr>
    </w:p>
    <w:p w:rsidR="00CD4B2E" w:rsidRDefault="00CD4B2E" w:rsidP="00CD4B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4B2E" w:rsidRDefault="00CD4B2E" w:rsidP="00CD4B2E">
      <w:pPr>
        <w:keepNext/>
        <w:spacing w:line="360" w:lineRule="auto"/>
        <w:rPr>
          <w:color w:val="000000"/>
          <w:sz w:val="24"/>
        </w:rPr>
      </w:pPr>
    </w:p>
    <w:p w:rsidR="00CD4B2E" w:rsidRDefault="00CD4B2E" w:rsidP="00CD4B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4B2E">
        <w:rPr>
          <w:color w:val="000000"/>
          <w:sz w:val="24"/>
          <w:szCs w:val="24"/>
        </w:rPr>
        <w:t>Zarządzenie wchodzi w życie z dniem podpisania.</w:t>
      </w:r>
    </w:p>
    <w:p w:rsidR="00CD4B2E" w:rsidRDefault="00CD4B2E" w:rsidP="00CD4B2E">
      <w:pPr>
        <w:spacing w:line="360" w:lineRule="auto"/>
        <w:jc w:val="both"/>
        <w:rPr>
          <w:color w:val="000000"/>
          <w:sz w:val="24"/>
        </w:rPr>
      </w:pPr>
    </w:p>
    <w:p w:rsidR="00CD4B2E" w:rsidRDefault="00CD4B2E" w:rsidP="00CD4B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D4B2E" w:rsidRDefault="00CD4B2E" w:rsidP="00CD4B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4B2E" w:rsidRPr="00CD4B2E" w:rsidRDefault="00CD4B2E" w:rsidP="00CD4B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4B2E" w:rsidRPr="00CD4B2E" w:rsidSect="00CD4B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2E" w:rsidRDefault="00CD4B2E">
      <w:r>
        <w:separator/>
      </w:r>
    </w:p>
  </w:endnote>
  <w:endnote w:type="continuationSeparator" w:id="0">
    <w:p w:rsidR="00CD4B2E" w:rsidRDefault="00CD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2E" w:rsidRDefault="00CD4B2E">
      <w:r>
        <w:separator/>
      </w:r>
    </w:p>
  </w:footnote>
  <w:footnote w:type="continuationSeparator" w:id="0">
    <w:p w:rsidR="00CD4B2E" w:rsidRDefault="00CD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7/2019/P"/>
    <w:docVar w:name="Sprawa" w:val="przekazania na stan majątkowy Zespołu Szkół Ekonomicznych im. Stanisława Staszica w Poznaniu, ul. Marszałkowska 40, 60-327 Poznań, środków trwałych dydaktycznych, zakupionych w ramach projektu pod nazwą: „Wyposażenie placówek oświatowych w nowoczesny i wysokospecjalistyczny sprzęt technologiczny na terenie MOF Poznania”."/>
  </w:docVars>
  <w:rsids>
    <w:rsidRoot w:val="00CD4B2E"/>
    <w:rsid w:val="00072485"/>
    <w:rsid w:val="000C07FF"/>
    <w:rsid w:val="000E2E12"/>
    <w:rsid w:val="00167A3B"/>
    <w:rsid w:val="002C4925"/>
    <w:rsid w:val="00314D3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4B2E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B0FB-DFFF-41F1-BED8-4B5C234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917</Words>
  <Characters>5268</Characters>
  <Application>Microsoft Office Word</Application>
  <DocSecurity>0</DocSecurity>
  <Lines>114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2019-08-29T09:06:00Z</dcterms:created>
  <dcterms:modified xsi:type="dcterms:W3CDTF">2019-08-29T09:06:00Z</dcterms:modified>
</cp:coreProperties>
</file>