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1" w:rsidRDefault="00147FA1" w:rsidP="00147FA1">
      <w:pPr>
        <w:pStyle w:val="Nagwek1"/>
        <w:ind w:right="-830" w:firstLine="6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</w:t>
      </w:r>
      <w:r w:rsidR="00182FB4">
        <w:rPr>
          <w:rFonts w:ascii="Times New Roman" w:hAnsi="Times New Roman"/>
          <w:snapToGrid w:val="0"/>
          <w:sz w:val="20"/>
        </w:rPr>
        <w:t>do zarządzenia Nr  1093</w:t>
      </w:r>
      <w:r>
        <w:rPr>
          <w:rFonts w:ascii="Times New Roman" w:hAnsi="Times New Roman"/>
          <w:snapToGrid w:val="0"/>
          <w:sz w:val="20"/>
        </w:rPr>
        <w:t>/2019/P</w:t>
      </w:r>
    </w:p>
    <w:p w:rsidR="00147FA1" w:rsidRDefault="00147FA1" w:rsidP="00147FA1">
      <w:pPr>
        <w:ind w:right="-83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147FA1" w:rsidRDefault="00147FA1" w:rsidP="00147FA1">
      <w:pPr>
        <w:ind w:right="-83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z dnia </w:t>
      </w:r>
      <w:r w:rsidR="00182FB4">
        <w:rPr>
          <w:b/>
          <w:snapToGrid w:val="0"/>
          <w:sz w:val="20"/>
        </w:rPr>
        <w:t>30 grudnia</w:t>
      </w:r>
      <w:bookmarkStart w:id="0" w:name="_GoBack"/>
      <w:bookmarkEnd w:id="0"/>
      <w:r>
        <w:rPr>
          <w:b/>
          <w:snapToGrid w:val="0"/>
          <w:sz w:val="20"/>
        </w:rPr>
        <w:t xml:space="preserve"> 2019 r.</w:t>
      </w:r>
    </w:p>
    <w:p w:rsidR="00147FA1" w:rsidRDefault="00147FA1" w:rsidP="00147FA1">
      <w:pPr>
        <w:ind w:right="-830"/>
        <w:rPr>
          <w:sz w:val="28"/>
        </w:rPr>
      </w:pPr>
    </w:p>
    <w:p w:rsidR="00147FA1" w:rsidRDefault="00147FA1" w:rsidP="00147FA1">
      <w:pPr>
        <w:ind w:right="-830"/>
        <w:rPr>
          <w:sz w:val="28"/>
        </w:rPr>
      </w:pPr>
    </w:p>
    <w:p w:rsidR="00147FA1" w:rsidRDefault="00147FA1" w:rsidP="00147FA1">
      <w:pPr>
        <w:pStyle w:val="Nagwek2"/>
        <w:spacing w:before="0" w:after="120"/>
        <w:ind w:firstLine="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WYKAZ</w:t>
      </w:r>
    </w:p>
    <w:p w:rsidR="00147FA1" w:rsidRDefault="00147FA1" w:rsidP="00147FA1">
      <w:pPr>
        <w:pStyle w:val="Nagwek2"/>
        <w:spacing w:before="0" w:after="180"/>
        <w:ind w:left="-720" w:right="-1009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</w:rPr>
        <w:t>nieruchomości przeznaczonej do sprzedaży w trybie bezprzetargowym</w:t>
      </w:r>
    </w:p>
    <w:tbl>
      <w:tblPr>
        <w:tblW w:w="0" w:type="auto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8640"/>
      </w:tblGrid>
      <w:tr w:rsidR="00147FA1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90"/>
              </w:tabs>
              <w:spacing w:before="60" w:after="60"/>
              <w:ind w:left="290" w:right="-70" w:hanging="290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Adres nieruchomości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FA1" w:rsidRDefault="00AA06F2" w:rsidP="00F04884">
            <w:pPr>
              <w:pStyle w:val="Nagwek3"/>
              <w:spacing w:before="60"/>
              <w:ind w:right="7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Poznań, w rejonie ul. Jana Czekanowskiego i Ignacego Domeyki</w:t>
            </w:r>
          </w:p>
        </w:tc>
      </w:tr>
      <w:tr w:rsidR="00147FA1">
        <w:trPr>
          <w:trHeight w:val="407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left" w:pos="-70"/>
                <w:tab w:val="num" w:pos="290"/>
              </w:tabs>
              <w:spacing w:before="60"/>
              <w:ind w:left="290" w:right="-70" w:hanging="290"/>
              <w:rPr>
                <w:snapToGrid w:val="0"/>
                <w:spacing w:val="-4"/>
                <w:sz w:val="20"/>
              </w:rPr>
            </w:pPr>
            <w:r>
              <w:rPr>
                <w:snapToGrid w:val="0"/>
                <w:spacing w:val="-4"/>
                <w:sz w:val="20"/>
              </w:rPr>
              <w:t>Oznaczenia geodezyjne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6A25" w:rsidRDefault="00736A25" w:rsidP="006A4FB0">
            <w:pPr>
              <w:tabs>
                <w:tab w:val="left" w:pos="1550"/>
              </w:tabs>
              <w:spacing w:after="60"/>
              <w:ind w:right="74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 Starołęka, arkusz 49, działka 3/140 (Bp) o pow. 62 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 oraz działka 3/141 (Bp) o pow. 24 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 KW PO2P/00220261/6, pow. łączna 86 m²</w:t>
            </w:r>
          </w:p>
          <w:p w:rsidR="00C03EE6" w:rsidRPr="00C03EE6" w:rsidRDefault="00736A25" w:rsidP="00736A25">
            <w:pPr>
              <w:tabs>
                <w:tab w:val="left" w:pos="1550"/>
              </w:tabs>
              <w:spacing w:after="60"/>
              <w:ind w:left="108" w:right="74" w:hanging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wg </w:t>
            </w:r>
            <w:r>
              <w:rPr>
                <w:sz w:val="20"/>
                <w:szCs w:val="20"/>
              </w:rPr>
              <w:t>KW PO2P/00220261/6 – właściciel: Miasto Poznań</w:t>
            </w:r>
          </w:p>
        </w:tc>
      </w:tr>
      <w:tr w:rsidR="00147FA1">
        <w:trPr>
          <w:trHeight w:val="524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Opis nieruchomości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79EF" w:rsidRDefault="00A879EF" w:rsidP="00E43EE9">
            <w:pPr>
              <w:pStyle w:val="Tekstpodstawowy3"/>
              <w:numPr>
                <w:ilvl w:val="0"/>
                <w:numId w:val="4"/>
              </w:numPr>
              <w:spacing w:before="60" w:after="0"/>
              <w:jc w:val="both"/>
              <w:rPr>
                <w:sz w:val="20"/>
              </w:rPr>
            </w:pPr>
            <w:r>
              <w:rPr>
                <w:sz w:val="20"/>
              </w:rPr>
              <w:t>położona w południowej części miasta Poznania, w rejonie ul. Jana Czekanowskiego – drogi asfaltowej oraz ul. Ignacego Domeyki – drogi gruntowej;</w:t>
            </w:r>
          </w:p>
          <w:p w:rsidR="00A879EF" w:rsidRDefault="00A879EF" w:rsidP="00E43EE9">
            <w:pPr>
              <w:pStyle w:val="Tekstpodstawowy3"/>
              <w:numPr>
                <w:ilvl w:val="0"/>
                <w:numId w:val="5"/>
              </w:num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działka 3/140 nieużytkowana, porośnięta trawą i chwastami, natomiast działka 3/141 użytkowana jest jako część podwórza posesji przy ul. Jana Czekanowskiego 46, ogrodzona płotem z prefabrykowanych elementów betonowych;</w:t>
            </w:r>
          </w:p>
          <w:p w:rsidR="00A879EF" w:rsidRDefault="00A879EF" w:rsidP="00E43EE9">
            <w:pPr>
              <w:pStyle w:val="Tekstpodstawowy3"/>
              <w:numPr>
                <w:ilvl w:val="0"/>
                <w:numId w:val="5"/>
              </w:num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teren równy o kształcie klina;</w:t>
            </w:r>
          </w:p>
          <w:p w:rsidR="00A879EF" w:rsidRDefault="00A879EF" w:rsidP="00E43EE9">
            <w:pPr>
              <w:pStyle w:val="Tekstpodstawowy3"/>
              <w:numPr>
                <w:ilvl w:val="0"/>
                <w:numId w:val="6"/>
              </w:num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w sąsiedztwie nieruchomości znajdują się głównie obszary z zabudową jednorodzinną, wolno</w:t>
            </w:r>
            <w:r w:rsidR="00D17AFE">
              <w:rPr>
                <w:sz w:val="20"/>
              </w:rPr>
              <w:t xml:space="preserve"> </w:t>
            </w:r>
            <w:r>
              <w:rPr>
                <w:sz w:val="20"/>
              </w:rPr>
              <w:t>stojącą lub bliźniaczą, tereny zadrzewione, staw, pola uprawne, rzeka Warta i teren lotniska Krzesiny;</w:t>
            </w:r>
          </w:p>
          <w:p w:rsidR="00147FA1" w:rsidRPr="00E80A95" w:rsidRDefault="00A879EF" w:rsidP="00E43EE9">
            <w:pPr>
              <w:pStyle w:val="Tekstpodstawowy3"/>
              <w:numPr>
                <w:ilvl w:val="0"/>
                <w:numId w:val="3"/>
              </w:numPr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teren uzbrojony w nitki sieci wodociągowej, kanalizacyjnej, gazowej i elektrycznej</w:t>
            </w:r>
          </w:p>
        </w:tc>
      </w:tr>
      <w:tr w:rsidR="00147FA1">
        <w:trPr>
          <w:trHeight w:val="2399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spacing w:before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Przeznaczenie nieru</w:t>
            </w:r>
            <w:r>
              <w:rPr>
                <w:snapToGrid w:val="0"/>
                <w:sz w:val="20"/>
              </w:rPr>
              <w:softHyphen/>
              <w:t>chomości i sposób zagospodarowania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5E1" w:rsidRDefault="00EE05E1" w:rsidP="00EE05E1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Nieruchomość jest położona na terenie, na którym nie obowiązuje miejscowy plan zagospodarowania przestrzennego</w:t>
            </w:r>
            <w:r w:rsidR="00823271">
              <w:rPr>
                <w:color w:val="000000"/>
                <w:sz w:val="20"/>
              </w:rPr>
              <w:t>.</w:t>
            </w:r>
          </w:p>
          <w:p w:rsidR="00EE05E1" w:rsidRDefault="00EE05E1" w:rsidP="00EE05E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>godnie ze „</w:t>
            </w:r>
            <w:r>
              <w:rPr>
                <w:iCs/>
                <w:color w:val="000000"/>
                <w:sz w:val="20"/>
                <w:szCs w:val="20"/>
              </w:rPr>
              <w:t>Studium uwarunkowań i kierunków zagospodarowania przestrzennego miasta Poznania”</w:t>
            </w:r>
            <w:r>
              <w:rPr>
                <w:color w:val="000000"/>
                <w:sz w:val="20"/>
                <w:szCs w:val="20"/>
              </w:rPr>
              <w:t>, zatwierdzonym uchwałą Nr LXXII/1137/VI/2014 r. Rady Miasta Poznania z dnia 23 września 2014 r., przedmiotowa nieruchomość znajduje się na obszarze oznaczonym symbolem: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MN</w:t>
            </w:r>
            <w:r w:rsidR="00D17AF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– teren zabudowy mieszkaniowej jednorodzinnej. </w:t>
            </w:r>
          </w:p>
          <w:p w:rsidR="00030CBF" w:rsidRPr="00030CBF" w:rsidRDefault="00030CBF" w:rsidP="00030C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0CBF">
              <w:rPr>
                <w:color w:val="000000"/>
                <w:sz w:val="20"/>
                <w:szCs w:val="20"/>
              </w:rPr>
              <w:t>Ponadto działki 3/140 i 3/141 powstały w wyniku podziałów,  m.in. z działki 3/123 i 3/112. Dla tych działek wydano następujące decyzje:</w:t>
            </w:r>
          </w:p>
          <w:p w:rsidR="00030CBF" w:rsidRPr="00BD48B3" w:rsidRDefault="00030CBF" w:rsidP="00030C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030CBF">
              <w:rPr>
                <w:color w:val="000000"/>
                <w:sz w:val="20"/>
                <w:szCs w:val="20"/>
              </w:rPr>
              <w:t>nr 76/2003 z dnia 6 listopada 2003 r. o warunkach zabudowy dla inwestycji polegającej na budowie domu jednorodzinnego wolnostojącego z wbudowanym garażem</w:t>
            </w:r>
            <w:r w:rsidR="00BD48B3">
              <w:rPr>
                <w:color w:val="000000"/>
                <w:sz w:val="20"/>
                <w:szCs w:val="20"/>
              </w:rPr>
              <w:t xml:space="preserve">, </w:t>
            </w:r>
            <w:r w:rsidR="00BD48B3" w:rsidRPr="00BD48B3">
              <w:rPr>
                <w:color w:val="000000"/>
                <w:sz w:val="20"/>
                <w:szCs w:val="20"/>
              </w:rPr>
              <w:t>przewidzianej do realizacji na</w:t>
            </w:r>
            <w:r w:rsidR="00D17AFE">
              <w:rPr>
                <w:color w:val="000000"/>
                <w:sz w:val="20"/>
                <w:szCs w:val="20"/>
              </w:rPr>
              <w:t> </w:t>
            </w:r>
            <w:r w:rsidR="00BD48B3" w:rsidRPr="00BD48B3">
              <w:rPr>
                <w:color w:val="000000"/>
                <w:sz w:val="20"/>
                <w:szCs w:val="20"/>
              </w:rPr>
              <w:t>działce nr 3/123, ark. 49, obręb Starołęka, położonej w Poznaniu przy ul. Czekanowskiego 38</w:t>
            </w:r>
            <w:r w:rsidRPr="00BD48B3">
              <w:rPr>
                <w:color w:val="000000"/>
                <w:sz w:val="20"/>
                <w:szCs w:val="20"/>
              </w:rPr>
              <w:t xml:space="preserve">; </w:t>
            </w:r>
          </w:p>
          <w:p w:rsidR="00030CBF" w:rsidRPr="00030CBF" w:rsidRDefault="00030CBF" w:rsidP="00030C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030CBF">
              <w:rPr>
                <w:color w:val="000000"/>
                <w:sz w:val="20"/>
                <w:szCs w:val="20"/>
              </w:rPr>
              <w:t>nr 544/2003 z dnia 13 lutego 2003 r. o pozwoleniu na budowę dla inwestycji w całości obejmującej budowę przyłącza elektroenergetycznego n.n. - 0.4 KV do nieruchomości przy ul. Malinowskiego 36 w Poznaniu;</w:t>
            </w:r>
          </w:p>
          <w:p w:rsidR="00030CBF" w:rsidRPr="00030CBF" w:rsidRDefault="00030CBF" w:rsidP="00030C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030CBF">
              <w:rPr>
                <w:color w:val="000000"/>
                <w:sz w:val="20"/>
                <w:szCs w:val="20"/>
              </w:rPr>
              <w:t>nr 2849/2001 z dnia 19 września 2001 r. o pozwoleni</w:t>
            </w:r>
            <w:r>
              <w:rPr>
                <w:color w:val="000000"/>
                <w:sz w:val="20"/>
                <w:szCs w:val="20"/>
              </w:rPr>
              <w:t>u na budowę dla inwestycji w cał</w:t>
            </w:r>
            <w:r w:rsidRPr="00030CBF">
              <w:rPr>
                <w:color w:val="000000"/>
                <w:sz w:val="20"/>
                <w:szCs w:val="20"/>
              </w:rPr>
              <w:t>ości obejmującej budowę przyłącza elektroenergetycznego n.n. - 0,4 KV do nieruchomości przy ul. Malinowskiego dz.</w:t>
            </w:r>
            <w:r w:rsidR="00D17AFE">
              <w:rPr>
                <w:color w:val="000000"/>
                <w:sz w:val="20"/>
                <w:szCs w:val="20"/>
              </w:rPr>
              <w:t> </w:t>
            </w:r>
            <w:r w:rsidRPr="00030CBF">
              <w:rPr>
                <w:color w:val="000000"/>
                <w:sz w:val="20"/>
                <w:szCs w:val="20"/>
              </w:rPr>
              <w:t>nr 3/46 w Poznaniu.</w:t>
            </w:r>
          </w:p>
          <w:p w:rsidR="00EE05E1" w:rsidRPr="00030CBF" w:rsidRDefault="00030CBF" w:rsidP="00030CB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 w:rsidRPr="00030CBF">
              <w:rPr>
                <w:color w:val="000000"/>
                <w:sz w:val="20"/>
                <w:szCs w:val="20"/>
              </w:rPr>
              <w:t xml:space="preserve">Powyższe potwierdził Wydział Urbanistyki i Architektury Urzędu Miasta Poznania w piśmie </w:t>
            </w:r>
            <w:r w:rsidR="00DB3332">
              <w:rPr>
                <w:color w:val="000000"/>
                <w:sz w:val="20"/>
                <w:szCs w:val="20"/>
              </w:rPr>
              <w:br/>
            </w:r>
            <w:r w:rsidRPr="00030CBF">
              <w:rPr>
                <w:color w:val="000000"/>
                <w:sz w:val="20"/>
                <w:szCs w:val="20"/>
              </w:rPr>
              <w:t xml:space="preserve">nr </w:t>
            </w:r>
            <w:r w:rsidRPr="00030CBF">
              <w:rPr>
                <w:b/>
                <w:bCs/>
                <w:color w:val="000000"/>
                <w:sz w:val="20"/>
                <w:szCs w:val="20"/>
              </w:rPr>
              <w:t xml:space="preserve">UA-IV.6724.2089.2019 z dnia 6 listopada 2019 r. </w:t>
            </w:r>
          </w:p>
          <w:p w:rsidR="00EE05E1" w:rsidRDefault="00EE05E1" w:rsidP="00EE05E1">
            <w:pPr>
              <w:spacing w:after="60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Sposób zagospodarowania:</w:t>
            </w:r>
          </w:p>
          <w:p w:rsidR="00EE05E1" w:rsidRDefault="00EE05E1" w:rsidP="00EE05E1">
            <w:pPr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nie istnieje możliwość zagospodarowania działek 3/140 i 3/141 jako odrębnych nieruchomości,</w:t>
            </w:r>
          </w:p>
          <w:p w:rsidR="00147FA1" w:rsidRPr="00FA3E29" w:rsidRDefault="00EE05E1" w:rsidP="00EE05E1">
            <w:pPr>
              <w:spacing w:after="6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– działki 3/140 i 3/141 mogą poprawić warunki zagospodarowania nieruchomości przyległej, tj. działki 3/137, 3/136</w:t>
            </w:r>
          </w:p>
        </w:tc>
      </w:tr>
      <w:tr w:rsidR="00147FA1">
        <w:trPr>
          <w:trHeight w:val="286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Forma i tryb zbycia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FA1" w:rsidRDefault="00147FA1" w:rsidP="00E110D2">
            <w:pPr>
              <w:spacing w:before="60" w:after="60"/>
              <w:jc w:val="both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Sprzedaż nieruchomości w trybie bezprzetargowym</w:t>
            </w:r>
          </w:p>
        </w:tc>
      </w:tr>
      <w:tr w:rsidR="00147FA1">
        <w:trPr>
          <w:trHeight w:val="234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Cena nieruchomości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FA1" w:rsidRDefault="009F66DE" w:rsidP="009F66DE">
            <w:pPr>
              <w:tabs>
                <w:tab w:val="num" w:pos="470"/>
              </w:tabs>
              <w:spacing w:before="60" w:after="60"/>
              <w:jc w:val="both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17 000,– zł </w:t>
            </w:r>
            <w:r>
              <w:rPr>
                <w:snapToGrid w:val="0"/>
                <w:sz w:val="20"/>
              </w:rPr>
              <w:t>(słownie złotych: siedemnaście tysięcy złotych) –</w:t>
            </w:r>
            <w:r>
              <w:rPr>
                <w:snapToGrid w:val="0"/>
                <w:sz w:val="20"/>
                <w:szCs w:val="20"/>
              </w:rPr>
              <w:t xml:space="preserve"> w tym 23% VAT</w:t>
            </w:r>
          </w:p>
        </w:tc>
      </w:tr>
      <w:tr w:rsidR="00147FA1">
        <w:trPr>
          <w:trHeight w:val="370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Termin płatności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FA1" w:rsidRDefault="00147FA1" w:rsidP="00E110D2">
            <w:pPr>
              <w:tabs>
                <w:tab w:val="num" w:pos="470"/>
              </w:tabs>
              <w:spacing w:before="60" w:after="6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Cena nieruchomości podlega zapłacie nie później niż do dnia zawarcia umowy przenoszącej własność</w:t>
            </w:r>
          </w:p>
        </w:tc>
      </w:tr>
      <w:tr w:rsidR="00147FA1">
        <w:trPr>
          <w:trHeight w:val="370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7FA1" w:rsidRDefault="00147FA1" w:rsidP="00E43EE9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Informacje dodatkowe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47FA1" w:rsidRDefault="00147FA1" w:rsidP="00E110D2">
            <w:pPr>
              <w:spacing w:before="60"/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Nabywca nieruchomości: </w:t>
            </w:r>
          </w:p>
          <w:p w:rsidR="00147FA1" w:rsidRDefault="00147FA1" w:rsidP="00E43EE9">
            <w:pPr>
              <w:numPr>
                <w:ilvl w:val="0"/>
                <w:numId w:val="2"/>
              </w:numPr>
              <w:tabs>
                <w:tab w:val="clear" w:pos="1800"/>
                <w:tab w:val="num" w:pos="290"/>
              </w:tabs>
              <w:ind w:left="290" w:hanging="29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na podstawie art. 3 ustawy z dnia 12 stycznia 1991 r. o podatkach i opłatach lokalnych </w:t>
            </w:r>
            <w:r>
              <w:rPr>
                <w:b/>
                <w:snapToGrid w:val="0"/>
                <w:sz w:val="20"/>
              </w:rPr>
              <w:t>zobowiązany będzie do zapłaty podatku od nieruchomości</w:t>
            </w:r>
            <w:r>
              <w:rPr>
                <w:snapToGrid w:val="0"/>
                <w:sz w:val="20"/>
              </w:rPr>
              <w:t>;</w:t>
            </w:r>
          </w:p>
          <w:p w:rsidR="00147FA1" w:rsidRPr="00277737" w:rsidRDefault="00147FA1" w:rsidP="00E43EE9">
            <w:pPr>
              <w:numPr>
                <w:ilvl w:val="0"/>
                <w:numId w:val="2"/>
              </w:numPr>
              <w:tabs>
                <w:tab w:val="clear" w:pos="1800"/>
                <w:tab w:val="num" w:pos="290"/>
                <w:tab w:val="num" w:pos="1440"/>
              </w:tabs>
              <w:spacing w:after="60"/>
              <w:ind w:left="289" w:hanging="289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ponosi koszty</w:t>
            </w:r>
            <w:r>
              <w:rPr>
                <w:b/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notarialne i sądowe, których wysokość określi notariusz</w:t>
            </w:r>
          </w:p>
        </w:tc>
      </w:tr>
    </w:tbl>
    <w:p w:rsidR="00722093" w:rsidRPr="005D7113" w:rsidRDefault="00722093" w:rsidP="005D7113">
      <w:pPr>
        <w:tabs>
          <w:tab w:val="left" w:pos="900"/>
        </w:tabs>
        <w:rPr>
          <w:sz w:val="20"/>
          <w:szCs w:val="20"/>
        </w:rPr>
      </w:pPr>
    </w:p>
    <w:sectPr w:rsidR="00722093" w:rsidRPr="005D7113" w:rsidSect="005D7113">
      <w:footerReference w:type="default" r:id="rId8"/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36" w:rsidRDefault="00116E36">
      <w:r>
        <w:separator/>
      </w:r>
    </w:p>
  </w:endnote>
  <w:endnote w:type="continuationSeparator" w:id="0">
    <w:p w:rsidR="00116E36" w:rsidRDefault="0011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6BC" w:rsidRDefault="0051499D">
    <w:pPr>
      <w:pStyle w:val="Stopka"/>
      <w:jc w:val="center"/>
      <w:rPr>
        <w:sz w:val="22"/>
      </w:rPr>
    </w:pPr>
    <w:r>
      <w:rPr>
        <w:sz w:val="22"/>
      </w:rPr>
      <w:fldChar w:fldCharType="begin"/>
    </w:r>
    <w:r w:rsidR="00B626BC">
      <w:rPr>
        <w:sz w:val="22"/>
      </w:rPr>
      <w:instrText xml:space="preserve"> PAGE </w:instrText>
    </w:r>
    <w:r>
      <w:rPr>
        <w:sz w:val="22"/>
      </w:rPr>
      <w:fldChar w:fldCharType="separate"/>
    </w:r>
    <w:r w:rsidR="00182FB4">
      <w:rPr>
        <w:noProof/>
        <w:sz w:val="22"/>
      </w:rPr>
      <w:t>1</w:t>
    </w:r>
    <w:r>
      <w:rPr>
        <w:sz w:val="22"/>
      </w:rPr>
      <w:fldChar w:fldCharType="end"/>
    </w:r>
    <w:r w:rsidR="00B626BC">
      <w:rPr>
        <w:sz w:val="22"/>
      </w:rPr>
      <w:t>/</w:t>
    </w:r>
    <w:r w:rsidR="00FB2102">
      <w:rPr>
        <w:sz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36" w:rsidRDefault="00116E36">
      <w:r>
        <w:separator/>
      </w:r>
    </w:p>
  </w:footnote>
  <w:footnote w:type="continuationSeparator" w:id="0">
    <w:p w:rsidR="00116E36" w:rsidRDefault="0011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00CBA"/>
    <w:lvl w:ilvl="0">
      <w:numFmt w:val="bullet"/>
      <w:lvlText w:val="*"/>
      <w:lvlJc w:val="left"/>
    </w:lvl>
  </w:abstractNum>
  <w:abstractNum w:abstractNumId="1" w15:restartNumberingAfterBreak="0">
    <w:nsid w:val="1DF6135A"/>
    <w:multiLevelType w:val="hybridMultilevel"/>
    <w:tmpl w:val="CB6EC238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5CF48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FB4C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5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5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4A3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43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E5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25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295"/>
    <w:multiLevelType w:val="hybridMultilevel"/>
    <w:tmpl w:val="A80EA77A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DB67D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5C4C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AC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00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0D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6D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EC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0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0C39"/>
    <w:multiLevelType w:val="hybridMultilevel"/>
    <w:tmpl w:val="46662084"/>
    <w:lvl w:ilvl="0" w:tplc="DE4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81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CF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AD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63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0F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E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05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4A0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F3B07"/>
    <w:multiLevelType w:val="hybridMultilevel"/>
    <w:tmpl w:val="3946A812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D76E26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F1C5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E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9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2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0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87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83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3E86"/>
    <w:multiLevelType w:val="hybridMultilevel"/>
    <w:tmpl w:val="B3869A28"/>
    <w:lvl w:ilvl="0" w:tplc="CB9A7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FCF0461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3D3C8280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180FEC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06643C2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CAA912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E38607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0464AC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FC9342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5193B7C"/>
    <w:multiLevelType w:val="hybridMultilevel"/>
    <w:tmpl w:val="B27E171C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F5A8F6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14A0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D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1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07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C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E8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6E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95"/>
    <w:rsid w:val="00021E6F"/>
    <w:rsid w:val="00030CBF"/>
    <w:rsid w:val="000575DB"/>
    <w:rsid w:val="00063B12"/>
    <w:rsid w:val="0007289C"/>
    <w:rsid w:val="00075891"/>
    <w:rsid w:val="000C5DE8"/>
    <w:rsid w:val="000D0D8B"/>
    <w:rsid w:val="000D21F3"/>
    <w:rsid w:val="000E7BA3"/>
    <w:rsid w:val="000F0694"/>
    <w:rsid w:val="000F63DB"/>
    <w:rsid w:val="00116E36"/>
    <w:rsid w:val="00132F8B"/>
    <w:rsid w:val="001432A2"/>
    <w:rsid w:val="00147FA1"/>
    <w:rsid w:val="00177D40"/>
    <w:rsid w:val="00182FB4"/>
    <w:rsid w:val="00184608"/>
    <w:rsid w:val="001A4A31"/>
    <w:rsid w:val="001B4D77"/>
    <w:rsid w:val="001F018F"/>
    <w:rsid w:val="00221F62"/>
    <w:rsid w:val="002528ED"/>
    <w:rsid w:val="00264F9F"/>
    <w:rsid w:val="00270B5B"/>
    <w:rsid w:val="00277737"/>
    <w:rsid w:val="00283DD9"/>
    <w:rsid w:val="002A7076"/>
    <w:rsid w:val="002B13F9"/>
    <w:rsid w:val="002C3373"/>
    <w:rsid w:val="002C579A"/>
    <w:rsid w:val="002E511B"/>
    <w:rsid w:val="003123A0"/>
    <w:rsid w:val="00332920"/>
    <w:rsid w:val="003650FA"/>
    <w:rsid w:val="003776F7"/>
    <w:rsid w:val="003813F0"/>
    <w:rsid w:val="003A2E60"/>
    <w:rsid w:val="003E3EFF"/>
    <w:rsid w:val="0042176F"/>
    <w:rsid w:val="00437DB3"/>
    <w:rsid w:val="004723F7"/>
    <w:rsid w:val="00486314"/>
    <w:rsid w:val="004A1239"/>
    <w:rsid w:val="004C63AA"/>
    <w:rsid w:val="0051499D"/>
    <w:rsid w:val="0052354B"/>
    <w:rsid w:val="00535654"/>
    <w:rsid w:val="005425F5"/>
    <w:rsid w:val="0055326F"/>
    <w:rsid w:val="00563020"/>
    <w:rsid w:val="00590C68"/>
    <w:rsid w:val="005A6876"/>
    <w:rsid w:val="005B170A"/>
    <w:rsid w:val="005B7375"/>
    <w:rsid w:val="005D7113"/>
    <w:rsid w:val="005D7A83"/>
    <w:rsid w:val="005E1471"/>
    <w:rsid w:val="005E408A"/>
    <w:rsid w:val="005E64C0"/>
    <w:rsid w:val="005E6808"/>
    <w:rsid w:val="005E7CB4"/>
    <w:rsid w:val="00612448"/>
    <w:rsid w:val="006331BD"/>
    <w:rsid w:val="00676D7B"/>
    <w:rsid w:val="0068014E"/>
    <w:rsid w:val="0069136B"/>
    <w:rsid w:val="006A4FB0"/>
    <w:rsid w:val="006B4395"/>
    <w:rsid w:val="00722093"/>
    <w:rsid w:val="00724E00"/>
    <w:rsid w:val="00736A25"/>
    <w:rsid w:val="00765EBE"/>
    <w:rsid w:val="00771649"/>
    <w:rsid w:val="007F5335"/>
    <w:rsid w:val="00823271"/>
    <w:rsid w:val="00827C39"/>
    <w:rsid w:val="00846B64"/>
    <w:rsid w:val="00852519"/>
    <w:rsid w:val="008559C4"/>
    <w:rsid w:val="00857E4D"/>
    <w:rsid w:val="008C73C1"/>
    <w:rsid w:val="008E1DF5"/>
    <w:rsid w:val="008E6EBA"/>
    <w:rsid w:val="008F076C"/>
    <w:rsid w:val="00914881"/>
    <w:rsid w:val="0092787A"/>
    <w:rsid w:val="00955C04"/>
    <w:rsid w:val="009667BB"/>
    <w:rsid w:val="009A5A2C"/>
    <w:rsid w:val="009A7803"/>
    <w:rsid w:val="009D6EC8"/>
    <w:rsid w:val="009F15B3"/>
    <w:rsid w:val="009F1D78"/>
    <w:rsid w:val="009F66DE"/>
    <w:rsid w:val="00A26C0B"/>
    <w:rsid w:val="00A7043B"/>
    <w:rsid w:val="00A8000D"/>
    <w:rsid w:val="00A879EF"/>
    <w:rsid w:val="00AA06F2"/>
    <w:rsid w:val="00AB1A9C"/>
    <w:rsid w:val="00AC2F1A"/>
    <w:rsid w:val="00AC7B71"/>
    <w:rsid w:val="00AF78AB"/>
    <w:rsid w:val="00B0555E"/>
    <w:rsid w:val="00B1736A"/>
    <w:rsid w:val="00B24729"/>
    <w:rsid w:val="00B25C13"/>
    <w:rsid w:val="00B302B5"/>
    <w:rsid w:val="00B45643"/>
    <w:rsid w:val="00B57835"/>
    <w:rsid w:val="00B626BC"/>
    <w:rsid w:val="00B73492"/>
    <w:rsid w:val="00B82AA0"/>
    <w:rsid w:val="00BD48B3"/>
    <w:rsid w:val="00C01714"/>
    <w:rsid w:val="00C03EE6"/>
    <w:rsid w:val="00C133D9"/>
    <w:rsid w:val="00C173BE"/>
    <w:rsid w:val="00C220CC"/>
    <w:rsid w:val="00C240C0"/>
    <w:rsid w:val="00C349F8"/>
    <w:rsid w:val="00C47BD2"/>
    <w:rsid w:val="00C9424E"/>
    <w:rsid w:val="00CA3B22"/>
    <w:rsid w:val="00CC561E"/>
    <w:rsid w:val="00D13322"/>
    <w:rsid w:val="00D17AFE"/>
    <w:rsid w:val="00D5143F"/>
    <w:rsid w:val="00D82D32"/>
    <w:rsid w:val="00D90246"/>
    <w:rsid w:val="00D9116D"/>
    <w:rsid w:val="00DA6A6B"/>
    <w:rsid w:val="00DB3332"/>
    <w:rsid w:val="00DE3078"/>
    <w:rsid w:val="00DF4C5D"/>
    <w:rsid w:val="00E03239"/>
    <w:rsid w:val="00E110D2"/>
    <w:rsid w:val="00E43EE9"/>
    <w:rsid w:val="00E45C3E"/>
    <w:rsid w:val="00E62F0D"/>
    <w:rsid w:val="00E74A77"/>
    <w:rsid w:val="00E80A95"/>
    <w:rsid w:val="00E8672E"/>
    <w:rsid w:val="00E9462C"/>
    <w:rsid w:val="00EB1BF8"/>
    <w:rsid w:val="00EC44C4"/>
    <w:rsid w:val="00ED61A5"/>
    <w:rsid w:val="00EE05E1"/>
    <w:rsid w:val="00EE15CE"/>
    <w:rsid w:val="00EF2EBA"/>
    <w:rsid w:val="00F002F6"/>
    <w:rsid w:val="00F04884"/>
    <w:rsid w:val="00F33A70"/>
    <w:rsid w:val="00F56629"/>
    <w:rsid w:val="00F65DD5"/>
    <w:rsid w:val="00F93D03"/>
    <w:rsid w:val="00FA3E29"/>
    <w:rsid w:val="00FB2102"/>
    <w:rsid w:val="00FC7F50"/>
    <w:rsid w:val="00FE3540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77A10"/>
  <w15:docId w15:val="{FB844B9E-154C-43BD-9E83-0B56DCD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FA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499D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5149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149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1499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rsid w:val="0051499D"/>
    <w:pPr>
      <w:spacing w:after="120"/>
    </w:pPr>
    <w:rPr>
      <w:sz w:val="16"/>
      <w:szCs w:val="16"/>
    </w:rPr>
  </w:style>
  <w:style w:type="paragraph" w:styleId="Nagwek">
    <w:name w:val="header"/>
    <w:basedOn w:val="Normalny"/>
    <w:semiHidden/>
    <w:rsid w:val="005149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49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23F7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79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01E9-84A8-48A0-B305-A09DE0BB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user</dc:creator>
  <cp:keywords/>
  <dc:description/>
  <cp:lastModifiedBy>Joanna Przybylska</cp:lastModifiedBy>
  <cp:revision>2</cp:revision>
  <cp:lastPrinted>2019-11-19T08:02:00Z</cp:lastPrinted>
  <dcterms:created xsi:type="dcterms:W3CDTF">2019-12-30T09:26:00Z</dcterms:created>
  <dcterms:modified xsi:type="dcterms:W3CDTF">2019-12-30T09:26:00Z</dcterms:modified>
</cp:coreProperties>
</file>