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6D" w:rsidRDefault="00927B6D" w:rsidP="008302F4">
      <w:pPr>
        <w:pStyle w:val="Nagwek1"/>
        <w:ind w:right="-648" w:firstLine="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napToGrid w:val="0"/>
          <w:sz w:val="20"/>
          <w:szCs w:val="20"/>
        </w:rPr>
        <w:t>do zarządzenia Nr</w:t>
      </w:r>
      <w:r w:rsidR="004B56B0">
        <w:rPr>
          <w:rFonts w:ascii="Times New Roman" w:hAnsi="Times New Roman" w:cs="Times New Roman"/>
          <w:snapToGrid w:val="0"/>
          <w:sz w:val="20"/>
          <w:szCs w:val="20"/>
        </w:rPr>
        <w:t xml:space="preserve"> 565</w:t>
      </w:r>
      <w:r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</w:t>
      </w:r>
      <w:r>
        <w:rPr>
          <w:rFonts w:ascii="Times New Roman" w:hAnsi="Times New Roman" w:cs="Times New Roman"/>
          <w:snapToGrid w:val="0"/>
          <w:sz w:val="20"/>
          <w:szCs w:val="20"/>
        </w:rPr>
        <w:t>2020/P</w:t>
      </w:r>
    </w:p>
    <w:p w:rsidR="00927B6D" w:rsidRDefault="00927B6D" w:rsidP="008302F4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PREZYDENTA MIASTA POZNANIA</w:t>
      </w:r>
    </w:p>
    <w:p w:rsidR="00927B6D" w:rsidRDefault="00927B6D" w:rsidP="008302F4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z dnia </w:t>
      </w:r>
      <w:bookmarkStart w:id="0" w:name="_GoBack"/>
      <w:r w:rsidR="004B56B0" w:rsidRPr="004B56B0">
        <w:rPr>
          <w:b/>
          <w:snapToGrid w:val="0"/>
          <w:sz w:val="20"/>
          <w:szCs w:val="20"/>
        </w:rPr>
        <w:t>24 lipca</w:t>
      </w:r>
      <w:r w:rsidR="004B56B0">
        <w:rPr>
          <w:snapToGrid w:val="0"/>
          <w:sz w:val="20"/>
          <w:szCs w:val="20"/>
        </w:rPr>
        <w:t xml:space="preserve"> </w:t>
      </w:r>
      <w:bookmarkEnd w:id="0"/>
      <w:r>
        <w:rPr>
          <w:b/>
          <w:bCs/>
          <w:snapToGrid w:val="0"/>
          <w:sz w:val="20"/>
          <w:szCs w:val="20"/>
        </w:rPr>
        <w:t>2020 r.</w:t>
      </w:r>
    </w:p>
    <w:p w:rsidR="00927B6D" w:rsidRDefault="00927B6D" w:rsidP="008302F4">
      <w:pPr>
        <w:pStyle w:val="Nagwek2"/>
        <w:ind w:left="0" w:firstLine="6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WYKAZ</w:t>
      </w:r>
    </w:p>
    <w:p w:rsidR="00927B6D" w:rsidRDefault="00927B6D" w:rsidP="008302F4">
      <w:pPr>
        <w:pStyle w:val="Nagwek2"/>
        <w:ind w:left="-720" w:right="-650" w:firstLine="5"/>
        <w:jc w:val="center"/>
        <w:rPr>
          <w:rFonts w:ascii="Times New Roman" w:hAnsi="Times New Roman" w:cs="Times New Roman"/>
          <w:i w:val="0"/>
          <w:iCs w:val="0"/>
          <w:spacing w:val="-6"/>
        </w:rPr>
      </w:pPr>
      <w:r>
        <w:rPr>
          <w:rFonts w:ascii="Times New Roman" w:hAnsi="Times New Roman" w:cs="Times New Roman"/>
          <w:i w:val="0"/>
          <w:iCs w:val="0"/>
          <w:spacing w:val="-6"/>
        </w:rPr>
        <w:t>nieruchomości przeznaczonych do zbycia w drodze umowy zamiany</w:t>
      </w:r>
    </w:p>
    <w:tbl>
      <w:tblPr>
        <w:tblW w:w="1576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4"/>
        <w:gridCol w:w="5932"/>
        <w:gridCol w:w="7342"/>
      </w:tblGrid>
      <w:tr w:rsidR="00927B6D" w:rsidRPr="005F6837" w:rsidTr="00EF2669">
        <w:trPr>
          <w:trHeight w:val="742"/>
        </w:trPr>
        <w:tc>
          <w:tcPr>
            <w:tcW w:w="0" w:type="auto"/>
          </w:tcPr>
          <w:p w:rsidR="00D56E41" w:rsidRDefault="00D56E41" w:rsidP="00B42E6E">
            <w:pPr>
              <w:pStyle w:val="Nagwek2"/>
              <w:spacing w:beforeLines="60" w:before="144" w:afterLines="60" w:after="144" w:line="240" w:lineRule="auto"/>
              <w:ind w:left="0" w:right="-650" w:firstLine="0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</w:tcPr>
          <w:p w:rsidR="00D56E41" w:rsidRDefault="00927B6D" w:rsidP="00B42E6E">
            <w:pPr>
              <w:pStyle w:val="Nagwek2"/>
              <w:spacing w:beforeLines="60" w:before="144" w:afterLines="60" w:after="144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  <w:t>MIASTO POZNAŃ</w:t>
            </w:r>
          </w:p>
        </w:tc>
        <w:tc>
          <w:tcPr>
            <w:tcW w:w="7342" w:type="dxa"/>
          </w:tcPr>
          <w:p w:rsidR="00D56E41" w:rsidRDefault="00927B6D" w:rsidP="00B42E6E">
            <w:pPr>
              <w:pStyle w:val="Nagwek2"/>
              <w:spacing w:beforeLines="60" w:before="144" w:afterLines="60" w:after="144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M4 DEVELOPMENT </w:t>
            </w:r>
          </w:p>
          <w:p w:rsidR="00D56E41" w:rsidRDefault="00927B6D" w:rsidP="00B42E6E">
            <w:pPr>
              <w:pStyle w:val="Nagwek2"/>
              <w:spacing w:beforeLines="60" w:before="144" w:afterLines="60" w:after="144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Spółka z ograniczoną odpowiedzialnością Spółka komandytowa</w:t>
            </w:r>
          </w:p>
        </w:tc>
      </w:tr>
      <w:tr w:rsidR="00927B6D" w:rsidRPr="005F6837">
        <w:tc>
          <w:tcPr>
            <w:tcW w:w="0" w:type="auto"/>
          </w:tcPr>
          <w:p w:rsidR="00D56E41" w:rsidRDefault="00927B6D" w:rsidP="00B42E6E">
            <w:pPr>
              <w:numPr>
                <w:ilvl w:val="0"/>
                <w:numId w:val="1"/>
              </w:numPr>
              <w:tabs>
                <w:tab w:val="left" w:pos="0"/>
              </w:tabs>
              <w:spacing w:beforeLines="60" w:before="144" w:afterLines="60" w:after="144"/>
              <w:ind w:left="360"/>
              <w:rPr>
                <w:caps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</w:t>
            </w:r>
            <w:r w:rsidRPr="005F6837">
              <w:rPr>
                <w:snapToGrid w:val="0"/>
                <w:sz w:val="20"/>
                <w:szCs w:val="20"/>
              </w:rPr>
              <w:t>dres nieruchomości</w:t>
            </w:r>
          </w:p>
        </w:tc>
        <w:tc>
          <w:tcPr>
            <w:tcW w:w="0" w:type="auto"/>
          </w:tcPr>
          <w:p w:rsidR="00D56E41" w:rsidRDefault="00927B6D" w:rsidP="00B42E6E">
            <w:pPr>
              <w:pStyle w:val="Nagwek3"/>
              <w:spacing w:beforeLines="60" w:before="144" w:afterLines="60" w:after="144"/>
              <w:ind w:right="74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Poznań, ulica Kościelna 32, 34 i ulica Mylna 42</w:t>
            </w:r>
          </w:p>
        </w:tc>
        <w:tc>
          <w:tcPr>
            <w:tcW w:w="7342" w:type="dxa"/>
          </w:tcPr>
          <w:p w:rsidR="00D56E41" w:rsidRDefault="00927B6D" w:rsidP="00B42E6E">
            <w:pPr>
              <w:spacing w:beforeLines="60" w:before="144" w:afterLines="60" w:after="144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Poznań, ulica Michała Drzymały 3a</w:t>
            </w:r>
          </w:p>
        </w:tc>
      </w:tr>
      <w:tr w:rsidR="00927B6D" w:rsidRPr="005F6837">
        <w:tc>
          <w:tcPr>
            <w:tcW w:w="0" w:type="auto"/>
          </w:tcPr>
          <w:p w:rsidR="00D56E41" w:rsidRDefault="00927B6D" w:rsidP="00B42E6E">
            <w:pPr>
              <w:numPr>
                <w:ilvl w:val="0"/>
                <w:numId w:val="1"/>
              </w:numPr>
              <w:tabs>
                <w:tab w:val="num" w:pos="360"/>
              </w:tabs>
              <w:spacing w:beforeLines="60" w:before="144" w:afterLines="60" w:after="144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</w:t>
            </w:r>
            <w:r w:rsidRPr="005F6837">
              <w:rPr>
                <w:snapToGrid w:val="0"/>
                <w:sz w:val="20"/>
                <w:szCs w:val="20"/>
              </w:rPr>
              <w:t xml:space="preserve">znaczenia </w:t>
            </w:r>
          </w:p>
          <w:p w:rsidR="00D56E41" w:rsidRDefault="00927B6D" w:rsidP="00B42E6E">
            <w:pPr>
              <w:spacing w:beforeLines="60" w:before="144" w:afterLines="60" w:after="144"/>
              <w:ind w:left="360"/>
              <w:rPr>
                <w:snapToGrid w:val="0"/>
                <w:sz w:val="20"/>
                <w:szCs w:val="20"/>
              </w:rPr>
            </w:pPr>
            <w:r w:rsidRPr="005F6837">
              <w:rPr>
                <w:snapToGrid w:val="0"/>
                <w:sz w:val="20"/>
                <w:szCs w:val="20"/>
              </w:rPr>
              <w:t>geodezyjne</w:t>
            </w:r>
          </w:p>
        </w:tc>
        <w:tc>
          <w:tcPr>
            <w:tcW w:w="0" w:type="auto"/>
          </w:tcPr>
          <w:p w:rsidR="00D56E41" w:rsidRDefault="00927B6D" w:rsidP="00B42E6E">
            <w:pPr>
              <w:spacing w:beforeLines="30" w:before="72" w:afterLines="60" w:after="144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Działka 116/1 (Bp) o powierzchni 0.0634 ha i działka 117/4 (Bp) o</w:t>
            </w:r>
            <w:r>
              <w:rPr>
                <w:sz w:val="20"/>
                <w:szCs w:val="20"/>
              </w:rPr>
              <w:t> </w:t>
            </w:r>
            <w:r w:rsidRPr="005F6837">
              <w:rPr>
                <w:sz w:val="20"/>
                <w:szCs w:val="20"/>
              </w:rPr>
              <w:t>powierzchni 0.0114 ha z arkusza mapy 10 obręb Jeżyce, dla której</w:t>
            </w:r>
            <w:r>
              <w:rPr>
                <w:sz w:val="20"/>
                <w:szCs w:val="20"/>
              </w:rPr>
              <w:t xml:space="preserve"> w </w:t>
            </w:r>
            <w:r w:rsidRPr="005F6837">
              <w:rPr>
                <w:sz w:val="20"/>
                <w:szCs w:val="20"/>
              </w:rPr>
              <w:t>Sądzie Rej</w:t>
            </w:r>
            <w:r>
              <w:rPr>
                <w:sz w:val="20"/>
                <w:szCs w:val="20"/>
              </w:rPr>
              <w:t xml:space="preserve">onowym Poznań – Stare Miasto w </w:t>
            </w:r>
            <w:r w:rsidRPr="005F6837">
              <w:rPr>
                <w:sz w:val="20"/>
                <w:szCs w:val="20"/>
              </w:rPr>
              <w:t>Poznaniu prowadzona jest księga wieczysta o numerze PO1P/00101498/9, położona</w:t>
            </w:r>
            <w:r>
              <w:rPr>
                <w:sz w:val="20"/>
                <w:szCs w:val="20"/>
              </w:rPr>
              <w:t xml:space="preserve"> w </w:t>
            </w:r>
            <w:r w:rsidRPr="005F6837">
              <w:rPr>
                <w:sz w:val="20"/>
                <w:szCs w:val="20"/>
              </w:rPr>
              <w:t>Poznaniu przy ulicy Kościelnej 32, 34</w:t>
            </w:r>
            <w:r>
              <w:rPr>
                <w:sz w:val="20"/>
                <w:szCs w:val="20"/>
              </w:rPr>
              <w:t>.</w:t>
            </w:r>
          </w:p>
          <w:p w:rsidR="00D56E41" w:rsidRDefault="00927B6D" w:rsidP="00B42E6E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Działka 116/2 (Bp) o powierzchni 0.1965 ha i działka 117/6 (Bz</w:t>
            </w:r>
            <w:r>
              <w:rPr>
                <w:sz w:val="20"/>
                <w:szCs w:val="20"/>
              </w:rPr>
              <w:t>) o </w:t>
            </w:r>
            <w:r w:rsidRPr="005F6837">
              <w:rPr>
                <w:sz w:val="20"/>
                <w:szCs w:val="20"/>
              </w:rPr>
              <w:t>powierzchni 0.0194 ha z arkusza mapy 10 obręb Jeżyce,</w:t>
            </w:r>
            <w:r>
              <w:rPr>
                <w:sz w:val="20"/>
                <w:szCs w:val="20"/>
              </w:rPr>
              <w:t xml:space="preserve"> dla której w </w:t>
            </w:r>
            <w:r w:rsidRPr="005F6837">
              <w:rPr>
                <w:sz w:val="20"/>
                <w:szCs w:val="20"/>
              </w:rPr>
              <w:t>Sądzie Re</w:t>
            </w:r>
            <w:r>
              <w:rPr>
                <w:sz w:val="20"/>
                <w:szCs w:val="20"/>
              </w:rPr>
              <w:t xml:space="preserve">jonowym Poznań – Stare Miasto w </w:t>
            </w:r>
            <w:r w:rsidRPr="005F6837">
              <w:rPr>
                <w:sz w:val="20"/>
                <w:szCs w:val="20"/>
              </w:rPr>
              <w:t>Poznaniu prowadzona jest księga wieczysta o numerze PO1P/00111083/0, położona</w:t>
            </w:r>
            <w:r>
              <w:rPr>
                <w:sz w:val="20"/>
                <w:szCs w:val="20"/>
              </w:rPr>
              <w:t xml:space="preserve"> w </w:t>
            </w:r>
            <w:r w:rsidRPr="005F6837">
              <w:rPr>
                <w:sz w:val="20"/>
                <w:szCs w:val="20"/>
              </w:rPr>
              <w:t>Poznaniu przy ulicy Mylnej 42</w:t>
            </w:r>
            <w:r>
              <w:rPr>
                <w:sz w:val="20"/>
                <w:szCs w:val="20"/>
              </w:rPr>
              <w:t>.</w:t>
            </w:r>
          </w:p>
          <w:p w:rsidR="00D56E41" w:rsidRDefault="00927B6D" w:rsidP="00B42E6E">
            <w:pPr>
              <w:tabs>
                <w:tab w:val="num" w:pos="720"/>
              </w:tabs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Działka 154/48 (dr) o powierzchni 0.0063 ha z arkusza mapy 10 obręb Jeżyce, objęta prowadzoną w Sądzie Rejonowym Poznań – Stare Miasto w</w:t>
            </w:r>
            <w:r>
              <w:rPr>
                <w:sz w:val="20"/>
                <w:szCs w:val="20"/>
              </w:rPr>
              <w:t> </w:t>
            </w:r>
            <w:r w:rsidRPr="005F6837">
              <w:rPr>
                <w:sz w:val="20"/>
                <w:szCs w:val="20"/>
              </w:rPr>
              <w:t>Poznaniu księgą wieczystą o numerze PO1P/00249453/1, położona w Poznaniu przy ulicy Kościelnej.</w:t>
            </w:r>
          </w:p>
          <w:p w:rsidR="00D56E41" w:rsidRDefault="00927B6D" w:rsidP="00B42E6E">
            <w:pPr>
              <w:spacing w:beforeLines="30" w:before="72" w:afterLines="30" w:after="72"/>
              <w:ind w:right="74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Właściciel: Miasto Poznań.</w:t>
            </w:r>
          </w:p>
        </w:tc>
        <w:tc>
          <w:tcPr>
            <w:tcW w:w="7342" w:type="dxa"/>
          </w:tcPr>
          <w:p w:rsidR="00D56E41" w:rsidRDefault="00927B6D" w:rsidP="00B42E6E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Działka 6/1 (Bi) o powierzchni 0.4115 ha z arkusza mapy 41 obręb Golęcin, dla której w Sądzie Rejonowym Poznań – Stare Miasto w Poznaniu prowadzona jest księga wieczysta o numerze PO1P/00091095/0, położona w Poznaniu przy ulicy Michała Drzymały 3a</w:t>
            </w:r>
            <w:r>
              <w:rPr>
                <w:sz w:val="20"/>
                <w:szCs w:val="20"/>
              </w:rPr>
              <w:t>.</w:t>
            </w:r>
          </w:p>
          <w:p w:rsidR="00D56E41" w:rsidRDefault="00927B6D" w:rsidP="00B42E6E">
            <w:pPr>
              <w:spacing w:beforeLines="60" w:before="144" w:afterLines="60" w:after="144"/>
              <w:ind w:right="74"/>
              <w:jc w:val="both"/>
              <w:rPr>
                <w:color w:val="000000"/>
                <w:sz w:val="20"/>
                <w:szCs w:val="20"/>
              </w:rPr>
            </w:pPr>
            <w:r w:rsidRPr="00E57C99">
              <w:rPr>
                <w:color w:val="000000"/>
                <w:sz w:val="20"/>
                <w:szCs w:val="20"/>
              </w:rPr>
              <w:t>Własność: Skarb Państwa</w:t>
            </w:r>
          </w:p>
          <w:p w:rsidR="00D56E41" w:rsidRDefault="00927B6D" w:rsidP="00B42E6E">
            <w:pPr>
              <w:spacing w:beforeLines="60" w:before="144" w:afterLines="60" w:after="144"/>
              <w:ind w:right="74"/>
              <w:jc w:val="both"/>
              <w:rPr>
                <w:color w:val="000000"/>
                <w:sz w:val="20"/>
                <w:szCs w:val="20"/>
              </w:rPr>
            </w:pPr>
            <w:r w:rsidRPr="00E57C99">
              <w:rPr>
                <w:color w:val="000000"/>
                <w:sz w:val="20"/>
                <w:szCs w:val="20"/>
              </w:rPr>
              <w:t xml:space="preserve">Użytkowanie wieczyste: </w:t>
            </w:r>
            <w:r w:rsidRPr="00E57C99">
              <w:rPr>
                <w:sz w:val="20"/>
                <w:szCs w:val="20"/>
              </w:rPr>
              <w:t>M4 Development Spółka z ograniczoną odpowiedzialnością Spółka komandytowa</w:t>
            </w:r>
            <w:r>
              <w:rPr>
                <w:sz w:val="20"/>
                <w:szCs w:val="20"/>
              </w:rPr>
              <w:t>.</w:t>
            </w:r>
          </w:p>
        </w:tc>
      </w:tr>
      <w:tr w:rsidR="00927B6D" w:rsidRPr="005F6837">
        <w:tc>
          <w:tcPr>
            <w:tcW w:w="0" w:type="auto"/>
          </w:tcPr>
          <w:p w:rsidR="00D56E41" w:rsidRDefault="00927B6D" w:rsidP="00B42E6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Lines="60" w:before="144" w:afterLines="60" w:after="144"/>
              <w:ind w:left="36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</w:t>
            </w:r>
            <w:r w:rsidRPr="005F6837">
              <w:rPr>
                <w:snapToGrid w:val="0"/>
                <w:sz w:val="20"/>
                <w:szCs w:val="20"/>
              </w:rPr>
              <w:t>pis nieruchomości i sposób zagospodarowania</w:t>
            </w:r>
          </w:p>
        </w:tc>
        <w:tc>
          <w:tcPr>
            <w:tcW w:w="0" w:type="auto"/>
          </w:tcPr>
          <w:p w:rsidR="00D56E41" w:rsidRDefault="00927B6D" w:rsidP="00B42E6E">
            <w:pPr>
              <w:pStyle w:val="Tekstpodstawowy3"/>
              <w:suppressAutoHyphens/>
              <w:snapToGrid/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Nieruchomość: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położona w śródmiejskiej strefie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oznania, pomiędzy ulicami Mylną i Kościelną 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(o nawierzchniach asfaltowych);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działki gruntu tworzą kompleks o kształcie wydłużonego wieloboku, ukształtowanie terenu lekko pochyłe w kierunku wschodnim;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nieruchomość porośnięta niepielęgnowaną roślinnością trawiastą, pojedynczymi drzewami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krzewami lub ich niewielkimi skupiskami;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 xml:space="preserve">na części nieruchomości znajdują się utwardzenia: z trylinki, wylewki betonowej (w złym stanie technicznym), płyt betonowych, od strony zachodniej i wschodniej z kostki brukowej (funkcjonalna całość z chodnikami biegnącymi wzdłuż ulicy Mylnej i ulicy Kościelnej); 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na nieruchomości znajdują się m.in.: słupki metalowe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 strony ul. 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 xml:space="preserve">Kościelnej), słupy betonowe, słup drewniany, latarnie, niewielkie hałdy piasku, gruzu, betonowe płyty i betonowe elementy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uzbrojeniem, pozostałości krawężników betonowych;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nieruchomość częściowo odgrodzona różnego rodzaju ogrodzeniami (w zróżnicowanym stanie technicznym, przebieg części z nich nie pokrywa się z granicami nieruchomości), w tym: ogrodzeniem wykonanym z betonowych przęseł panelowych, siatkami przymocowanymi do stalowych lub drewnianych słupków, siatką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ramach, w ogrodzeniu od strony wschodniej znajduje się brama metalowa z siatki i furtka;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w centralnej części nieruchomości, w kierunku północno-południowym, znajdują się pozostałości ogrodzeń z elementów betonowych;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część terenu działek 116/2 i 117/6, znajdująca się poza ogrodzeniem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betonowych płyt żelbetowych, jest włączona do nieruchomości sąsiedniej i zajmowana pod parking (stanowiący funkcjonalną całość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parkingiem znajdującym się na nieruchomości sąsiedniej), na tej części nieruchomości miejskiej posadowiony jest m.in. szlaban do obsługi parkingu;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9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 xml:space="preserve">część terenu działki 117/4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ogrodzona wspólnie z działką nr 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 xml:space="preserve">117/3 ogrodzeniem tymczasowym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 xml:space="preserve">siatki metalowej umocowanej na drewnianych słupkach; 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10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stycznie do południowej granicy nieruchomości, w części jej przebiegu, znajdują się ściany szczytowe dwóch budynków usytuowanych na sąsiedniej nieruchomości, a w ścianach tych umieszczone są metalowe skrzynki z zamkniętymi drzwiczkami (po dwie skrzynki w każdej ze ścian);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11"/>
              </w:numPr>
              <w:suppressAutoHyphens/>
              <w:snapToGrid/>
              <w:spacing w:beforeLines="30" w:before="72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przez obszar nieruchomości przebiegają podziemne oraz naziemne elementy infrastruktury technicznej (m.in.: elementy sieci elektroenergetycznej, telekomunikacyjnej, cieplnej, wodociągowej, kanalizacyjnej (w tym deszczowej i sanitarnej), przyłącza, instalacje wewnętrzne, elementy i pozostałości infrastruktury oświetlenia terenu, tj. lampy na słupach betonowych, słupy drewniane, studzienki, kratki ściekowe, zasuwa przewodu wodociągowego);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11"/>
              </w:numPr>
              <w:suppressAutoHyphens/>
              <w:snapToGrid/>
              <w:spacing w:before="0" w:afterLines="30" w:after="72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najbliższe otoczenie stanowi zwarta i wolno stojąca zabudowa mieszkaniowa wielorodzinna (nowo powstała oraz starsza, ale zadbana), zabudowa usługowo-handlowa oraz stacja paliw, przy granicy nieruchomości od strony ulicy Kościelnej znajduje się lampa oświetlenia drogowego;</w:t>
            </w:r>
          </w:p>
          <w:p w:rsidR="00D56E41" w:rsidRDefault="00927B6D" w:rsidP="00B42E6E">
            <w:pPr>
              <w:numPr>
                <w:ilvl w:val="0"/>
                <w:numId w:val="11"/>
              </w:numPr>
              <w:spacing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B062C3">
              <w:rPr>
                <w:sz w:val="20"/>
                <w:szCs w:val="20"/>
              </w:rPr>
              <w:t>uzbrojenie w ulicach.</w:t>
            </w:r>
          </w:p>
        </w:tc>
        <w:tc>
          <w:tcPr>
            <w:tcW w:w="7342" w:type="dxa"/>
          </w:tcPr>
          <w:p w:rsidR="00D56E41" w:rsidRDefault="00927B6D" w:rsidP="00B42E6E">
            <w:pPr>
              <w:pStyle w:val="Tekstpodstawowy3"/>
              <w:suppressAutoHyphens/>
              <w:snapToGrid/>
              <w:spacing w:beforeLines="60" w:before="144" w:afterLines="60" w:after="144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Nieruchomość: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11"/>
              </w:numPr>
              <w:suppressAutoHyphens/>
              <w:snapToGrid/>
              <w:spacing w:beforeLines="60" w:before="144" w:afterLines="60" w:after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>położona w zachodnim klinie zieleni miasta Poznania, przy ulicy Michała Drzymały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6E41" w:rsidRDefault="00927B6D" w:rsidP="00B42E6E">
            <w:pPr>
              <w:pStyle w:val="Tekstpodstawowy3"/>
              <w:numPr>
                <w:ilvl w:val="0"/>
                <w:numId w:val="5"/>
              </w:numPr>
              <w:suppressAutoHyphens/>
              <w:snapToGrid/>
              <w:spacing w:beforeLines="30" w:before="72" w:afterLines="30" w:after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>działka gruntu o kształcie regularnym (zbliż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onym do prostokąta z wcięciem w </w:t>
            </w:r>
            <w:r w:rsidRPr="00E57C99">
              <w:rPr>
                <w:rFonts w:ascii="Times New Roman" w:hAnsi="Times New Roman" w:cs="Times New Roman"/>
                <w:sz w:val="20"/>
                <w:szCs w:val="20"/>
              </w:rPr>
              <w:t xml:space="preserve">północno-wschodniej części), część południowa działki o płaskim ukształtowaniu </w:t>
            </w:r>
            <w:r w:rsidRPr="00E57C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terenu, w części północnej ukształtowanie terenu jest nachylone w kierunku południowym;</w:t>
            </w:r>
          </w:p>
          <w:p w:rsidR="00D56E41" w:rsidRDefault="00927B6D" w:rsidP="00B42E6E">
            <w:pPr>
              <w:numPr>
                <w:ilvl w:val="0"/>
                <w:numId w:val="4"/>
              </w:numPr>
              <w:spacing w:beforeLines="30" w:before="72"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na terenie działki gruntu znajdują się budynki i budowle, większość z nich</w:t>
            </w:r>
            <w:r>
              <w:rPr>
                <w:sz w:val="20"/>
                <w:szCs w:val="20"/>
              </w:rPr>
              <w:t xml:space="preserve"> w złym i </w:t>
            </w:r>
            <w:r w:rsidRPr="00E57C99">
              <w:rPr>
                <w:sz w:val="20"/>
                <w:szCs w:val="20"/>
              </w:rPr>
              <w:t>bardzo złym stanie technicznym, ogrodzenia oraz pojedyncze, niep</w:t>
            </w:r>
            <w:r>
              <w:rPr>
                <w:sz w:val="20"/>
                <w:szCs w:val="20"/>
              </w:rPr>
              <w:t xml:space="preserve">ielęgnowane drzewa pochodzące z </w:t>
            </w:r>
            <w:r w:rsidRPr="00E57C99">
              <w:rPr>
                <w:sz w:val="20"/>
                <w:szCs w:val="20"/>
              </w:rPr>
              <w:t>nasadzeń;</w:t>
            </w:r>
          </w:p>
          <w:p w:rsidR="00D56E41" w:rsidRDefault="00927B6D" w:rsidP="00B42E6E">
            <w:pPr>
              <w:numPr>
                <w:ilvl w:val="0"/>
                <w:numId w:val="4"/>
              </w:numPr>
              <w:spacing w:beforeLines="30" w:before="72"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przez teren nieruchomości przebiega napowietrzna linia energetyczna 110kV;</w:t>
            </w:r>
          </w:p>
          <w:p w:rsidR="00D56E41" w:rsidRDefault="00927B6D" w:rsidP="00B42E6E">
            <w:pPr>
              <w:numPr>
                <w:ilvl w:val="0"/>
                <w:numId w:val="4"/>
              </w:numPr>
              <w:spacing w:beforeLines="30" w:before="72"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 xml:space="preserve">działka gruntu nie posiada bezpośredniego dostępu do drogi publicznej, dojazd realizowany jest poprzez </w:t>
            </w:r>
            <w:r w:rsidR="00B62316">
              <w:rPr>
                <w:sz w:val="20"/>
                <w:szCs w:val="20"/>
              </w:rPr>
              <w:t xml:space="preserve"> służebność gruntową polegającą na prawie przejazdu i przechodu przez </w:t>
            </w:r>
            <w:r w:rsidR="00E8742E">
              <w:rPr>
                <w:sz w:val="20"/>
                <w:szCs w:val="20"/>
              </w:rPr>
              <w:t>nieruchomość miejską</w:t>
            </w:r>
            <w:r w:rsidR="00CB239A">
              <w:rPr>
                <w:sz w:val="20"/>
                <w:szCs w:val="20"/>
              </w:rPr>
              <w:t>, objętą księgą wieczystą</w:t>
            </w:r>
            <w:r w:rsidR="00E8742E">
              <w:rPr>
                <w:sz w:val="20"/>
                <w:szCs w:val="20"/>
              </w:rPr>
              <w:t xml:space="preserve"> nr PO1P/00101787/2</w:t>
            </w:r>
            <w:r w:rsidRPr="00E57C99">
              <w:rPr>
                <w:sz w:val="20"/>
                <w:szCs w:val="20"/>
              </w:rPr>
              <w:t>;</w:t>
            </w:r>
          </w:p>
          <w:p w:rsidR="00D56E41" w:rsidRDefault="00927B6D" w:rsidP="00B42E6E">
            <w:pPr>
              <w:numPr>
                <w:ilvl w:val="0"/>
                <w:numId w:val="4"/>
              </w:numPr>
              <w:spacing w:beforeLines="30" w:before="72"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 xml:space="preserve">najbliższe otoczenie stanowi nowa oraz starsza ale zadbana zabudowa mieszkaniowa wielorodzinna niska, </w:t>
            </w:r>
            <w:r>
              <w:rPr>
                <w:sz w:val="20"/>
                <w:szCs w:val="20"/>
              </w:rPr>
              <w:t>38. Dwujęzyczne Liceum Ogólnokształcące</w:t>
            </w:r>
            <w:r w:rsidRPr="00E57C99">
              <w:rPr>
                <w:sz w:val="20"/>
                <w:szCs w:val="20"/>
              </w:rPr>
              <w:t>, szkolne schronisko Młodzieżowe TPD oraz tereny niezagospodarowane;</w:t>
            </w:r>
          </w:p>
          <w:p w:rsidR="00D56E41" w:rsidRDefault="00927B6D" w:rsidP="00B42E6E">
            <w:pPr>
              <w:numPr>
                <w:ilvl w:val="0"/>
                <w:numId w:val="4"/>
              </w:numPr>
              <w:spacing w:beforeLines="30" w:before="72"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dalsze otoczenie stanowi zabudowa mieszkaniowa wielorodzinna oraz willowa, tereny zieleni miejskiej, zabudowa usługowo-handlowa, niezagospodarowane tereny, na których trwają prace budowlane związane z budową budynków mieszkalnych wielorodzinnych;</w:t>
            </w:r>
          </w:p>
          <w:p w:rsidR="00D56E41" w:rsidRDefault="00927B6D" w:rsidP="00B42E6E">
            <w:pPr>
              <w:numPr>
                <w:ilvl w:val="0"/>
                <w:numId w:val="4"/>
              </w:numPr>
              <w:spacing w:beforeLines="30" w:before="72"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nieruchomość uzbrojona w przyłącza elektroenergetyczne, wodociągowe, telekomunikacyjne, kanalizacji sanitarnej i deszczowej, w zasięgu nieruchomości znajduje się sieć gazowa oraz ciepłownicza;</w:t>
            </w:r>
          </w:p>
          <w:p w:rsidR="00D56E41" w:rsidRDefault="00927B6D" w:rsidP="00B42E6E">
            <w:pPr>
              <w:numPr>
                <w:ilvl w:val="0"/>
                <w:numId w:val="4"/>
              </w:numPr>
              <w:spacing w:beforeLines="30" w:before="72" w:afterLines="30" w:after="72"/>
              <w:ind w:left="357" w:hanging="357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stan zagospodarowania działki gruntu przedstawia się następująco: na działce gruntu znajdują się:</w:t>
            </w:r>
          </w:p>
          <w:p w:rsidR="00D56E41" w:rsidRDefault="00927B6D" w:rsidP="00B42E6E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Lines="30" w:before="72" w:afterLines="30" w:after="72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pozostałości po budynku niemieszkalnym, którego powierzchnia zabudowy wynosiła 494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Pr="00E57C99">
              <w:rPr>
                <w:sz w:val="20"/>
                <w:szCs w:val="20"/>
              </w:rPr>
              <w:t>. Budynek uległ całkowitemu spaleniu – ściany, które zostały, wykonane są z cegły ceramicznej pełnej, częściowo wykonane z supremy, kominy murowane, ramy okienne drewniane. Budynek w bardzo złym stanie technicznym;</w:t>
            </w:r>
          </w:p>
          <w:p w:rsidR="00D56E41" w:rsidRDefault="00927B6D" w:rsidP="00B42E6E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Lines="30" w:before="72" w:afterLines="30" w:after="72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część parterowej wiaty</w:t>
            </w:r>
            <w:r>
              <w:rPr>
                <w:sz w:val="20"/>
                <w:szCs w:val="20"/>
              </w:rPr>
              <w:t>,</w:t>
            </w:r>
            <w:r w:rsidRPr="00E57C99">
              <w:rPr>
                <w:sz w:val="20"/>
                <w:szCs w:val="20"/>
              </w:rPr>
              <w:t xml:space="preserve"> której powierzchnia zabudowy wynosi 96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Pr="00E57C99">
              <w:rPr>
                <w:sz w:val="20"/>
                <w:szCs w:val="20"/>
              </w:rPr>
              <w:t>. Obiekt wykonany z</w:t>
            </w:r>
            <w:r>
              <w:rPr>
                <w:sz w:val="20"/>
                <w:szCs w:val="20"/>
              </w:rPr>
              <w:t xml:space="preserve"> </w:t>
            </w:r>
            <w:r w:rsidRPr="00E57C99">
              <w:rPr>
                <w:sz w:val="20"/>
                <w:szCs w:val="20"/>
              </w:rPr>
              <w:t>kształtowników stalowych (skorodowane, częściowo zniekształcone – wygięte</w:t>
            </w:r>
            <w:r>
              <w:rPr>
                <w:sz w:val="20"/>
                <w:szCs w:val="20"/>
              </w:rPr>
              <w:t xml:space="preserve">), ściany z </w:t>
            </w:r>
            <w:r w:rsidRPr="00E57C99">
              <w:rPr>
                <w:sz w:val="20"/>
                <w:szCs w:val="20"/>
              </w:rPr>
              <w:t>blachy (skorodowanej), brak poszycia dachu, posadzka betonowa. Wiata w złym stanie technicznym;</w:t>
            </w:r>
          </w:p>
          <w:p w:rsidR="00D56E41" w:rsidRDefault="00927B6D" w:rsidP="00B42E6E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Lines="30" w:before="72" w:afterLines="30" w:after="72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parterowy budynek niemieszkalny o powierzchni zabudowy 10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Pr="00E57C99">
              <w:rPr>
                <w:sz w:val="20"/>
                <w:szCs w:val="20"/>
              </w:rPr>
              <w:t>, ściany murowane, tynkowane, dach konstrukcji drewnianej, kryty papą na deskowaniu, stolarka okienna drewniana, stolarka drzwiowa drewniana. Budynek w złym stanie technicznym;</w:t>
            </w:r>
          </w:p>
          <w:p w:rsidR="00D56E41" w:rsidRDefault="00927B6D" w:rsidP="00B42E6E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Lines="30" w:before="72" w:afterLines="30" w:after="72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lastRenderedPageBreak/>
              <w:t>parterowy budynek garażowy o powierzchni zabudowy 53 m</w:t>
            </w:r>
            <w:r w:rsidRPr="00E57C99">
              <w:rPr>
                <w:sz w:val="20"/>
                <w:szCs w:val="20"/>
                <w:vertAlign w:val="superscript"/>
              </w:rPr>
              <w:t>2</w:t>
            </w:r>
            <w:r w:rsidRPr="00E57C99">
              <w:rPr>
                <w:sz w:val="20"/>
                <w:szCs w:val="20"/>
              </w:rPr>
              <w:t>. Obiekt wykonany z kształtowników stalowych, ściany z blachy, dach konstrukcji stalowej, kryty papą, posadzka betonowa, wrota garażow</w:t>
            </w:r>
            <w:r>
              <w:rPr>
                <w:sz w:val="20"/>
                <w:szCs w:val="20"/>
              </w:rPr>
              <w:t>e stalowe, budynek wyposażony w </w:t>
            </w:r>
            <w:r w:rsidRPr="00E57C99">
              <w:rPr>
                <w:sz w:val="20"/>
                <w:szCs w:val="20"/>
              </w:rPr>
              <w:t>instalację elektryczną. Budynek w zadowalającym stanie technicznym;</w:t>
            </w:r>
          </w:p>
          <w:p w:rsidR="00D56E41" w:rsidRDefault="00927B6D" w:rsidP="00B42E6E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Lines="30" w:before="72" w:afterLines="30" w:after="72"/>
              <w:ind w:left="720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t>ogrodzenia wykonane z siatki i przęseł stalowych (częściowo skorodowane);</w:t>
            </w:r>
          </w:p>
          <w:p w:rsidR="00D56E41" w:rsidRDefault="00927B6D" w:rsidP="00B42E6E">
            <w:pPr>
              <w:numPr>
                <w:ilvl w:val="1"/>
                <w:numId w:val="4"/>
              </w:numPr>
              <w:tabs>
                <w:tab w:val="clear" w:pos="1440"/>
                <w:tab w:val="num" w:pos="720"/>
              </w:tabs>
              <w:spacing w:beforeLines="30" w:before="72" w:afterLines="30" w:after="72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F7F">
              <w:rPr>
                <w:sz w:val="20"/>
                <w:szCs w:val="20"/>
              </w:rPr>
              <w:t>pojedyncze drzewa ozdobne</w:t>
            </w:r>
            <w:r w:rsidR="00B62316">
              <w:rPr>
                <w:sz w:val="20"/>
                <w:szCs w:val="20"/>
              </w:rPr>
              <w:t>.</w:t>
            </w:r>
          </w:p>
        </w:tc>
      </w:tr>
      <w:tr w:rsidR="00927B6D" w:rsidRPr="005F6837">
        <w:tc>
          <w:tcPr>
            <w:tcW w:w="0" w:type="auto"/>
          </w:tcPr>
          <w:p w:rsidR="00D56E41" w:rsidRDefault="00927B6D" w:rsidP="00B42E6E">
            <w:pPr>
              <w:numPr>
                <w:ilvl w:val="0"/>
                <w:numId w:val="1"/>
              </w:numPr>
              <w:tabs>
                <w:tab w:val="left" w:pos="216"/>
                <w:tab w:val="num" w:pos="360"/>
              </w:tabs>
              <w:spacing w:beforeLines="60" w:before="144" w:afterLines="60" w:after="144"/>
              <w:ind w:left="360"/>
              <w:rPr>
                <w:snapToGrid w:val="0"/>
                <w:sz w:val="20"/>
                <w:szCs w:val="20"/>
              </w:rPr>
            </w:pPr>
            <w:r w:rsidRPr="005F6837">
              <w:rPr>
                <w:snapToGrid w:val="0"/>
                <w:sz w:val="20"/>
                <w:szCs w:val="20"/>
              </w:rPr>
              <w:lastRenderedPageBreak/>
              <w:t xml:space="preserve">   </w:t>
            </w:r>
            <w:r>
              <w:rPr>
                <w:snapToGrid w:val="0"/>
                <w:sz w:val="20"/>
                <w:szCs w:val="20"/>
              </w:rPr>
              <w:t>P</w:t>
            </w:r>
            <w:r w:rsidRPr="005F6837">
              <w:rPr>
                <w:snapToGrid w:val="0"/>
                <w:sz w:val="20"/>
                <w:szCs w:val="20"/>
              </w:rPr>
              <w:t>rzeznaczenie w</w:t>
            </w:r>
            <w:r>
              <w:rPr>
                <w:snapToGrid w:val="0"/>
                <w:sz w:val="20"/>
                <w:szCs w:val="20"/>
              </w:rPr>
              <w:t> </w:t>
            </w:r>
            <w:r w:rsidRPr="005F6837">
              <w:rPr>
                <w:snapToGrid w:val="0"/>
                <w:sz w:val="20"/>
                <w:szCs w:val="20"/>
              </w:rPr>
              <w:t xml:space="preserve">planie zagospodarowania przestrzennego </w:t>
            </w:r>
          </w:p>
        </w:tc>
        <w:tc>
          <w:tcPr>
            <w:tcW w:w="0" w:type="auto"/>
          </w:tcPr>
          <w:p w:rsidR="00927B6D" w:rsidRPr="006A7C2E" w:rsidRDefault="00927B6D" w:rsidP="006A7C2E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sz w:val="20"/>
                <w:szCs w:val="20"/>
              </w:rPr>
            </w:pPr>
            <w:r w:rsidRPr="006A7C2E">
              <w:rPr>
                <w:color w:val="000000"/>
                <w:sz w:val="20"/>
                <w:szCs w:val="20"/>
              </w:rPr>
              <w:t xml:space="preserve">Nieruchomość położona jest na obszarze, na którym nie obowiązuje </w:t>
            </w:r>
            <w:r>
              <w:rPr>
                <w:color w:val="000000"/>
                <w:sz w:val="20"/>
                <w:szCs w:val="20"/>
              </w:rPr>
              <w:t>i </w:t>
            </w:r>
            <w:r w:rsidRPr="006A7C2E">
              <w:rPr>
                <w:color w:val="000000"/>
                <w:sz w:val="20"/>
                <w:szCs w:val="20"/>
              </w:rPr>
              <w:t xml:space="preserve">nie jest obecnie opracowywany żaden miejscowy plan zagospodarowania przestrzennego. </w:t>
            </w:r>
          </w:p>
          <w:p w:rsidR="00927B6D" w:rsidRPr="006A7C2E" w:rsidRDefault="00927B6D" w:rsidP="006A7C2E">
            <w:pPr>
              <w:pStyle w:val="Tekstblokowy"/>
              <w:spacing w:after="60"/>
              <w:ind w:left="0" w:right="51"/>
            </w:pPr>
            <w:r w:rsidRPr="006A7C2E">
              <w:t>W Studium uwarunkowań i kierunków zagospodarowania przestrzennego miasta Poznania</w:t>
            </w:r>
            <w:r w:rsidRPr="006A7C2E">
              <w:rPr>
                <w:i/>
                <w:iCs/>
              </w:rPr>
              <w:t>,</w:t>
            </w:r>
            <w:r>
              <w:t xml:space="preserve"> zatwierdzonym uchwałą Nr </w:t>
            </w:r>
            <w:r w:rsidRPr="006A7C2E">
              <w:t>LXXII/1137/VI/2014 Rady Miasta P</w:t>
            </w:r>
            <w:r>
              <w:t xml:space="preserve">oznania z dnia 23 września 2014 </w:t>
            </w:r>
            <w:r w:rsidRPr="006A7C2E">
              <w:t xml:space="preserve">r., nieruchomość znajduje się na obszarze oznaczonym symbolem: MW/U – tereny zabudowy mieszkaniowej lub zabudowy usługowej w obszarze funkcjonalnego Śródmieścia, jako kierunek przeznaczenia wiodący – zabudowa mieszkaniowa wielorodzinna lub usługowa, natomiast kierunek przeznaczenia uzupełniający stanowią zieleń (np.: parki, skwery), tereny sportu i rekreacji, tereny komunikacji i infrastruktury technicznej, tereny sportowo-rekreacyjne. </w:t>
            </w:r>
          </w:p>
          <w:p w:rsidR="00927B6D" w:rsidRDefault="00927B6D" w:rsidP="006A7C2E">
            <w:pPr>
              <w:pStyle w:val="Tekstblokowy"/>
              <w:tabs>
                <w:tab w:val="left" w:pos="0"/>
              </w:tabs>
              <w:spacing w:after="60"/>
              <w:ind w:left="0" w:right="51"/>
            </w:pPr>
            <w:r w:rsidRPr="006A7C2E">
              <w:t>Dla przedmiotowej nieruchomości zostały wydane następujące decyzje:</w:t>
            </w:r>
          </w:p>
          <w:p w:rsidR="00927B6D" w:rsidRPr="006A7C2E" w:rsidRDefault="00927B6D" w:rsidP="006A7C2E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after="60"/>
              <w:ind w:left="378" w:right="51" w:hanging="378"/>
            </w:pPr>
            <w:r w:rsidRPr="006A7C2E">
              <w:t xml:space="preserve">numer </w:t>
            </w:r>
            <w:r w:rsidRPr="006A7C2E">
              <w:rPr>
                <w:color w:val="auto"/>
              </w:rPr>
              <w:t xml:space="preserve">297/2020 z dnia 8 maja 2020 r., znak: UA-I.6730.575.2019,     dotycząca ustalenia warunków zabudowy dla inwestycji </w:t>
            </w:r>
            <w:r w:rsidRPr="006A7C2E">
              <w:t xml:space="preserve">polegającej na budowie zespołu budynków mieszkalnych wielorodzinnych, </w:t>
            </w:r>
            <w:r>
              <w:t>z </w:t>
            </w:r>
            <w:r w:rsidRPr="006A7C2E">
              <w:t>możliwością usługi w parterze, z podziemną halą garażową, zagospodarowaniem terenu oraz niezbędną infrastrukturą techniczną, przewidzianej do realizacji w rejonie ulic Kościelnej/Mylnej (działki 116/1, 116/2, 117/3, 117/4, 117/5, 117/6, 154/48 z arkusza mapy 10 obręb Jeżyce)</w:t>
            </w:r>
            <w:r w:rsidRPr="006A7C2E">
              <w:rPr>
                <w:color w:val="auto"/>
              </w:rPr>
              <w:t>;</w:t>
            </w:r>
          </w:p>
          <w:p w:rsidR="00927B6D" w:rsidRPr="006A7C2E" w:rsidRDefault="00927B6D" w:rsidP="006A7C2E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after="60"/>
              <w:ind w:left="378" w:right="51" w:hanging="378"/>
            </w:pPr>
            <w:r w:rsidRPr="006A7C2E">
              <w:lastRenderedPageBreak/>
              <w:t>numer 32</w:t>
            </w:r>
            <w:r w:rsidRPr="006A7C2E">
              <w:rPr>
                <w:color w:val="auto"/>
              </w:rPr>
              <w:t>/2019 z dnia 5 marca 2019 r., znak: UA-II-U04.6730.1252.2018, dotycząca odmowy ustalenia warunków zabudowy dla inwestycji polegającej na budowie zespołu budynku usługowego (działalność gastronomiczna) przy ulicy Kościelnej 32 (działka 116/1 z arkusza mapy 10 obręb Jeżyce);</w:t>
            </w:r>
          </w:p>
          <w:p w:rsidR="00927B6D" w:rsidRDefault="00927B6D" w:rsidP="006A7C2E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after="60"/>
              <w:ind w:left="378" w:right="51" w:hanging="378"/>
            </w:pPr>
            <w:r w:rsidRPr="006A7C2E">
              <w:t>numer 150/2007 z dnia 1 czerwca 2007 r., znak: UA.II.U04/73314-110/07, dotycząca lokalizacji inwestycji celu publicznego polegającej na ustaleniu lokalizacji tymczasowej elektroenergetycznej linii napowietrznej nn 0,4kV dla zasilania placu budowy zespołu budynków mieszkalnych przy ulicy Mylnej 40 i kościelnej 30 (działki 116/2, 117/2, 119, 121, 125 z arkusza mapy 10 obręb Jeżyce);</w:t>
            </w:r>
          </w:p>
          <w:p w:rsidR="00927B6D" w:rsidRPr="006A7C2E" w:rsidRDefault="00927B6D" w:rsidP="006A7C2E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after="60"/>
              <w:ind w:left="378" w:right="51" w:hanging="378"/>
            </w:pPr>
            <w:r w:rsidRPr="006A7C2E">
              <w:t>numer 2425</w:t>
            </w:r>
            <w:r w:rsidRPr="006A7C2E">
              <w:rPr>
                <w:color w:val="auto"/>
              </w:rPr>
              <w:t>/2008 z dnia 10 października 2008 r., znak: UA.IV.A04/73510-2984/08, dotycząca udzielenia pozwolenia na rozbiórkę spalonego budynku barakowego przy ulicy Kościelnej 32 (działka 116/1 z arkusza mapy 10 obręb Jeżyce);</w:t>
            </w:r>
          </w:p>
          <w:p w:rsidR="00927B6D" w:rsidRPr="006A7C2E" w:rsidRDefault="00927B6D" w:rsidP="006A7C2E">
            <w:pPr>
              <w:pStyle w:val="Tekstblokowy"/>
              <w:numPr>
                <w:ilvl w:val="0"/>
                <w:numId w:val="3"/>
              </w:numPr>
              <w:tabs>
                <w:tab w:val="left" w:pos="0"/>
              </w:tabs>
              <w:spacing w:after="60"/>
              <w:ind w:left="378" w:right="51" w:hanging="378"/>
            </w:pPr>
            <w:r w:rsidRPr="006A7C2E">
              <w:t>numer 2468</w:t>
            </w:r>
            <w:r w:rsidRPr="006A7C2E">
              <w:rPr>
                <w:color w:val="auto"/>
              </w:rPr>
              <w:t>/2008 z dnia 15 października 2008 r., znak: UA.IV.A04/73510-2985/08, dotycząca udzielenia pozwolenia na rozbiórkę budynku magazynowego oraz budynku kontenerowego portierni przy ulicy Mylnej 42 (działka 116/2 z arkusza mapy 10 obręb Jeżyce).</w:t>
            </w:r>
          </w:p>
          <w:p w:rsidR="00927B6D" w:rsidRPr="006A7C2E" w:rsidRDefault="00927B6D" w:rsidP="006A7C2E">
            <w:pPr>
              <w:pStyle w:val="Tekstblokowy"/>
              <w:tabs>
                <w:tab w:val="left" w:pos="0"/>
              </w:tabs>
              <w:spacing w:after="60"/>
              <w:ind w:left="0" w:right="51"/>
              <w:rPr>
                <w:b/>
                <w:bCs/>
                <w:color w:val="auto"/>
              </w:rPr>
            </w:pPr>
            <w:r>
              <w:rPr>
                <w:lang w:eastAsia="en-US"/>
              </w:rPr>
              <w:t>Powyższe wynika z pisma nr UA-IV.6724.1122.2020 Wydziału Urbanistyki i Architektury Urzędu Miasta Poznania z dnia 16 lipca 2020 r.</w:t>
            </w:r>
          </w:p>
        </w:tc>
        <w:tc>
          <w:tcPr>
            <w:tcW w:w="7342" w:type="dxa"/>
          </w:tcPr>
          <w:p w:rsidR="00927B6D" w:rsidRPr="00707B97" w:rsidRDefault="00927B6D" w:rsidP="00B42E6E">
            <w:pPr>
              <w:spacing w:beforeLines="30" w:before="72" w:afterLines="30" w:after="72"/>
              <w:jc w:val="both"/>
              <w:rPr>
                <w:sz w:val="20"/>
                <w:szCs w:val="20"/>
              </w:rPr>
            </w:pPr>
            <w:r w:rsidRPr="00E57C99">
              <w:rPr>
                <w:sz w:val="20"/>
                <w:szCs w:val="20"/>
              </w:rPr>
              <w:lastRenderedPageBreak/>
              <w:t xml:space="preserve">Nieruchomość położona jest na terenie, dla którego nie obowiązuje żaden miejscowy plan zagospodarowania przestrzennego, natomiast w opracowaniu jest miejscowy plan zagospodarowania przestrzennego „Sołacz – część C” w Poznaniu, wywołany uchwałą Nr LXXVI/1087/V/2010 Rady Miasta Poznania z dnia 31 sierpnia 2010 r., w którym została oznaczona symbolami: </w:t>
            </w:r>
            <w:r w:rsidRPr="00707B97">
              <w:rPr>
                <w:sz w:val="20"/>
                <w:szCs w:val="20"/>
              </w:rPr>
              <w:t>MW/U – teren zabudowy mieszkaniowej wielorodzinnej lub usługowej, 2KD-D – teren drogi publicznej, 3KDWxs – teren drogi wewnętrznej.</w:t>
            </w:r>
          </w:p>
          <w:p w:rsidR="00D56E41" w:rsidRDefault="00927B6D" w:rsidP="00B42E6E">
            <w:pPr>
              <w:pStyle w:val="Tekstblokowy"/>
              <w:spacing w:beforeLines="30" w:before="72" w:afterLines="30" w:after="72"/>
              <w:ind w:left="0" w:right="51"/>
            </w:pPr>
            <w:r w:rsidRPr="00707B97">
              <w:t xml:space="preserve">W </w:t>
            </w:r>
            <w:r w:rsidRPr="00707B97">
              <w:rPr>
                <w:i/>
                <w:iCs/>
              </w:rPr>
              <w:t>Studium uwarunkowań i kierunków zagospodarowania przestrzennego miasta Poznania,</w:t>
            </w:r>
            <w:r w:rsidRPr="00707B97">
              <w:t xml:space="preserve"> zatwierdzonym uchwałą Nr LXXII/1137/VI/2014 Rady Miasta Poznania z dnia 23 września 2014 r., nieruchomość znajduje się na obszarze oznaczonym symbolem: MW* – tereny zabudowy mieszkaniowej wielorodzinnej niskiej, w grupie terenów zabudowanych lub dopuszczonych do zabudowy, ale o ograniczeniach wynikających z konieczności ochrony zasobów środowiska i krajobrazu. Jako</w:t>
            </w:r>
            <w:r w:rsidRPr="00E57C99">
              <w:t xml:space="preserve"> uzupełniający kierunek przeznaczenia – zabudowa usługowa towarzysząca zabudowie mieszkaniowej, domy opieki społecznej, domy seniora, zieleń (np.: parki, skwery), tereny sportu i rekreacji, tereny komunikacji i infrastruktury technicznej. </w:t>
            </w:r>
          </w:p>
          <w:p w:rsidR="00D56E41" w:rsidRDefault="00927B6D" w:rsidP="00B42E6E">
            <w:pPr>
              <w:pStyle w:val="Tekstblokowy"/>
              <w:spacing w:beforeLines="30" w:before="72" w:afterLines="30" w:after="72"/>
              <w:ind w:left="0" w:right="51"/>
            </w:pPr>
            <w:r w:rsidRPr="00E57C99">
              <w:t>Dla przedmiotowej nieruchomości zostały wydane następujące decyzje:</w:t>
            </w:r>
          </w:p>
          <w:p w:rsidR="00D56E41" w:rsidRDefault="00927B6D" w:rsidP="00B42E6E">
            <w:pPr>
              <w:pStyle w:val="Tekstblokowy"/>
              <w:numPr>
                <w:ilvl w:val="0"/>
                <w:numId w:val="12"/>
              </w:numPr>
              <w:spacing w:beforeLines="30" w:before="72" w:afterLines="30" w:after="72"/>
              <w:ind w:left="408" w:right="51" w:hanging="408"/>
              <w:rPr>
                <w:b/>
                <w:bCs/>
                <w:color w:val="auto"/>
              </w:rPr>
            </w:pPr>
            <w:r w:rsidRPr="00E57C99">
              <w:t xml:space="preserve">numer </w:t>
            </w:r>
            <w:r w:rsidRPr="00E57C99">
              <w:rPr>
                <w:color w:val="auto"/>
              </w:rPr>
              <w:t>394/2019 z dnia 25 czerwca 2019 r., znak: UA-II-U04.6730.650.2018, dotycząca ustalenia warunków zabudowy dla inwestycji polegającej na budowie trzech budynków mieszkalnych wielorodzinnych z usługami w parterze (działka 6/1 z arkusza mapy 41 obręb Golęcin);</w:t>
            </w:r>
          </w:p>
          <w:p w:rsidR="00D56E41" w:rsidRDefault="00927B6D" w:rsidP="00B42E6E">
            <w:pPr>
              <w:pStyle w:val="Tekstblokowy"/>
              <w:numPr>
                <w:ilvl w:val="0"/>
                <w:numId w:val="12"/>
              </w:numPr>
              <w:spacing w:beforeLines="30" w:before="72" w:afterLines="30" w:after="72"/>
              <w:ind w:left="408" w:right="51" w:hanging="408"/>
              <w:rPr>
                <w:b/>
                <w:bCs/>
                <w:color w:val="auto"/>
              </w:rPr>
            </w:pPr>
            <w:r w:rsidRPr="00E57C99">
              <w:t xml:space="preserve">numer 252/2018 z dnia 25 kwietnia 2018 r.,  znak: UA-II-U04.6730.1239.2016, dotycząca ustalenia warunków zabudowy dla inwestycji polegającej na budowie </w:t>
            </w:r>
            <w:r w:rsidRPr="00E57C99">
              <w:lastRenderedPageBreak/>
              <w:t>budynków mieszkalnych wielorodzinnych (działki 6/1, 6/11, 6/12 i 32/13 z</w:t>
            </w:r>
            <w:r>
              <w:t> </w:t>
            </w:r>
            <w:r w:rsidRPr="00E57C99">
              <w:t>arkusza mapy 41 obręb Golęcin);</w:t>
            </w:r>
          </w:p>
          <w:p w:rsidR="00D56E41" w:rsidRDefault="00927B6D" w:rsidP="00B42E6E">
            <w:pPr>
              <w:pStyle w:val="Tekstblokowy"/>
              <w:numPr>
                <w:ilvl w:val="0"/>
                <w:numId w:val="12"/>
              </w:numPr>
              <w:spacing w:beforeLines="30" w:before="72" w:afterLines="30" w:after="72"/>
              <w:ind w:left="400" w:right="51" w:hanging="400"/>
              <w:rPr>
                <w:b/>
                <w:bCs/>
                <w:color w:val="auto"/>
              </w:rPr>
            </w:pPr>
            <w:r w:rsidRPr="00E57C99">
              <w:t>numer 203</w:t>
            </w:r>
            <w:r w:rsidRPr="00E57C99">
              <w:rPr>
                <w:color w:val="auto"/>
              </w:rPr>
              <w:t>/2016 z dnia 23 września 2016 r., znak: UA-II-U04.6730.232.2016, dotycząca odmowy ustalenia warunków zabudowy dla inwestycji polegającej na budowie zespołu budynków mieszkalnych wielorodzinnych z usługami w parterze oraz podziemną halą garażową (działki 6/1, 6/7 i 32/13 z arkusza mapy 41 obręb Golęcin);</w:t>
            </w:r>
          </w:p>
          <w:p w:rsidR="00D56E41" w:rsidRDefault="00927B6D" w:rsidP="00B42E6E">
            <w:pPr>
              <w:pStyle w:val="Tekstblokowy"/>
              <w:numPr>
                <w:ilvl w:val="0"/>
                <w:numId w:val="12"/>
              </w:numPr>
              <w:spacing w:beforeLines="30" w:before="72" w:afterLines="30" w:after="72"/>
              <w:ind w:left="408" w:right="51" w:hanging="408"/>
              <w:rPr>
                <w:b/>
                <w:bCs/>
                <w:color w:val="auto"/>
              </w:rPr>
            </w:pPr>
            <w:r w:rsidRPr="00E57C99">
              <w:t>numer 7193</w:t>
            </w:r>
            <w:r w:rsidRPr="00E57C99">
              <w:rPr>
                <w:color w:val="auto"/>
              </w:rPr>
              <w:t xml:space="preserve"> z dnia 4 września 1954 r., znak: B.VI3/53/187/54, dotycząca udzielenia odwołanego pozwolenia na budowę baraku biurowego z elementów gotowych na nieruchomości przy ulicy D</w:t>
            </w:r>
            <w:r w:rsidR="0042123B">
              <w:rPr>
                <w:color w:val="auto"/>
              </w:rPr>
              <w:t>r</w:t>
            </w:r>
            <w:r w:rsidRPr="00E57C99">
              <w:rPr>
                <w:color w:val="auto"/>
              </w:rPr>
              <w:t>zymały 3A.</w:t>
            </w:r>
          </w:p>
          <w:p w:rsidR="00D56E41" w:rsidRDefault="00927B6D" w:rsidP="00B42E6E">
            <w:pPr>
              <w:pStyle w:val="Tekstblokowy"/>
              <w:spacing w:beforeLines="30" w:before="72" w:afterLines="30" w:after="72"/>
              <w:ind w:left="-25" w:right="51"/>
              <w:rPr>
                <w:b/>
                <w:bCs/>
                <w:color w:val="auto"/>
              </w:rPr>
            </w:pPr>
            <w:r>
              <w:rPr>
                <w:lang w:eastAsia="en-US"/>
              </w:rPr>
              <w:t>Powyższe wynika z pisma nr UA-IV.6724.103.2020 Wydziału Urbanistyki i Architektury Urzędu Miasta Poznania z dnia 12 lutego 2020 r. oraz pisma nr MPU-Z1/5041-86/Sdc/20 Miejskiej Pracowni Urbanistycznej z dnia 27 stycznia 2020 r.</w:t>
            </w:r>
          </w:p>
        </w:tc>
      </w:tr>
      <w:tr w:rsidR="00927B6D" w:rsidRPr="005F6837">
        <w:tc>
          <w:tcPr>
            <w:tcW w:w="0" w:type="auto"/>
          </w:tcPr>
          <w:p w:rsidR="00D56E41" w:rsidRDefault="00927B6D" w:rsidP="00B42E6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Lines="60" w:before="144" w:afterLines="60" w:after="144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F</w:t>
            </w:r>
            <w:r w:rsidRPr="0048091A">
              <w:rPr>
                <w:snapToGrid w:val="0"/>
                <w:sz w:val="20"/>
                <w:szCs w:val="20"/>
              </w:rPr>
              <w:t>orma i tryb zbycia</w:t>
            </w:r>
          </w:p>
        </w:tc>
        <w:tc>
          <w:tcPr>
            <w:tcW w:w="13266" w:type="dxa"/>
            <w:gridSpan w:val="2"/>
          </w:tcPr>
          <w:p w:rsidR="00D56E41" w:rsidRDefault="00927B6D" w:rsidP="00B42E6E">
            <w:pPr>
              <w:spacing w:beforeLines="30" w:before="72" w:afterLines="30" w:after="72"/>
              <w:jc w:val="both"/>
              <w:rPr>
                <w:sz w:val="20"/>
                <w:szCs w:val="20"/>
              </w:rPr>
            </w:pPr>
            <w:r w:rsidRPr="0048091A">
              <w:rPr>
                <w:snapToGrid w:val="0"/>
                <w:sz w:val="20"/>
                <w:szCs w:val="20"/>
              </w:rPr>
              <w:t>Zbycie w trybie bezprzetargowym w drodze umowy zamiany zgodnie z art. 15 ustawy z dnia</w:t>
            </w:r>
            <w:r w:rsidRPr="0048091A">
              <w:rPr>
                <w:sz w:val="20"/>
                <w:szCs w:val="20"/>
              </w:rPr>
              <w:t xml:space="preserve"> 21 sierpnia 1997 r. o gospodarce nieruchomościami (Dz. U. z 2020 r. poz. 65 j.t. ze zm.).</w:t>
            </w:r>
          </w:p>
          <w:p w:rsidR="00D56E41" w:rsidRDefault="00927B6D" w:rsidP="00B42E6E">
            <w:pPr>
              <w:pStyle w:val="Nagwek2"/>
              <w:spacing w:beforeLines="30" w:before="72" w:afterLines="30" w:after="72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Miasto Poznań przeniesie na rzecz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M4 Development Spółka z ograniczoną odpowiedzialnością Spółka komandytowa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własność nieruchomości, oznaczonych w ewidencji gruntów jako: działki 116/1, 116/2, 117/4, 117/6 i 154/48 z arkusza mapy 10 obręb Jeżyce, a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M4 Development Spółka z ograniczoną odpowiedzialnością Spółka komandytowa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przeniesie w zamian na rzecz Miasta Poznania przysługujące jej prawo użytkowania nieruchomości, oznaczonej w ewidencji gruntów jako: działka 6/1 z arkusza mapy 41 obręb Golęcin, stanowiącej własność Skarbu Państwa w użytkowaniu wieczystym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M4 Development Spółka z ograniczoną odpowiedzialnością Spółka komandytowa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.</w:t>
            </w:r>
          </w:p>
        </w:tc>
      </w:tr>
      <w:tr w:rsidR="00927B6D" w:rsidRPr="005F6837">
        <w:tc>
          <w:tcPr>
            <w:tcW w:w="0" w:type="auto"/>
          </w:tcPr>
          <w:p w:rsidR="00D56E41" w:rsidRDefault="00927B6D" w:rsidP="00B42E6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Lines="60" w:before="144" w:afterLines="60" w:after="144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C</w:t>
            </w:r>
            <w:r w:rsidRPr="0048091A">
              <w:rPr>
                <w:snapToGrid w:val="0"/>
                <w:sz w:val="20"/>
                <w:szCs w:val="20"/>
              </w:rPr>
              <w:t xml:space="preserve">ena nieruchomości </w:t>
            </w:r>
          </w:p>
        </w:tc>
        <w:tc>
          <w:tcPr>
            <w:tcW w:w="0" w:type="auto"/>
          </w:tcPr>
          <w:p w:rsidR="00D56E41" w:rsidRDefault="00927B6D" w:rsidP="00B42E6E">
            <w:pPr>
              <w:spacing w:beforeLines="30" w:before="72" w:afterLines="30" w:after="72"/>
              <w:jc w:val="both"/>
              <w:rPr>
                <w:color w:val="000000"/>
                <w:sz w:val="20"/>
                <w:szCs w:val="20"/>
              </w:rPr>
            </w:pPr>
            <w:r w:rsidRPr="0048091A">
              <w:rPr>
                <w:color w:val="000000"/>
                <w:sz w:val="20"/>
                <w:szCs w:val="20"/>
              </w:rPr>
              <w:t xml:space="preserve">Cena działek miejskich, zbywanych w drodze umowy zamiany, wynosi: </w:t>
            </w:r>
            <w:r w:rsidRPr="0048091A">
              <w:rPr>
                <w:sz w:val="20"/>
                <w:szCs w:val="20"/>
              </w:rPr>
              <w:t>7.207.091,52 zł</w:t>
            </w:r>
            <w:r w:rsidRPr="0048091A">
              <w:rPr>
                <w:color w:val="000000"/>
                <w:sz w:val="20"/>
                <w:szCs w:val="20"/>
              </w:rPr>
              <w:t xml:space="preserve"> (słownie: siedem milionów dwieście siedem tysięcy dziewięćdziesiąt jeden złotych 52/100), w tym </w:t>
            </w:r>
            <w:r w:rsidRPr="004809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8091A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> </w:t>
            </w:r>
            <w:r w:rsidRPr="0048091A">
              <w:rPr>
                <w:sz w:val="20"/>
                <w:szCs w:val="20"/>
              </w:rPr>
              <w:t xml:space="preserve">667,52 </w:t>
            </w:r>
            <w:r w:rsidRPr="0048091A">
              <w:rPr>
                <w:color w:val="000000"/>
                <w:sz w:val="20"/>
                <w:szCs w:val="20"/>
              </w:rPr>
              <w:t>zł podatku VAT.</w:t>
            </w:r>
          </w:p>
        </w:tc>
        <w:tc>
          <w:tcPr>
            <w:tcW w:w="7342" w:type="dxa"/>
          </w:tcPr>
          <w:p w:rsidR="00D56E41" w:rsidRDefault="00927B6D" w:rsidP="00B42E6E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48091A">
              <w:rPr>
                <w:color w:val="000000"/>
                <w:sz w:val="20"/>
                <w:szCs w:val="20"/>
              </w:rPr>
              <w:t xml:space="preserve">Cena </w:t>
            </w:r>
            <w:r>
              <w:rPr>
                <w:color w:val="000000"/>
                <w:sz w:val="20"/>
                <w:szCs w:val="20"/>
              </w:rPr>
              <w:t>dział</w:t>
            </w:r>
            <w:r w:rsidRPr="0048091A">
              <w:rPr>
                <w:color w:val="000000"/>
                <w:sz w:val="20"/>
                <w:szCs w:val="20"/>
              </w:rPr>
              <w:t>k</w:t>
            </w:r>
            <w:r>
              <w:rPr>
                <w:color w:val="000000"/>
                <w:sz w:val="20"/>
                <w:szCs w:val="20"/>
              </w:rPr>
              <w:t>i</w:t>
            </w:r>
            <w:r w:rsidRPr="0048091A">
              <w:rPr>
                <w:color w:val="000000"/>
                <w:sz w:val="20"/>
                <w:szCs w:val="20"/>
              </w:rPr>
              <w:t xml:space="preserve"> pozyskan</w:t>
            </w:r>
            <w:r>
              <w:rPr>
                <w:color w:val="000000"/>
                <w:sz w:val="20"/>
                <w:szCs w:val="20"/>
              </w:rPr>
              <w:t>ej</w:t>
            </w:r>
            <w:r w:rsidRPr="0048091A">
              <w:rPr>
                <w:color w:val="000000"/>
                <w:sz w:val="20"/>
                <w:szCs w:val="20"/>
              </w:rPr>
              <w:t xml:space="preserve"> do zasobu Miasta Poznania wynosi: </w:t>
            </w:r>
            <w:r w:rsidRPr="004809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48091A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> </w:t>
            </w:r>
            <w:r w:rsidRPr="0048091A">
              <w:rPr>
                <w:sz w:val="20"/>
                <w:szCs w:val="20"/>
              </w:rPr>
              <w:t>247,00</w:t>
            </w:r>
            <w:r w:rsidRPr="0048091A">
              <w:rPr>
                <w:color w:val="000000"/>
                <w:sz w:val="20"/>
                <w:szCs w:val="20"/>
              </w:rPr>
              <w:t xml:space="preserve"> (słownie: </w:t>
            </w:r>
            <w:r>
              <w:rPr>
                <w:color w:val="000000"/>
                <w:sz w:val="20"/>
                <w:szCs w:val="20"/>
              </w:rPr>
              <w:t>pięć milionów sześćset siedemdziesiąt osiem</w:t>
            </w:r>
            <w:r w:rsidRPr="0048091A">
              <w:rPr>
                <w:color w:val="000000"/>
                <w:sz w:val="20"/>
                <w:szCs w:val="20"/>
              </w:rPr>
              <w:t xml:space="preserve"> tysięcy </w:t>
            </w:r>
            <w:r>
              <w:rPr>
                <w:color w:val="000000"/>
                <w:sz w:val="20"/>
                <w:szCs w:val="20"/>
              </w:rPr>
              <w:t>dwieście czterdzieści siedem</w:t>
            </w:r>
            <w:r w:rsidRPr="0048091A">
              <w:rPr>
                <w:color w:val="000000"/>
                <w:sz w:val="20"/>
                <w:szCs w:val="20"/>
              </w:rPr>
              <w:t xml:space="preserve"> złotych 00/100), zwolnienie z podatku VAT.</w:t>
            </w:r>
          </w:p>
        </w:tc>
      </w:tr>
      <w:tr w:rsidR="00927B6D" w:rsidRPr="005F6837">
        <w:tc>
          <w:tcPr>
            <w:tcW w:w="0" w:type="auto"/>
          </w:tcPr>
          <w:p w:rsidR="00D56E41" w:rsidRDefault="00927B6D" w:rsidP="00B42E6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Lines="60" w:before="144" w:afterLines="60" w:after="144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13266" w:type="dxa"/>
            <w:gridSpan w:val="2"/>
          </w:tcPr>
          <w:p w:rsidR="00927B6D" w:rsidRPr="00707B97" w:rsidRDefault="00927B6D" w:rsidP="00B0703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07035">
              <w:rPr>
                <w:sz w:val="20"/>
                <w:szCs w:val="20"/>
              </w:rPr>
              <w:t xml:space="preserve">Mając na uwadze powyższe, M4 Development Spółka z ograniczoną odpowiedzialnością Spółka komandytowa dopłaci na rzecz Miasta Poznania kwotę </w:t>
            </w:r>
            <w:r w:rsidRPr="007F1C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F1C3D"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</w:rPr>
              <w:t> </w:t>
            </w:r>
            <w:r w:rsidRPr="007F1C3D">
              <w:rPr>
                <w:sz w:val="20"/>
                <w:szCs w:val="20"/>
              </w:rPr>
              <w:t xml:space="preserve">844,52 zł, słownie: jeden milion pięćset dwadzieścia osiem tysięcy osiemset czterdzieści cztery złote 52/100, tytułem różnicy </w:t>
            </w:r>
            <w:r w:rsidRPr="00B07035">
              <w:rPr>
                <w:sz w:val="20"/>
                <w:szCs w:val="20"/>
              </w:rPr>
              <w:t>cen zamienianych praw do nieruchomości</w:t>
            </w:r>
            <w:r w:rsidR="0042123B">
              <w:rPr>
                <w:sz w:val="20"/>
                <w:szCs w:val="20"/>
              </w:rPr>
              <w:t xml:space="preserve">, </w:t>
            </w:r>
            <w:r w:rsidRPr="00B07035">
              <w:rPr>
                <w:sz w:val="20"/>
                <w:szCs w:val="20"/>
              </w:rPr>
              <w:t xml:space="preserve">na wskazany przez Miasto Poznań w akcie notarialnym numer konta bankowego. </w:t>
            </w:r>
          </w:p>
          <w:p w:rsidR="00927B6D" w:rsidRPr="00707B97" w:rsidRDefault="00927B6D" w:rsidP="00707B97">
            <w:pPr>
              <w:spacing w:before="60" w:after="60"/>
              <w:jc w:val="both"/>
              <w:rPr>
                <w:snapToGrid w:val="0"/>
                <w:sz w:val="20"/>
                <w:szCs w:val="20"/>
              </w:rPr>
            </w:pPr>
            <w:r w:rsidRPr="00707B97">
              <w:rPr>
                <w:snapToGrid w:val="0"/>
                <w:sz w:val="20"/>
                <w:szCs w:val="20"/>
              </w:rPr>
              <w:t xml:space="preserve">Wyznacza się termin 6 tygodni, licząc od dnia wywieszenia wykazu do złożenia wniosku przez osoby, którym przysługuje pierwszeństwo w nabyciu nieruchomości, </w:t>
            </w:r>
            <w:r w:rsidRPr="00707B97">
              <w:rPr>
                <w:snapToGrid w:val="0"/>
                <w:sz w:val="20"/>
                <w:szCs w:val="20"/>
              </w:rPr>
              <w:lastRenderedPageBreak/>
              <w:t>na podstawie art. 34 ust. 1 pkt 2 ustawy z dnia 21 sierpnia 1997 r. o gospodarce nieruchomościami.</w:t>
            </w:r>
          </w:p>
        </w:tc>
      </w:tr>
    </w:tbl>
    <w:p w:rsidR="00927B6D" w:rsidRPr="005F6837" w:rsidRDefault="00927B6D" w:rsidP="00B42E6E">
      <w:pPr>
        <w:spacing w:beforeLines="60" w:before="144" w:afterLines="60" w:after="144"/>
        <w:rPr>
          <w:sz w:val="20"/>
          <w:szCs w:val="20"/>
        </w:rPr>
      </w:pPr>
    </w:p>
    <w:p w:rsidR="00927B6D" w:rsidRPr="005F6837" w:rsidRDefault="00927B6D" w:rsidP="00B42E6E">
      <w:pPr>
        <w:spacing w:beforeLines="60" w:before="144" w:afterLines="60" w:after="144"/>
        <w:rPr>
          <w:sz w:val="20"/>
          <w:szCs w:val="20"/>
        </w:rPr>
      </w:pPr>
    </w:p>
    <w:p w:rsidR="00C94B2F" w:rsidRDefault="00C94B2F" w:rsidP="00701114">
      <w:pPr>
        <w:spacing w:beforeLines="60" w:before="144" w:afterLines="60" w:after="144"/>
        <w:rPr>
          <w:sz w:val="20"/>
          <w:szCs w:val="20"/>
        </w:rPr>
      </w:pPr>
    </w:p>
    <w:sectPr w:rsidR="00C94B2F" w:rsidSect="0039600A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EA" w:rsidRDefault="00AD0AEA" w:rsidP="00F66CAA">
      <w:r>
        <w:separator/>
      </w:r>
    </w:p>
  </w:endnote>
  <w:endnote w:type="continuationSeparator" w:id="0">
    <w:p w:rsidR="00AD0AEA" w:rsidRDefault="00AD0AEA" w:rsidP="00F6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6D" w:rsidRDefault="00701114">
    <w:pPr>
      <w:pStyle w:val="Stopka"/>
      <w:jc w:val="right"/>
    </w:pPr>
    <w:r>
      <w:fldChar w:fldCharType="begin"/>
    </w:r>
    <w:r w:rsidR="00B32901">
      <w:instrText>PAGE   \* MERGEFORMAT</w:instrText>
    </w:r>
    <w:r>
      <w:fldChar w:fldCharType="separate"/>
    </w:r>
    <w:r w:rsidR="004B56B0">
      <w:rPr>
        <w:noProof/>
      </w:rPr>
      <w:t>2</w:t>
    </w:r>
    <w:r>
      <w:rPr>
        <w:noProof/>
      </w:rPr>
      <w:fldChar w:fldCharType="end"/>
    </w:r>
  </w:p>
  <w:p w:rsidR="00927B6D" w:rsidRDefault="00927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EA" w:rsidRDefault="00AD0AEA" w:rsidP="00F66CAA">
      <w:r>
        <w:separator/>
      </w:r>
    </w:p>
  </w:footnote>
  <w:footnote w:type="continuationSeparator" w:id="0">
    <w:p w:rsidR="00AD0AEA" w:rsidRDefault="00AD0AEA" w:rsidP="00F6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3B8B"/>
    <w:multiLevelType w:val="hybridMultilevel"/>
    <w:tmpl w:val="1BD2B966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8587A"/>
    <w:multiLevelType w:val="hybridMultilevel"/>
    <w:tmpl w:val="4094D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33595"/>
    <w:multiLevelType w:val="hybridMultilevel"/>
    <w:tmpl w:val="12E670AE"/>
    <w:lvl w:ilvl="0" w:tplc="3A0EAD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50B22"/>
    <w:multiLevelType w:val="hybridMultilevel"/>
    <w:tmpl w:val="DD189D6A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2F5528"/>
    <w:multiLevelType w:val="hybridMultilevel"/>
    <w:tmpl w:val="6CDCC824"/>
    <w:lvl w:ilvl="0" w:tplc="2D2C495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5001DB"/>
    <w:multiLevelType w:val="hybridMultilevel"/>
    <w:tmpl w:val="CA80268C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C5857"/>
    <w:multiLevelType w:val="hybridMultilevel"/>
    <w:tmpl w:val="E4B8F6FC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CB38A1"/>
    <w:multiLevelType w:val="hybridMultilevel"/>
    <w:tmpl w:val="2C2E5FA8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991466"/>
    <w:multiLevelType w:val="hybridMultilevel"/>
    <w:tmpl w:val="C31EC774"/>
    <w:lvl w:ilvl="0" w:tplc="3A0EAD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5008CA"/>
    <w:multiLevelType w:val="hybridMultilevel"/>
    <w:tmpl w:val="CC7E8964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8335E9"/>
    <w:multiLevelType w:val="hybridMultilevel"/>
    <w:tmpl w:val="672C9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23"/>
    <w:rsid w:val="00030C96"/>
    <w:rsid w:val="00060A4C"/>
    <w:rsid w:val="000A0C23"/>
    <w:rsid w:val="000D1778"/>
    <w:rsid w:val="000D253B"/>
    <w:rsid w:val="00154911"/>
    <w:rsid w:val="001E07B7"/>
    <w:rsid w:val="001F5B08"/>
    <w:rsid w:val="00342CB5"/>
    <w:rsid w:val="00394D9C"/>
    <w:rsid w:val="0039600A"/>
    <w:rsid w:val="003F259B"/>
    <w:rsid w:val="0042123B"/>
    <w:rsid w:val="0042770D"/>
    <w:rsid w:val="00476D16"/>
    <w:rsid w:val="0048091A"/>
    <w:rsid w:val="0048352B"/>
    <w:rsid w:val="004B273A"/>
    <w:rsid w:val="004B56B0"/>
    <w:rsid w:val="00537018"/>
    <w:rsid w:val="00553AC1"/>
    <w:rsid w:val="005600BB"/>
    <w:rsid w:val="00561815"/>
    <w:rsid w:val="005F6837"/>
    <w:rsid w:val="00652D3D"/>
    <w:rsid w:val="006545E6"/>
    <w:rsid w:val="006A7C2E"/>
    <w:rsid w:val="006B22AD"/>
    <w:rsid w:val="00701114"/>
    <w:rsid w:val="00707B97"/>
    <w:rsid w:val="00746154"/>
    <w:rsid w:val="00775741"/>
    <w:rsid w:val="00776873"/>
    <w:rsid w:val="007C4B9F"/>
    <w:rsid w:val="007D0572"/>
    <w:rsid w:val="007F1C3D"/>
    <w:rsid w:val="008302F4"/>
    <w:rsid w:val="00831749"/>
    <w:rsid w:val="00835F45"/>
    <w:rsid w:val="00852FD9"/>
    <w:rsid w:val="00866378"/>
    <w:rsid w:val="00927B6D"/>
    <w:rsid w:val="009854E7"/>
    <w:rsid w:val="009A3E99"/>
    <w:rsid w:val="00A81B78"/>
    <w:rsid w:val="00AD0AEA"/>
    <w:rsid w:val="00B062C3"/>
    <w:rsid w:val="00B07035"/>
    <w:rsid w:val="00B17F7F"/>
    <w:rsid w:val="00B32901"/>
    <w:rsid w:val="00B346CD"/>
    <w:rsid w:val="00B42E6E"/>
    <w:rsid w:val="00B62316"/>
    <w:rsid w:val="00C5497D"/>
    <w:rsid w:val="00C801E6"/>
    <w:rsid w:val="00C94B2F"/>
    <w:rsid w:val="00CB239A"/>
    <w:rsid w:val="00D56E41"/>
    <w:rsid w:val="00D72614"/>
    <w:rsid w:val="00D874CC"/>
    <w:rsid w:val="00DE585E"/>
    <w:rsid w:val="00E57C99"/>
    <w:rsid w:val="00E72AE0"/>
    <w:rsid w:val="00E8742E"/>
    <w:rsid w:val="00E9558C"/>
    <w:rsid w:val="00EF2669"/>
    <w:rsid w:val="00F66CAA"/>
    <w:rsid w:val="00FC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3E325"/>
  <w15:docId w15:val="{C4E77CE5-A58C-422E-BF7F-2E53B36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2F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2F4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302F4"/>
    <w:pPr>
      <w:keepNext/>
      <w:snapToGrid w:val="0"/>
      <w:spacing w:line="360" w:lineRule="auto"/>
      <w:ind w:left="4248" w:firstLine="708"/>
      <w:outlineLvl w:val="1"/>
    </w:pPr>
    <w:rPr>
      <w:rFonts w:ascii="Arial" w:hAnsi="Arial" w:cs="Arial"/>
      <w:b/>
      <w:bCs/>
      <w:i/>
      <w:iCs/>
      <w:noProof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302F4"/>
    <w:pPr>
      <w:keepNext/>
      <w:snapToGrid w:val="0"/>
      <w:jc w:val="center"/>
      <w:outlineLvl w:val="2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02F4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302F4"/>
    <w:rPr>
      <w:rFonts w:ascii="Arial" w:hAnsi="Arial" w:cs="Arial"/>
      <w:b/>
      <w:bCs/>
      <w:i/>
      <w:iCs/>
      <w:noProof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302F4"/>
    <w:rPr>
      <w:rFonts w:ascii="Arial" w:hAnsi="Arial" w:cs="Arial"/>
      <w:b/>
      <w:bCs/>
      <w:i/>
      <w:iCs/>
      <w:sz w:val="24"/>
      <w:szCs w:val="24"/>
      <w:lang w:eastAsia="pl-PL"/>
    </w:rPr>
  </w:style>
  <w:style w:type="character" w:customStyle="1" w:styleId="BodyText3Char">
    <w:name w:val="Body Text 3 Char"/>
    <w:uiPriority w:val="99"/>
    <w:rsid w:val="008302F4"/>
    <w:rPr>
      <w:rFonts w:ascii="Arial" w:hAnsi="Arial" w:cs="Arial"/>
      <w:noProof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302F4"/>
    <w:pPr>
      <w:snapToGrid w:val="0"/>
      <w:spacing w:before="120"/>
      <w:jc w:val="both"/>
    </w:pPr>
    <w:rPr>
      <w:rFonts w:ascii="Arial" w:hAnsi="Arial" w:cs="Arial"/>
      <w:noProof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8C"/>
    <w:rPr>
      <w:rFonts w:ascii="Times New Roman" w:hAnsi="Times New Roman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302F4"/>
    <w:rPr>
      <w:rFonts w:ascii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57C99"/>
    <w:pPr>
      <w:snapToGrid w:val="0"/>
      <w:spacing w:after="120"/>
      <w:ind w:left="-567" w:right="-851"/>
      <w:jc w:val="both"/>
    </w:pPr>
    <w:rPr>
      <w:rFonts w:eastAsia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A3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8C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DE5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5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8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5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8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2055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/2020/P</vt:lpstr>
    </vt:vector>
  </TitlesOfParts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/2020/P</dc:title>
  <dc:creator>Violetta Leszczyńska</dc:creator>
  <cp:lastModifiedBy>Joanna Przybylska</cp:lastModifiedBy>
  <cp:revision>2</cp:revision>
  <dcterms:created xsi:type="dcterms:W3CDTF">2020-07-27T11:33:00Z</dcterms:created>
  <dcterms:modified xsi:type="dcterms:W3CDTF">2020-07-27T11:33:00Z</dcterms:modified>
</cp:coreProperties>
</file>