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C26AA">
          <w:t>864/2020/P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26AA">
        <w:rPr>
          <w:b/>
          <w:sz w:val="28"/>
        </w:rPr>
        <w:fldChar w:fldCharType="separate"/>
      </w:r>
      <w:r w:rsidR="00DC26AA">
        <w:rPr>
          <w:b/>
          <w:sz w:val="28"/>
        </w:rPr>
        <w:t>19 listopada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C26AA">
              <w:rPr>
                <w:b/>
                <w:sz w:val="24"/>
                <w:szCs w:val="24"/>
              </w:rPr>
              <w:fldChar w:fldCharType="separate"/>
            </w:r>
            <w:r w:rsidR="00DC26AA">
              <w:rPr>
                <w:b/>
                <w:sz w:val="24"/>
                <w:szCs w:val="24"/>
              </w:rPr>
              <w:t>ustalenia ceny za usługę odprowadzania wód opadowych i roztopowych do systemu kanalizacji ogólnospławnej na terenie miasta Poznania, stosowanej przez AQUANET Spółka Akcyjna.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C26AA" w:rsidP="00DC26AA">
      <w:pPr>
        <w:spacing w:line="360" w:lineRule="auto"/>
        <w:jc w:val="both"/>
        <w:rPr>
          <w:color w:val="000000"/>
          <w:sz w:val="24"/>
          <w:szCs w:val="22"/>
        </w:rPr>
      </w:pPr>
      <w:bookmarkStart w:id="2" w:name="p0"/>
      <w:bookmarkEnd w:id="2"/>
      <w:r w:rsidRPr="00DC26AA">
        <w:rPr>
          <w:color w:val="000000"/>
          <w:sz w:val="24"/>
          <w:szCs w:val="22"/>
        </w:rPr>
        <w:t>Na podstawie art. 30 ust. 1 i ust. 2 pkt 3 ustawy z dnia 8 marca 1990 roku o samorządzie gminnym (tekst jednolity Dz. U. z 2020 r. poz. 713) oraz § 1 pkt 7 lit. b uchwały Nr LXVII/1235/VII/2018 Rady Miasta Poznania z dnia 22 maja 2018 r. w sprawie powierzenia Prezydentowi Miasta Poznania uprawnień do ustalania wysokości cen i opłat albo o sposobie ustalania cen i opłat za usługi komunalne o charakterze użyteczności publicznej oraz za korzystanie z obiektów i urządzeń użyteczności publicznej zmienionej uchwałą Nr XII/176/VIII/2019 Rady Miasta Poznania z dnia 28 maja 2019 r. oraz uchwałą Nr XXXVI/641/VIII/2020 z dnia 13 października 2020 r., zarządza się, co następuje:</w:t>
      </w:r>
    </w:p>
    <w:p w:rsidR="00DC26AA" w:rsidRDefault="00DC26AA" w:rsidP="00DC26AA">
      <w:pPr>
        <w:spacing w:line="360" w:lineRule="auto"/>
        <w:jc w:val="both"/>
        <w:rPr>
          <w:sz w:val="24"/>
        </w:rPr>
      </w:pPr>
    </w:p>
    <w:p w:rsidR="00DC26AA" w:rsidRDefault="00DC26AA" w:rsidP="00DC26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C26AA" w:rsidRDefault="00DC26AA" w:rsidP="00DC26AA">
      <w:pPr>
        <w:keepNext/>
        <w:spacing w:line="360" w:lineRule="auto"/>
        <w:rPr>
          <w:color w:val="000000"/>
          <w:sz w:val="24"/>
        </w:rPr>
      </w:pPr>
    </w:p>
    <w:p w:rsidR="00DC26AA" w:rsidRPr="00DC26AA" w:rsidRDefault="00DC26AA" w:rsidP="00DC26A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C26AA">
        <w:rPr>
          <w:color w:val="000000"/>
          <w:sz w:val="24"/>
          <w:szCs w:val="24"/>
        </w:rPr>
        <w:t xml:space="preserve">1. Ustala się ceny za usługę odprowadzania wód opadowych i roztopowych do systemu kanalizacji ogólnospławnej na terenie miasta Poznania, stosowane przez AQUANET Spółka Akcyjna, w wysokościach określonych w tabeli nr 1. </w:t>
      </w:r>
    </w:p>
    <w:p w:rsidR="00DC26AA" w:rsidRPr="00DC26AA" w:rsidRDefault="00DC26AA" w:rsidP="00DC26A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DC26AA" w:rsidRPr="00DC26AA" w:rsidRDefault="00DC26AA" w:rsidP="00DC26A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C26AA">
        <w:rPr>
          <w:color w:val="000000"/>
          <w:sz w:val="24"/>
          <w:szCs w:val="24"/>
        </w:rPr>
        <w:t>Tabela nr 1</w:t>
      </w:r>
    </w:p>
    <w:tbl>
      <w:tblPr>
        <w:tblW w:w="5000" w:type="pct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580"/>
        <w:gridCol w:w="3177"/>
        <w:gridCol w:w="1847"/>
        <w:gridCol w:w="1847"/>
        <w:gridCol w:w="1847"/>
      </w:tblGrid>
      <w:tr w:rsidR="00DC26AA" w:rsidRPr="00DC26AA" w:rsidTr="00DC26AA">
        <w:trPr>
          <w:trHeight w:val="224"/>
          <w:jc w:val="right"/>
        </w:trPr>
        <w:tc>
          <w:tcPr>
            <w:tcW w:w="17" w:type="pct"/>
            <w:shd w:val="clear" w:color="auto" w:fill="D2D2D2"/>
            <w:vAlign w:val="center"/>
          </w:tcPr>
          <w:p w:rsidR="00DC26AA" w:rsidRPr="00DC26AA" w:rsidRDefault="00DC26AA" w:rsidP="00DC26A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2"/>
              </w:rPr>
            </w:pPr>
            <w:r w:rsidRPr="00DC26AA">
              <w:rPr>
                <w:b/>
                <w:bCs/>
                <w:color w:val="000000"/>
                <w:sz w:val="24"/>
                <w:szCs w:val="22"/>
              </w:rPr>
              <w:t>Lp.</w:t>
            </w:r>
          </w:p>
        </w:tc>
        <w:tc>
          <w:tcPr>
            <w:tcW w:w="98" w:type="pct"/>
            <w:shd w:val="clear" w:color="auto" w:fill="D2D2D2"/>
            <w:vAlign w:val="center"/>
          </w:tcPr>
          <w:p w:rsidR="00DC26AA" w:rsidRPr="00DC26AA" w:rsidRDefault="00DC26AA" w:rsidP="00DC26A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2"/>
              </w:rPr>
            </w:pPr>
            <w:r w:rsidRPr="00DC26AA">
              <w:rPr>
                <w:b/>
                <w:bCs/>
                <w:color w:val="000000"/>
                <w:sz w:val="24"/>
                <w:szCs w:val="22"/>
              </w:rPr>
              <w:t>Taryfowa grupa odbiorców</w:t>
            </w:r>
          </w:p>
        </w:tc>
        <w:tc>
          <w:tcPr>
            <w:tcW w:w="57" w:type="pct"/>
            <w:shd w:val="clear" w:color="auto" w:fill="D2D2D2"/>
            <w:vAlign w:val="center"/>
          </w:tcPr>
          <w:p w:rsidR="00DC26AA" w:rsidRPr="00DC26AA" w:rsidRDefault="00DC26AA" w:rsidP="00DC26A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2"/>
              </w:rPr>
            </w:pPr>
            <w:r w:rsidRPr="00DC26AA">
              <w:rPr>
                <w:b/>
                <w:bCs/>
                <w:color w:val="000000"/>
                <w:sz w:val="24"/>
                <w:szCs w:val="22"/>
              </w:rPr>
              <w:t>Cena netto</w:t>
            </w:r>
          </w:p>
        </w:tc>
        <w:tc>
          <w:tcPr>
            <w:tcW w:w="57" w:type="pct"/>
            <w:shd w:val="clear" w:color="auto" w:fill="D2D2D2"/>
          </w:tcPr>
          <w:p w:rsidR="00DC26AA" w:rsidRPr="00DC26AA" w:rsidRDefault="00DC26AA" w:rsidP="00DC26A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2"/>
              </w:rPr>
            </w:pPr>
            <w:r w:rsidRPr="00DC26AA">
              <w:rPr>
                <w:b/>
                <w:bCs/>
                <w:color w:val="000000"/>
                <w:sz w:val="24"/>
                <w:szCs w:val="22"/>
              </w:rPr>
              <w:t>Cena brutto</w:t>
            </w:r>
          </w:p>
        </w:tc>
        <w:tc>
          <w:tcPr>
            <w:tcW w:w="57" w:type="pct"/>
            <w:shd w:val="clear" w:color="auto" w:fill="D2D2D2"/>
            <w:vAlign w:val="center"/>
          </w:tcPr>
          <w:p w:rsidR="00DC26AA" w:rsidRPr="00DC26AA" w:rsidRDefault="00DC26AA" w:rsidP="00DC26A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2"/>
              </w:rPr>
            </w:pPr>
            <w:r w:rsidRPr="00DC26AA">
              <w:rPr>
                <w:b/>
                <w:bCs/>
                <w:color w:val="000000"/>
                <w:sz w:val="24"/>
                <w:szCs w:val="22"/>
              </w:rPr>
              <w:t>Jednostka</w:t>
            </w:r>
          </w:p>
        </w:tc>
      </w:tr>
      <w:tr w:rsidR="00DC26AA" w:rsidRPr="00DC26AA" w:rsidTr="00DC26AA">
        <w:trPr>
          <w:trHeight w:val="224"/>
          <w:jc w:val="right"/>
        </w:trPr>
        <w:tc>
          <w:tcPr>
            <w:tcW w:w="17" w:type="pct"/>
            <w:vAlign w:val="center"/>
          </w:tcPr>
          <w:p w:rsidR="00DC26AA" w:rsidRPr="00DC26AA" w:rsidRDefault="00DC26AA" w:rsidP="00DC26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DC26AA">
              <w:rPr>
                <w:color w:val="000000"/>
                <w:sz w:val="24"/>
                <w:szCs w:val="22"/>
              </w:rPr>
              <w:t>1.</w:t>
            </w:r>
          </w:p>
        </w:tc>
        <w:tc>
          <w:tcPr>
            <w:tcW w:w="98" w:type="pct"/>
            <w:vAlign w:val="center"/>
          </w:tcPr>
          <w:p w:rsidR="00DC26AA" w:rsidRPr="00DC26AA" w:rsidRDefault="00DC26AA" w:rsidP="00DC26AA">
            <w:pPr>
              <w:autoSpaceDE w:val="0"/>
              <w:autoSpaceDN w:val="0"/>
              <w:adjustRightInd w:val="0"/>
              <w:ind w:right="212"/>
              <w:jc w:val="center"/>
              <w:rPr>
                <w:color w:val="000000"/>
                <w:sz w:val="24"/>
                <w:szCs w:val="22"/>
              </w:rPr>
            </w:pPr>
            <w:r w:rsidRPr="00DC26AA">
              <w:rPr>
                <w:color w:val="000000"/>
                <w:sz w:val="24"/>
                <w:szCs w:val="22"/>
              </w:rPr>
              <w:t>Grupa cenowa I</w:t>
            </w:r>
          </w:p>
        </w:tc>
        <w:tc>
          <w:tcPr>
            <w:tcW w:w="57" w:type="pct"/>
            <w:vAlign w:val="center"/>
          </w:tcPr>
          <w:p w:rsidR="00DC26AA" w:rsidRPr="00DC26AA" w:rsidRDefault="00DC26AA" w:rsidP="00DC26AA">
            <w:pPr>
              <w:autoSpaceDE w:val="0"/>
              <w:autoSpaceDN w:val="0"/>
              <w:adjustRightInd w:val="0"/>
              <w:ind w:right="225"/>
              <w:jc w:val="center"/>
              <w:rPr>
                <w:color w:val="000000"/>
                <w:sz w:val="24"/>
                <w:szCs w:val="22"/>
              </w:rPr>
            </w:pPr>
            <w:r w:rsidRPr="00DC26AA">
              <w:rPr>
                <w:color w:val="000000"/>
                <w:sz w:val="24"/>
                <w:szCs w:val="22"/>
              </w:rPr>
              <w:t>6,35</w:t>
            </w:r>
          </w:p>
        </w:tc>
        <w:tc>
          <w:tcPr>
            <w:tcW w:w="57" w:type="pct"/>
            <w:vAlign w:val="center"/>
          </w:tcPr>
          <w:p w:rsidR="00DC26AA" w:rsidRPr="00DC26AA" w:rsidRDefault="00DC26AA" w:rsidP="00DC26AA">
            <w:pPr>
              <w:autoSpaceDE w:val="0"/>
              <w:autoSpaceDN w:val="0"/>
              <w:adjustRightInd w:val="0"/>
              <w:ind w:right="225"/>
              <w:jc w:val="center"/>
              <w:rPr>
                <w:color w:val="000000"/>
                <w:sz w:val="24"/>
                <w:szCs w:val="22"/>
              </w:rPr>
            </w:pPr>
            <w:r w:rsidRPr="00DC26AA">
              <w:rPr>
                <w:color w:val="000000"/>
                <w:sz w:val="24"/>
                <w:szCs w:val="22"/>
              </w:rPr>
              <w:t>6,86</w:t>
            </w:r>
          </w:p>
        </w:tc>
        <w:tc>
          <w:tcPr>
            <w:tcW w:w="57" w:type="pct"/>
            <w:vAlign w:val="center"/>
          </w:tcPr>
          <w:p w:rsidR="00DC26AA" w:rsidRPr="00DC26AA" w:rsidRDefault="00DC26AA" w:rsidP="00DC26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  <w:vertAlign w:val="superscript"/>
              </w:rPr>
            </w:pPr>
            <w:r w:rsidRPr="00DC26AA">
              <w:rPr>
                <w:color w:val="000000"/>
                <w:sz w:val="24"/>
                <w:szCs w:val="22"/>
              </w:rPr>
              <w:t>zł/m</w:t>
            </w:r>
            <w:r w:rsidRPr="00DC26AA">
              <w:rPr>
                <w:color w:val="000000"/>
                <w:sz w:val="24"/>
                <w:szCs w:val="22"/>
                <w:vertAlign w:val="superscript"/>
              </w:rPr>
              <w:t>3</w:t>
            </w:r>
          </w:p>
        </w:tc>
      </w:tr>
      <w:tr w:rsidR="00DC26AA" w:rsidRPr="00DC26AA" w:rsidTr="00DC26AA">
        <w:trPr>
          <w:trHeight w:val="224"/>
          <w:jc w:val="right"/>
        </w:trPr>
        <w:tc>
          <w:tcPr>
            <w:tcW w:w="17" w:type="pct"/>
            <w:vAlign w:val="center"/>
          </w:tcPr>
          <w:p w:rsidR="00DC26AA" w:rsidRPr="00DC26AA" w:rsidRDefault="00DC26AA" w:rsidP="00DC26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DC26AA">
              <w:rPr>
                <w:color w:val="000000"/>
                <w:sz w:val="24"/>
                <w:szCs w:val="22"/>
              </w:rPr>
              <w:t>2.</w:t>
            </w:r>
          </w:p>
        </w:tc>
        <w:tc>
          <w:tcPr>
            <w:tcW w:w="98" w:type="pct"/>
            <w:vAlign w:val="center"/>
          </w:tcPr>
          <w:p w:rsidR="00DC26AA" w:rsidRPr="00DC26AA" w:rsidRDefault="00DC26AA" w:rsidP="00DC26AA">
            <w:pPr>
              <w:autoSpaceDE w:val="0"/>
              <w:autoSpaceDN w:val="0"/>
              <w:adjustRightInd w:val="0"/>
              <w:ind w:right="212"/>
              <w:jc w:val="center"/>
              <w:rPr>
                <w:color w:val="000000"/>
                <w:sz w:val="24"/>
                <w:szCs w:val="22"/>
              </w:rPr>
            </w:pPr>
            <w:r w:rsidRPr="00DC26AA">
              <w:rPr>
                <w:color w:val="000000"/>
                <w:sz w:val="24"/>
                <w:szCs w:val="22"/>
              </w:rPr>
              <w:t>Grupa cenowa II</w:t>
            </w:r>
          </w:p>
        </w:tc>
        <w:tc>
          <w:tcPr>
            <w:tcW w:w="57" w:type="pct"/>
            <w:vAlign w:val="center"/>
          </w:tcPr>
          <w:p w:rsidR="00DC26AA" w:rsidRPr="00DC26AA" w:rsidRDefault="00DC26AA" w:rsidP="00DC26AA">
            <w:pPr>
              <w:autoSpaceDE w:val="0"/>
              <w:autoSpaceDN w:val="0"/>
              <w:adjustRightInd w:val="0"/>
              <w:ind w:right="225"/>
              <w:jc w:val="center"/>
              <w:rPr>
                <w:color w:val="000000"/>
                <w:sz w:val="24"/>
                <w:szCs w:val="22"/>
              </w:rPr>
            </w:pPr>
            <w:r w:rsidRPr="00DC26AA">
              <w:rPr>
                <w:color w:val="000000"/>
                <w:sz w:val="24"/>
                <w:szCs w:val="22"/>
              </w:rPr>
              <w:t>6,35</w:t>
            </w:r>
          </w:p>
        </w:tc>
        <w:tc>
          <w:tcPr>
            <w:tcW w:w="57" w:type="pct"/>
            <w:vAlign w:val="center"/>
          </w:tcPr>
          <w:p w:rsidR="00DC26AA" w:rsidRPr="00DC26AA" w:rsidRDefault="00DC26AA" w:rsidP="00DC26AA">
            <w:pPr>
              <w:autoSpaceDE w:val="0"/>
              <w:autoSpaceDN w:val="0"/>
              <w:adjustRightInd w:val="0"/>
              <w:ind w:right="225"/>
              <w:jc w:val="center"/>
              <w:rPr>
                <w:color w:val="000000"/>
                <w:sz w:val="24"/>
                <w:szCs w:val="22"/>
              </w:rPr>
            </w:pPr>
            <w:r w:rsidRPr="00DC26AA">
              <w:rPr>
                <w:color w:val="000000"/>
                <w:sz w:val="24"/>
                <w:szCs w:val="22"/>
              </w:rPr>
              <w:t>6,86</w:t>
            </w:r>
          </w:p>
        </w:tc>
        <w:tc>
          <w:tcPr>
            <w:tcW w:w="57" w:type="pct"/>
            <w:vAlign w:val="center"/>
          </w:tcPr>
          <w:p w:rsidR="00DC26AA" w:rsidRPr="00DC26AA" w:rsidRDefault="00DC26AA" w:rsidP="00DC26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  <w:vertAlign w:val="superscript"/>
              </w:rPr>
            </w:pPr>
            <w:r w:rsidRPr="00DC26AA">
              <w:rPr>
                <w:color w:val="000000"/>
                <w:sz w:val="24"/>
                <w:szCs w:val="22"/>
              </w:rPr>
              <w:t>zł/m</w:t>
            </w:r>
            <w:r w:rsidRPr="00DC26AA">
              <w:rPr>
                <w:color w:val="000000"/>
                <w:sz w:val="24"/>
                <w:szCs w:val="22"/>
                <w:vertAlign w:val="superscript"/>
              </w:rPr>
              <w:t>3</w:t>
            </w:r>
          </w:p>
        </w:tc>
      </w:tr>
      <w:tr w:rsidR="00DC26AA" w:rsidRPr="00DC26AA" w:rsidTr="00DC26AA">
        <w:trPr>
          <w:trHeight w:val="224"/>
          <w:jc w:val="right"/>
        </w:trPr>
        <w:tc>
          <w:tcPr>
            <w:tcW w:w="17" w:type="pct"/>
            <w:vAlign w:val="center"/>
          </w:tcPr>
          <w:p w:rsidR="00DC26AA" w:rsidRPr="00DC26AA" w:rsidRDefault="00DC26AA" w:rsidP="00DC26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DC26AA">
              <w:rPr>
                <w:color w:val="000000"/>
                <w:sz w:val="24"/>
                <w:szCs w:val="22"/>
              </w:rPr>
              <w:t>3.</w:t>
            </w:r>
          </w:p>
        </w:tc>
        <w:tc>
          <w:tcPr>
            <w:tcW w:w="98" w:type="pct"/>
            <w:vAlign w:val="center"/>
          </w:tcPr>
          <w:p w:rsidR="00DC26AA" w:rsidRPr="00DC26AA" w:rsidRDefault="00DC26AA" w:rsidP="00DC26AA">
            <w:pPr>
              <w:autoSpaceDE w:val="0"/>
              <w:autoSpaceDN w:val="0"/>
              <w:adjustRightInd w:val="0"/>
              <w:ind w:right="212"/>
              <w:jc w:val="center"/>
              <w:rPr>
                <w:color w:val="000000"/>
                <w:sz w:val="24"/>
                <w:szCs w:val="22"/>
              </w:rPr>
            </w:pPr>
            <w:r w:rsidRPr="00DC26AA">
              <w:rPr>
                <w:color w:val="000000"/>
                <w:sz w:val="24"/>
                <w:szCs w:val="22"/>
              </w:rPr>
              <w:t>Grupa cenowa III</w:t>
            </w:r>
          </w:p>
        </w:tc>
        <w:tc>
          <w:tcPr>
            <w:tcW w:w="57" w:type="pct"/>
            <w:vAlign w:val="center"/>
          </w:tcPr>
          <w:p w:rsidR="00DC26AA" w:rsidRPr="00DC26AA" w:rsidRDefault="00DC26AA" w:rsidP="00DC26AA">
            <w:pPr>
              <w:autoSpaceDE w:val="0"/>
              <w:autoSpaceDN w:val="0"/>
              <w:adjustRightInd w:val="0"/>
              <w:ind w:right="225"/>
              <w:jc w:val="center"/>
              <w:rPr>
                <w:color w:val="000000"/>
                <w:sz w:val="24"/>
                <w:szCs w:val="22"/>
              </w:rPr>
            </w:pPr>
            <w:r w:rsidRPr="00DC26AA">
              <w:rPr>
                <w:color w:val="000000"/>
                <w:sz w:val="24"/>
                <w:szCs w:val="22"/>
              </w:rPr>
              <w:t>6,35</w:t>
            </w:r>
          </w:p>
        </w:tc>
        <w:tc>
          <w:tcPr>
            <w:tcW w:w="57" w:type="pct"/>
            <w:vAlign w:val="center"/>
          </w:tcPr>
          <w:p w:rsidR="00DC26AA" w:rsidRPr="00DC26AA" w:rsidRDefault="00DC26AA" w:rsidP="00DC26AA">
            <w:pPr>
              <w:autoSpaceDE w:val="0"/>
              <w:autoSpaceDN w:val="0"/>
              <w:adjustRightInd w:val="0"/>
              <w:ind w:right="225"/>
              <w:jc w:val="center"/>
              <w:rPr>
                <w:color w:val="000000"/>
                <w:sz w:val="24"/>
                <w:szCs w:val="22"/>
              </w:rPr>
            </w:pPr>
            <w:r w:rsidRPr="00DC26AA">
              <w:rPr>
                <w:color w:val="000000"/>
                <w:sz w:val="24"/>
                <w:szCs w:val="22"/>
              </w:rPr>
              <w:t>6,86</w:t>
            </w:r>
          </w:p>
        </w:tc>
        <w:tc>
          <w:tcPr>
            <w:tcW w:w="57" w:type="pct"/>
            <w:vAlign w:val="center"/>
          </w:tcPr>
          <w:p w:rsidR="00DC26AA" w:rsidRPr="00DC26AA" w:rsidRDefault="00DC26AA" w:rsidP="00DC26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  <w:vertAlign w:val="superscript"/>
              </w:rPr>
            </w:pPr>
            <w:r w:rsidRPr="00DC26AA">
              <w:rPr>
                <w:color w:val="000000"/>
                <w:sz w:val="24"/>
                <w:szCs w:val="22"/>
              </w:rPr>
              <w:t>zł/m</w:t>
            </w:r>
            <w:r w:rsidRPr="00DC26AA">
              <w:rPr>
                <w:color w:val="000000"/>
                <w:sz w:val="24"/>
                <w:szCs w:val="22"/>
                <w:vertAlign w:val="superscript"/>
              </w:rPr>
              <w:t>3</w:t>
            </w:r>
          </w:p>
        </w:tc>
      </w:tr>
    </w:tbl>
    <w:p w:rsidR="00DC26AA" w:rsidRPr="00DC26AA" w:rsidRDefault="00DC26AA" w:rsidP="00DC26A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2"/>
          <w:vertAlign w:val="superscript"/>
        </w:rPr>
      </w:pPr>
    </w:p>
    <w:p w:rsidR="00DC26AA" w:rsidRPr="00DC26AA" w:rsidRDefault="00DC26AA" w:rsidP="00DC26A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C26AA">
        <w:rPr>
          <w:color w:val="000000"/>
          <w:sz w:val="24"/>
          <w:szCs w:val="24"/>
        </w:rPr>
        <w:t xml:space="preserve">2. W przypadku retencjonowania wód opadowych i roztopowych odprowadzanych za pośrednictwem kanalizacji ogólnospławnej cena ustalona w ust. 1 ulega zmniejszeniu ze </w:t>
      </w:r>
      <w:r w:rsidRPr="00DC26AA">
        <w:rPr>
          <w:color w:val="000000"/>
          <w:sz w:val="24"/>
          <w:szCs w:val="24"/>
        </w:rPr>
        <w:lastRenderedPageBreak/>
        <w:t xml:space="preserve">względu na stosunek pojemności urządzeń do retencjonowania wody opadowej lub roztopowej do rocznego odpływu wód opadowych i roztopowych z terenów uszczelnionych w wysokości określonej w tabeli nr 2. </w:t>
      </w:r>
    </w:p>
    <w:p w:rsidR="00DC26AA" w:rsidRPr="00DC26AA" w:rsidRDefault="00DC26AA" w:rsidP="00DC26A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DC26AA" w:rsidRPr="00DC26AA" w:rsidRDefault="00DC26AA" w:rsidP="00DC26A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C26AA">
        <w:rPr>
          <w:color w:val="000000"/>
          <w:sz w:val="24"/>
          <w:szCs w:val="24"/>
        </w:rPr>
        <w:t>Tabela nr 2.</w:t>
      </w:r>
    </w:p>
    <w:tbl>
      <w:tblPr>
        <w:tblW w:w="5000" w:type="pct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581"/>
        <w:gridCol w:w="2838"/>
        <w:gridCol w:w="2577"/>
        <w:gridCol w:w="1651"/>
        <w:gridCol w:w="1651"/>
      </w:tblGrid>
      <w:tr w:rsidR="00DC26AA" w:rsidRPr="00DC26AA" w:rsidTr="00DC26AA">
        <w:trPr>
          <w:trHeight w:val="224"/>
          <w:jc w:val="right"/>
        </w:trPr>
        <w:tc>
          <w:tcPr>
            <w:tcW w:w="20" w:type="pct"/>
            <w:shd w:val="clear" w:color="auto" w:fill="D2D2D2"/>
            <w:vAlign w:val="center"/>
          </w:tcPr>
          <w:p w:rsidR="00DC26AA" w:rsidRPr="00DC26AA" w:rsidRDefault="00DC26AA" w:rsidP="00DC26A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2"/>
              </w:rPr>
            </w:pPr>
            <w:r w:rsidRPr="00DC26AA">
              <w:rPr>
                <w:b/>
                <w:bCs/>
                <w:color w:val="000000"/>
                <w:sz w:val="24"/>
                <w:szCs w:val="22"/>
              </w:rPr>
              <w:t>Lp.</w:t>
            </w:r>
          </w:p>
        </w:tc>
        <w:tc>
          <w:tcPr>
            <w:tcW w:w="98" w:type="pct"/>
            <w:shd w:val="clear" w:color="auto" w:fill="D2D2D2"/>
            <w:vAlign w:val="center"/>
          </w:tcPr>
          <w:p w:rsidR="00DC26AA" w:rsidRPr="00DC26AA" w:rsidRDefault="00DC26AA" w:rsidP="00DC26A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2"/>
              </w:rPr>
            </w:pPr>
            <w:r w:rsidRPr="00DC26AA">
              <w:rPr>
                <w:b/>
                <w:bCs/>
                <w:color w:val="000000"/>
                <w:sz w:val="24"/>
                <w:szCs w:val="22"/>
              </w:rPr>
              <w:t>Stosunek pojemności urządzeń do retencjonowania wody opadowej lub roztopowej do rocznego odpływu wód opadowych i roztopowych z powierzchni trwałych</w:t>
            </w:r>
          </w:p>
        </w:tc>
        <w:tc>
          <w:tcPr>
            <w:tcW w:w="89" w:type="pct"/>
            <w:shd w:val="clear" w:color="auto" w:fill="D2D2D2"/>
            <w:vAlign w:val="center"/>
          </w:tcPr>
          <w:p w:rsidR="00DC26AA" w:rsidRPr="00DC26AA" w:rsidRDefault="00DC26AA" w:rsidP="00DC26A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2"/>
              </w:rPr>
            </w:pPr>
            <w:r w:rsidRPr="00DC26AA">
              <w:rPr>
                <w:b/>
                <w:bCs/>
                <w:color w:val="000000"/>
                <w:sz w:val="24"/>
                <w:szCs w:val="22"/>
              </w:rPr>
              <w:t>Grupa cenowa I</w:t>
            </w:r>
            <w:r w:rsidRPr="00DC26AA">
              <w:rPr>
                <w:b/>
                <w:bCs/>
                <w:color w:val="000000"/>
                <w:sz w:val="24"/>
                <w:szCs w:val="22"/>
              </w:rPr>
              <w:br/>
              <w:t>cena zł/m</w:t>
            </w:r>
            <w:r w:rsidRPr="00DC26AA">
              <w:rPr>
                <w:b/>
                <w:bCs/>
                <w:color w:val="000000"/>
                <w:sz w:val="24"/>
                <w:szCs w:val="22"/>
                <w:vertAlign w:val="superscript"/>
              </w:rPr>
              <w:t xml:space="preserve">3 </w:t>
            </w:r>
            <w:r w:rsidRPr="00DC26AA">
              <w:rPr>
                <w:b/>
                <w:bCs/>
                <w:color w:val="000000"/>
                <w:sz w:val="24"/>
                <w:szCs w:val="22"/>
              </w:rPr>
              <w:t>netto</w:t>
            </w:r>
          </w:p>
        </w:tc>
        <w:tc>
          <w:tcPr>
            <w:tcW w:w="57" w:type="pct"/>
            <w:shd w:val="clear" w:color="auto" w:fill="D2D2D2"/>
          </w:tcPr>
          <w:p w:rsidR="00DC26AA" w:rsidRPr="00DC26AA" w:rsidRDefault="00DC26AA" w:rsidP="00DC26A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2"/>
              </w:rPr>
            </w:pPr>
          </w:p>
          <w:p w:rsidR="00DC26AA" w:rsidRPr="00DC26AA" w:rsidRDefault="00DC26AA" w:rsidP="00DC26A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2"/>
              </w:rPr>
            </w:pPr>
          </w:p>
          <w:p w:rsidR="00DC26AA" w:rsidRPr="00DC26AA" w:rsidRDefault="00DC26AA" w:rsidP="00DC26A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2"/>
              </w:rPr>
            </w:pPr>
            <w:r w:rsidRPr="00DC26AA">
              <w:rPr>
                <w:b/>
                <w:bCs/>
                <w:color w:val="000000"/>
                <w:sz w:val="24"/>
                <w:szCs w:val="22"/>
              </w:rPr>
              <w:t>Grupa cenowa II</w:t>
            </w:r>
            <w:r w:rsidRPr="00DC26AA">
              <w:rPr>
                <w:b/>
                <w:bCs/>
                <w:color w:val="000000"/>
                <w:sz w:val="24"/>
                <w:szCs w:val="22"/>
              </w:rPr>
              <w:br/>
              <w:t>cena zł/m</w:t>
            </w:r>
            <w:r w:rsidRPr="00DC26AA">
              <w:rPr>
                <w:b/>
                <w:bCs/>
                <w:color w:val="000000"/>
                <w:sz w:val="24"/>
                <w:szCs w:val="22"/>
                <w:vertAlign w:val="superscript"/>
              </w:rPr>
              <w:t>3</w:t>
            </w:r>
            <w:r w:rsidRPr="00DC26AA">
              <w:rPr>
                <w:b/>
                <w:bCs/>
                <w:color w:val="000000"/>
                <w:sz w:val="24"/>
                <w:szCs w:val="22"/>
              </w:rPr>
              <w:t xml:space="preserve"> netto</w:t>
            </w:r>
          </w:p>
        </w:tc>
        <w:tc>
          <w:tcPr>
            <w:tcW w:w="57" w:type="pct"/>
            <w:shd w:val="clear" w:color="auto" w:fill="D2D2D2"/>
            <w:vAlign w:val="center"/>
          </w:tcPr>
          <w:p w:rsidR="00DC26AA" w:rsidRPr="00DC26AA" w:rsidRDefault="00DC26AA" w:rsidP="00DC26A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2"/>
              </w:rPr>
            </w:pPr>
            <w:r w:rsidRPr="00DC26AA">
              <w:rPr>
                <w:b/>
                <w:bCs/>
                <w:color w:val="000000"/>
                <w:sz w:val="24"/>
                <w:szCs w:val="22"/>
              </w:rPr>
              <w:t>Grupa cenowa III</w:t>
            </w:r>
            <w:r w:rsidRPr="00DC26AA">
              <w:rPr>
                <w:b/>
                <w:bCs/>
                <w:color w:val="000000"/>
                <w:sz w:val="24"/>
                <w:szCs w:val="22"/>
              </w:rPr>
              <w:br/>
              <w:t>cena zł/m</w:t>
            </w:r>
            <w:r w:rsidRPr="00DC26AA">
              <w:rPr>
                <w:b/>
                <w:bCs/>
                <w:color w:val="000000"/>
                <w:sz w:val="24"/>
                <w:szCs w:val="22"/>
                <w:vertAlign w:val="superscript"/>
              </w:rPr>
              <w:t>3</w:t>
            </w:r>
            <w:r w:rsidRPr="00DC26AA">
              <w:rPr>
                <w:b/>
                <w:bCs/>
                <w:color w:val="000000"/>
                <w:sz w:val="24"/>
                <w:szCs w:val="22"/>
              </w:rPr>
              <w:t xml:space="preserve"> netto</w:t>
            </w:r>
          </w:p>
        </w:tc>
      </w:tr>
      <w:tr w:rsidR="00DC26AA" w:rsidRPr="00DC26AA" w:rsidTr="00DC26AA">
        <w:trPr>
          <w:trHeight w:val="224"/>
          <w:jc w:val="right"/>
        </w:trPr>
        <w:tc>
          <w:tcPr>
            <w:tcW w:w="20" w:type="pct"/>
          </w:tcPr>
          <w:p w:rsidR="00DC26AA" w:rsidRPr="00DC26AA" w:rsidRDefault="00DC26AA" w:rsidP="00DC26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DC26AA">
              <w:rPr>
                <w:color w:val="000000"/>
                <w:sz w:val="24"/>
                <w:szCs w:val="22"/>
              </w:rPr>
              <w:t xml:space="preserve"> 1.</w:t>
            </w:r>
          </w:p>
        </w:tc>
        <w:tc>
          <w:tcPr>
            <w:tcW w:w="98" w:type="pct"/>
          </w:tcPr>
          <w:p w:rsidR="00DC26AA" w:rsidRPr="00DC26AA" w:rsidRDefault="00DC26AA" w:rsidP="00DC26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DC26AA">
              <w:rPr>
                <w:color w:val="000000"/>
                <w:sz w:val="24"/>
                <w:szCs w:val="22"/>
              </w:rPr>
              <w:t>0%</w:t>
            </w:r>
          </w:p>
        </w:tc>
        <w:tc>
          <w:tcPr>
            <w:tcW w:w="89" w:type="pct"/>
          </w:tcPr>
          <w:p w:rsidR="00DC26AA" w:rsidRPr="00DC26AA" w:rsidRDefault="00DC26AA" w:rsidP="00DC26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DC26AA">
              <w:rPr>
                <w:color w:val="000000"/>
                <w:sz w:val="24"/>
                <w:szCs w:val="22"/>
              </w:rPr>
              <w:t>6,35</w:t>
            </w:r>
          </w:p>
        </w:tc>
        <w:tc>
          <w:tcPr>
            <w:tcW w:w="57" w:type="pct"/>
          </w:tcPr>
          <w:p w:rsidR="00DC26AA" w:rsidRPr="00DC26AA" w:rsidRDefault="00DC26AA" w:rsidP="00DC26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DC26AA">
              <w:rPr>
                <w:color w:val="000000"/>
                <w:sz w:val="24"/>
                <w:szCs w:val="22"/>
              </w:rPr>
              <w:t>6,35</w:t>
            </w:r>
          </w:p>
        </w:tc>
        <w:tc>
          <w:tcPr>
            <w:tcW w:w="57" w:type="pct"/>
          </w:tcPr>
          <w:p w:rsidR="00DC26AA" w:rsidRPr="00DC26AA" w:rsidRDefault="00DC26AA" w:rsidP="00DC26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DC26AA">
              <w:rPr>
                <w:color w:val="000000"/>
                <w:sz w:val="24"/>
                <w:szCs w:val="22"/>
              </w:rPr>
              <w:t>6,35</w:t>
            </w:r>
          </w:p>
        </w:tc>
      </w:tr>
      <w:tr w:rsidR="00DC26AA" w:rsidRPr="00DC26AA" w:rsidTr="00DC26AA">
        <w:trPr>
          <w:trHeight w:val="224"/>
          <w:jc w:val="right"/>
        </w:trPr>
        <w:tc>
          <w:tcPr>
            <w:tcW w:w="20" w:type="pct"/>
            <w:vAlign w:val="center"/>
          </w:tcPr>
          <w:p w:rsidR="00DC26AA" w:rsidRPr="00DC26AA" w:rsidRDefault="00DC26AA" w:rsidP="00DC26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DC26AA">
              <w:rPr>
                <w:color w:val="000000"/>
                <w:sz w:val="24"/>
                <w:szCs w:val="22"/>
              </w:rPr>
              <w:t>2.</w:t>
            </w:r>
          </w:p>
        </w:tc>
        <w:tc>
          <w:tcPr>
            <w:tcW w:w="98" w:type="pct"/>
            <w:vAlign w:val="center"/>
          </w:tcPr>
          <w:p w:rsidR="00DC26AA" w:rsidRPr="00DC26AA" w:rsidRDefault="00DC26AA" w:rsidP="00DC26AA">
            <w:pPr>
              <w:autoSpaceDE w:val="0"/>
              <w:autoSpaceDN w:val="0"/>
              <w:adjustRightInd w:val="0"/>
              <w:ind w:right="212"/>
              <w:jc w:val="center"/>
              <w:rPr>
                <w:color w:val="000000"/>
                <w:sz w:val="24"/>
                <w:szCs w:val="22"/>
              </w:rPr>
            </w:pPr>
            <w:r w:rsidRPr="00DC26AA">
              <w:rPr>
                <w:color w:val="000000"/>
                <w:sz w:val="24"/>
                <w:szCs w:val="22"/>
              </w:rPr>
              <w:t>powyżej 0% do 10%</w:t>
            </w:r>
          </w:p>
        </w:tc>
        <w:tc>
          <w:tcPr>
            <w:tcW w:w="89" w:type="pct"/>
            <w:vAlign w:val="center"/>
          </w:tcPr>
          <w:p w:rsidR="00DC26AA" w:rsidRPr="00DC26AA" w:rsidRDefault="00DC26AA" w:rsidP="00DC26AA">
            <w:pPr>
              <w:autoSpaceDE w:val="0"/>
              <w:autoSpaceDN w:val="0"/>
              <w:adjustRightInd w:val="0"/>
              <w:ind w:right="391"/>
              <w:jc w:val="center"/>
              <w:rPr>
                <w:color w:val="000000"/>
                <w:sz w:val="24"/>
                <w:szCs w:val="22"/>
              </w:rPr>
            </w:pPr>
            <w:r w:rsidRPr="00DC26AA">
              <w:rPr>
                <w:color w:val="000000"/>
                <w:sz w:val="24"/>
                <w:szCs w:val="22"/>
              </w:rPr>
              <w:t xml:space="preserve">      6,16</w:t>
            </w:r>
          </w:p>
        </w:tc>
        <w:tc>
          <w:tcPr>
            <w:tcW w:w="57" w:type="pct"/>
            <w:vAlign w:val="center"/>
          </w:tcPr>
          <w:p w:rsidR="00DC26AA" w:rsidRPr="00DC26AA" w:rsidRDefault="00DC26AA" w:rsidP="00DC26AA">
            <w:pPr>
              <w:autoSpaceDE w:val="0"/>
              <w:autoSpaceDN w:val="0"/>
              <w:adjustRightInd w:val="0"/>
              <w:ind w:right="225"/>
              <w:jc w:val="center"/>
              <w:rPr>
                <w:color w:val="000000"/>
                <w:sz w:val="24"/>
                <w:szCs w:val="22"/>
              </w:rPr>
            </w:pPr>
            <w:r w:rsidRPr="00DC26AA">
              <w:rPr>
                <w:color w:val="000000"/>
                <w:sz w:val="24"/>
                <w:szCs w:val="22"/>
              </w:rPr>
              <w:t xml:space="preserve">    6,16</w:t>
            </w:r>
          </w:p>
        </w:tc>
        <w:tc>
          <w:tcPr>
            <w:tcW w:w="57" w:type="pct"/>
            <w:vAlign w:val="center"/>
          </w:tcPr>
          <w:p w:rsidR="00DC26AA" w:rsidRPr="00DC26AA" w:rsidRDefault="00DC26AA" w:rsidP="00DC26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DC26AA">
              <w:rPr>
                <w:color w:val="000000"/>
                <w:sz w:val="24"/>
                <w:szCs w:val="22"/>
              </w:rPr>
              <w:t>6,16</w:t>
            </w:r>
          </w:p>
        </w:tc>
      </w:tr>
      <w:tr w:rsidR="00DC26AA" w:rsidRPr="00DC26AA" w:rsidTr="00DC26AA">
        <w:trPr>
          <w:trHeight w:val="224"/>
          <w:jc w:val="right"/>
        </w:trPr>
        <w:tc>
          <w:tcPr>
            <w:tcW w:w="20" w:type="pct"/>
          </w:tcPr>
          <w:p w:rsidR="00DC26AA" w:rsidRPr="00DC26AA" w:rsidRDefault="00DC26AA" w:rsidP="00DC26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DC26AA">
              <w:rPr>
                <w:color w:val="000000"/>
                <w:sz w:val="24"/>
                <w:szCs w:val="22"/>
              </w:rPr>
              <w:t xml:space="preserve"> 3.</w:t>
            </w:r>
          </w:p>
        </w:tc>
        <w:tc>
          <w:tcPr>
            <w:tcW w:w="98" w:type="pct"/>
          </w:tcPr>
          <w:p w:rsidR="00DC26AA" w:rsidRPr="00DC26AA" w:rsidRDefault="00DC26AA" w:rsidP="00DC26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DC26AA">
              <w:rPr>
                <w:color w:val="000000"/>
                <w:sz w:val="24"/>
                <w:szCs w:val="22"/>
              </w:rPr>
              <w:t>powyżej 10% do 20%</w:t>
            </w:r>
          </w:p>
        </w:tc>
        <w:tc>
          <w:tcPr>
            <w:tcW w:w="89" w:type="pct"/>
          </w:tcPr>
          <w:p w:rsidR="00DC26AA" w:rsidRPr="00DC26AA" w:rsidRDefault="00DC26AA" w:rsidP="00DC26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DC26AA">
              <w:rPr>
                <w:color w:val="000000"/>
                <w:sz w:val="24"/>
                <w:szCs w:val="22"/>
              </w:rPr>
              <w:t>5,97</w:t>
            </w:r>
          </w:p>
        </w:tc>
        <w:tc>
          <w:tcPr>
            <w:tcW w:w="57" w:type="pct"/>
          </w:tcPr>
          <w:p w:rsidR="00DC26AA" w:rsidRPr="00DC26AA" w:rsidRDefault="00DC26AA" w:rsidP="00DC26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DC26AA">
              <w:rPr>
                <w:color w:val="000000"/>
                <w:sz w:val="24"/>
                <w:szCs w:val="22"/>
              </w:rPr>
              <w:t>5,97</w:t>
            </w:r>
          </w:p>
        </w:tc>
        <w:tc>
          <w:tcPr>
            <w:tcW w:w="57" w:type="pct"/>
          </w:tcPr>
          <w:p w:rsidR="00DC26AA" w:rsidRPr="00DC26AA" w:rsidRDefault="00DC26AA" w:rsidP="00DC26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DC26AA">
              <w:rPr>
                <w:color w:val="000000"/>
                <w:sz w:val="24"/>
                <w:szCs w:val="22"/>
              </w:rPr>
              <w:t>5,97</w:t>
            </w:r>
          </w:p>
        </w:tc>
      </w:tr>
      <w:tr w:rsidR="00DC26AA" w:rsidRPr="00DC26AA" w:rsidTr="00DC26AA">
        <w:trPr>
          <w:trHeight w:val="224"/>
          <w:jc w:val="right"/>
        </w:trPr>
        <w:tc>
          <w:tcPr>
            <w:tcW w:w="20" w:type="pct"/>
          </w:tcPr>
          <w:p w:rsidR="00DC26AA" w:rsidRPr="00DC26AA" w:rsidRDefault="00DC26AA" w:rsidP="00DC26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DC26AA">
              <w:rPr>
                <w:color w:val="000000"/>
                <w:sz w:val="24"/>
                <w:szCs w:val="22"/>
              </w:rPr>
              <w:t xml:space="preserve"> 4.</w:t>
            </w:r>
          </w:p>
        </w:tc>
        <w:tc>
          <w:tcPr>
            <w:tcW w:w="98" w:type="pct"/>
          </w:tcPr>
          <w:p w:rsidR="00DC26AA" w:rsidRPr="00DC26AA" w:rsidRDefault="00DC26AA" w:rsidP="00DC26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DC26AA">
              <w:rPr>
                <w:color w:val="000000"/>
                <w:sz w:val="24"/>
                <w:szCs w:val="22"/>
              </w:rPr>
              <w:t>powyżej 20% do 30%</w:t>
            </w:r>
          </w:p>
        </w:tc>
        <w:tc>
          <w:tcPr>
            <w:tcW w:w="89" w:type="pct"/>
          </w:tcPr>
          <w:p w:rsidR="00DC26AA" w:rsidRPr="00DC26AA" w:rsidRDefault="00DC26AA" w:rsidP="00DC26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DC26AA">
              <w:rPr>
                <w:color w:val="000000"/>
                <w:sz w:val="24"/>
                <w:szCs w:val="22"/>
              </w:rPr>
              <w:t>5,78</w:t>
            </w:r>
          </w:p>
        </w:tc>
        <w:tc>
          <w:tcPr>
            <w:tcW w:w="57" w:type="pct"/>
          </w:tcPr>
          <w:p w:rsidR="00DC26AA" w:rsidRPr="00DC26AA" w:rsidRDefault="00DC26AA" w:rsidP="00DC26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DC26AA">
              <w:rPr>
                <w:color w:val="000000"/>
                <w:sz w:val="24"/>
                <w:szCs w:val="22"/>
              </w:rPr>
              <w:t>5,78</w:t>
            </w:r>
          </w:p>
        </w:tc>
        <w:tc>
          <w:tcPr>
            <w:tcW w:w="57" w:type="pct"/>
          </w:tcPr>
          <w:p w:rsidR="00DC26AA" w:rsidRPr="00DC26AA" w:rsidRDefault="00DC26AA" w:rsidP="00DC26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DC26AA">
              <w:rPr>
                <w:color w:val="000000"/>
                <w:sz w:val="24"/>
                <w:szCs w:val="22"/>
              </w:rPr>
              <w:t>5,78</w:t>
            </w:r>
          </w:p>
        </w:tc>
      </w:tr>
      <w:tr w:rsidR="00DC26AA" w:rsidRPr="00DC26AA" w:rsidTr="00DC26AA">
        <w:trPr>
          <w:trHeight w:val="224"/>
          <w:jc w:val="right"/>
        </w:trPr>
        <w:tc>
          <w:tcPr>
            <w:tcW w:w="20" w:type="pct"/>
          </w:tcPr>
          <w:p w:rsidR="00DC26AA" w:rsidRPr="00DC26AA" w:rsidRDefault="00DC26AA" w:rsidP="00DC26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DC26AA">
              <w:rPr>
                <w:color w:val="000000"/>
                <w:sz w:val="24"/>
                <w:szCs w:val="22"/>
              </w:rPr>
              <w:t xml:space="preserve"> 5.</w:t>
            </w:r>
          </w:p>
        </w:tc>
        <w:tc>
          <w:tcPr>
            <w:tcW w:w="98" w:type="pct"/>
          </w:tcPr>
          <w:p w:rsidR="00DC26AA" w:rsidRPr="00DC26AA" w:rsidRDefault="00DC26AA" w:rsidP="00DC26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DC26AA">
              <w:rPr>
                <w:color w:val="000000"/>
                <w:sz w:val="24"/>
                <w:szCs w:val="22"/>
              </w:rPr>
              <w:t>powyżej 30%</w:t>
            </w:r>
          </w:p>
        </w:tc>
        <w:tc>
          <w:tcPr>
            <w:tcW w:w="89" w:type="pct"/>
          </w:tcPr>
          <w:p w:rsidR="00DC26AA" w:rsidRPr="00DC26AA" w:rsidRDefault="00DC26AA" w:rsidP="00DC26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DC26AA">
              <w:rPr>
                <w:color w:val="000000"/>
                <w:sz w:val="24"/>
                <w:szCs w:val="22"/>
              </w:rPr>
              <w:t>5,34</w:t>
            </w:r>
          </w:p>
        </w:tc>
        <w:tc>
          <w:tcPr>
            <w:tcW w:w="57" w:type="pct"/>
          </w:tcPr>
          <w:p w:rsidR="00DC26AA" w:rsidRPr="00DC26AA" w:rsidRDefault="00DC26AA" w:rsidP="00DC26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DC26AA">
              <w:rPr>
                <w:color w:val="000000"/>
                <w:sz w:val="24"/>
                <w:szCs w:val="22"/>
              </w:rPr>
              <w:t>5,34</w:t>
            </w:r>
          </w:p>
        </w:tc>
        <w:tc>
          <w:tcPr>
            <w:tcW w:w="57" w:type="pct"/>
          </w:tcPr>
          <w:p w:rsidR="00DC26AA" w:rsidRPr="00DC26AA" w:rsidRDefault="00DC26AA" w:rsidP="00DC26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DC26AA">
              <w:rPr>
                <w:color w:val="000000"/>
                <w:sz w:val="24"/>
                <w:szCs w:val="22"/>
              </w:rPr>
              <w:t>5,34</w:t>
            </w:r>
          </w:p>
        </w:tc>
      </w:tr>
    </w:tbl>
    <w:p w:rsidR="00DC26AA" w:rsidRPr="00DC26AA" w:rsidRDefault="00DC26AA" w:rsidP="00DC26A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2"/>
        </w:rPr>
      </w:pPr>
    </w:p>
    <w:p w:rsidR="00DC26AA" w:rsidRPr="00DC26AA" w:rsidRDefault="00DC26AA" w:rsidP="00DC26A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C26AA">
        <w:rPr>
          <w:color w:val="000000"/>
          <w:sz w:val="24"/>
          <w:szCs w:val="24"/>
        </w:rPr>
        <w:t xml:space="preserve">3. W zakresie odprowadzania wód opadowych i roztopowych wyodrębniono trzy cenowe grupy odbiorców usług, na podstawie charakteru użytkowego powierzchni nieruchomości, z której odprowadzane są wody opadowe i roztopowe do kanalizacji ogólnospławnej: </w:t>
      </w:r>
    </w:p>
    <w:p w:rsidR="00DC26AA" w:rsidRPr="00DC26AA" w:rsidRDefault="00DC26AA" w:rsidP="00DC26A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C26AA">
        <w:rPr>
          <w:color w:val="000000"/>
          <w:sz w:val="24"/>
          <w:szCs w:val="24"/>
        </w:rPr>
        <w:t>1) grupa cenowa I – zalicza się do niej odbiorców usług odprowadzających wody opadowe i roztopowe w sposób bezpośredni lub pośredni do urządzeń kanalizacji ogólnospławnej z powierzchni (w tym drogi, parkingi oraz dachy) należących do nieruchomości o przeznaczeniu mieszkalnym;</w:t>
      </w:r>
    </w:p>
    <w:p w:rsidR="00DC26AA" w:rsidRPr="00DC26AA" w:rsidRDefault="00DC26AA" w:rsidP="00DC26A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C26AA">
        <w:rPr>
          <w:color w:val="000000"/>
          <w:sz w:val="24"/>
          <w:szCs w:val="24"/>
        </w:rPr>
        <w:t>2) grupa cenowa II – zalicza się do niej odbiorców usług odprowadzających wody opadowe i roztopowe w sposób bezpośredni lub pośredni do urządzeń kanalizacji ogólnospławnej z powierzchni (w tym drogi, parkingi oraz dachy), należących do nieruchomości o przeznaczeniu sakralnym, miejskich jednostek organizacyjnych, jednostek sfery budżetowej, organizacji społecznych i innych podmiotów niewymienionych w innych grupach;</w:t>
      </w:r>
    </w:p>
    <w:p w:rsidR="00DC26AA" w:rsidRPr="00DC26AA" w:rsidRDefault="00DC26AA" w:rsidP="00DC26A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C26AA">
        <w:rPr>
          <w:color w:val="000000"/>
          <w:sz w:val="24"/>
          <w:szCs w:val="24"/>
        </w:rPr>
        <w:t>3) grupa cenowa III – zalicza się do niej odbiorców usług odprowadzających wody opadowe i roztopowe w sposób bezpośredni lub pośredni do urządzeń kanalizacji ogólnospławnej z powierzchni (w tym drogi i parkingi oraz dachy) należących do nieruchomości o przeznaczeniu przemysłowym, handlowym, usługowym, składowym, baz transportowych oraz portów i lotnisk.</w:t>
      </w:r>
    </w:p>
    <w:p w:rsidR="00DC26AA" w:rsidRPr="00DC26AA" w:rsidRDefault="00DC26AA" w:rsidP="00DC26A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DC26AA" w:rsidRDefault="00DC26AA" w:rsidP="00DC26AA">
      <w:pPr>
        <w:spacing w:line="360" w:lineRule="auto"/>
        <w:ind w:left="340" w:hanging="340"/>
        <w:jc w:val="both"/>
        <w:rPr>
          <w:color w:val="000000"/>
          <w:sz w:val="24"/>
          <w:szCs w:val="22"/>
        </w:rPr>
      </w:pPr>
      <w:r w:rsidRPr="00DC26AA">
        <w:rPr>
          <w:color w:val="000000"/>
          <w:sz w:val="24"/>
          <w:szCs w:val="24"/>
        </w:rPr>
        <w:lastRenderedPageBreak/>
        <w:t xml:space="preserve">4. </w:t>
      </w:r>
      <w:r w:rsidRPr="00DC26AA">
        <w:rPr>
          <w:color w:val="000000"/>
          <w:sz w:val="24"/>
          <w:szCs w:val="22"/>
        </w:rPr>
        <w:t>Do ceny netto dolicza się podatek od towarów i usług, którego stawka na dzień wydania zarządzenia wynosi 8%.</w:t>
      </w:r>
    </w:p>
    <w:p w:rsidR="00DC26AA" w:rsidRDefault="00DC26AA" w:rsidP="00DC26AA">
      <w:pPr>
        <w:spacing w:line="360" w:lineRule="auto"/>
        <w:jc w:val="both"/>
        <w:rPr>
          <w:color w:val="000000"/>
          <w:sz w:val="24"/>
        </w:rPr>
      </w:pPr>
    </w:p>
    <w:p w:rsidR="00DC26AA" w:rsidRDefault="00DC26AA" w:rsidP="00DC26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C26AA" w:rsidRDefault="00DC26AA" w:rsidP="00DC26AA">
      <w:pPr>
        <w:keepNext/>
        <w:spacing w:line="360" w:lineRule="auto"/>
        <w:rPr>
          <w:color w:val="000000"/>
          <w:sz w:val="24"/>
        </w:rPr>
      </w:pPr>
    </w:p>
    <w:p w:rsidR="00DC26AA" w:rsidRDefault="00DC26AA" w:rsidP="00DC26AA">
      <w:pPr>
        <w:spacing w:line="360" w:lineRule="auto"/>
        <w:jc w:val="both"/>
        <w:rPr>
          <w:color w:val="000000"/>
          <w:sz w:val="24"/>
          <w:szCs w:val="22"/>
        </w:rPr>
      </w:pPr>
      <w:bookmarkStart w:id="4" w:name="z2"/>
      <w:bookmarkEnd w:id="4"/>
      <w:r w:rsidRPr="00DC26AA">
        <w:rPr>
          <w:color w:val="000000"/>
          <w:sz w:val="24"/>
          <w:szCs w:val="22"/>
        </w:rPr>
        <w:t xml:space="preserve">Wykonanie zarządzenia powierza się Zarządowi </w:t>
      </w:r>
      <w:r w:rsidRPr="00DC26AA">
        <w:rPr>
          <w:color w:val="000000"/>
          <w:sz w:val="24"/>
          <w:szCs w:val="24"/>
        </w:rPr>
        <w:t>AQUANET</w:t>
      </w:r>
      <w:r w:rsidRPr="00DC26AA">
        <w:rPr>
          <w:color w:val="000000"/>
          <w:sz w:val="24"/>
          <w:szCs w:val="22"/>
        </w:rPr>
        <w:t xml:space="preserve"> </w:t>
      </w:r>
      <w:r w:rsidRPr="00DC26AA">
        <w:rPr>
          <w:color w:val="000000"/>
          <w:sz w:val="24"/>
          <w:szCs w:val="24"/>
        </w:rPr>
        <w:t>Spółka Akcyjna</w:t>
      </w:r>
      <w:r w:rsidRPr="00DC26AA">
        <w:rPr>
          <w:color w:val="000000"/>
          <w:sz w:val="24"/>
          <w:szCs w:val="22"/>
        </w:rPr>
        <w:t>.</w:t>
      </w:r>
    </w:p>
    <w:p w:rsidR="00DC26AA" w:rsidRDefault="00DC26AA" w:rsidP="00DC26AA">
      <w:pPr>
        <w:spacing w:line="360" w:lineRule="auto"/>
        <w:jc w:val="both"/>
        <w:rPr>
          <w:color w:val="000000"/>
          <w:sz w:val="24"/>
        </w:rPr>
      </w:pPr>
    </w:p>
    <w:p w:rsidR="00DC26AA" w:rsidRDefault="00DC26AA" w:rsidP="00DC26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C26AA" w:rsidRDefault="00DC26AA" w:rsidP="00DC26AA">
      <w:pPr>
        <w:keepNext/>
        <w:spacing w:line="360" w:lineRule="auto"/>
        <w:rPr>
          <w:color w:val="000000"/>
          <w:sz w:val="24"/>
        </w:rPr>
      </w:pPr>
    </w:p>
    <w:p w:rsidR="00DC26AA" w:rsidRDefault="00DC26AA" w:rsidP="00DC26AA">
      <w:pPr>
        <w:spacing w:line="360" w:lineRule="auto"/>
        <w:jc w:val="both"/>
        <w:rPr>
          <w:color w:val="000000"/>
          <w:sz w:val="24"/>
          <w:szCs w:val="22"/>
        </w:rPr>
      </w:pPr>
      <w:bookmarkStart w:id="5" w:name="z3"/>
      <w:bookmarkEnd w:id="5"/>
      <w:r w:rsidRPr="00DC26AA">
        <w:rPr>
          <w:color w:val="000000"/>
          <w:sz w:val="24"/>
          <w:szCs w:val="22"/>
        </w:rPr>
        <w:t>Zarządzenie wchodzi w życie po upływie 14 dni od dnia ogłoszenia w Dzienniku Urzędowym Województwa Wielkopolskiego.</w:t>
      </w:r>
    </w:p>
    <w:p w:rsidR="00DC26AA" w:rsidRDefault="00DC26AA" w:rsidP="00DC26AA">
      <w:pPr>
        <w:spacing w:line="360" w:lineRule="auto"/>
        <w:jc w:val="both"/>
        <w:rPr>
          <w:color w:val="000000"/>
          <w:sz w:val="24"/>
        </w:rPr>
      </w:pPr>
    </w:p>
    <w:p w:rsidR="00DC26AA" w:rsidRDefault="00DC26AA" w:rsidP="00DC26A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DC26AA" w:rsidRPr="00DC26AA" w:rsidRDefault="00DC26AA" w:rsidP="00DC26A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DC26AA" w:rsidRPr="00DC26AA" w:rsidSect="00DC26A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6AA" w:rsidRDefault="00DC26AA">
      <w:r>
        <w:separator/>
      </w:r>
    </w:p>
  </w:endnote>
  <w:endnote w:type="continuationSeparator" w:id="0">
    <w:p w:rsidR="00DC26AA" w:rsidRDefault="00DC2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6AA" w:rsidRDefault="00DC26AA">
      <w:r>
        <w:separator/>
      </w:r>
    </w:p>
  </w:footnote>
  <w:footnote w:type="continuationSeparator" w:id="0">
    <w:p w:rsidR="00DC26AA" w:rsidRDefault="00DC2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listopada 2020r."/>
    <w:docVar w:name="AktNr" w:val="864/2020/P"/>
    <w:docVar w:name="Sprawa" w:val="ustalenia ceny za usługę odprowadzania wód opadowych i roztopowych do systemu kanalizacji ogólnospławnej na terenie miasta Poznania, stosowanej przez AQUANET Spółka Akcyjna."/>
  </w:docVars>
  <w:rsids>
    <w:rsidRoot w:val="00DC26AA"/>
    <w:rsid w:val="00072485"/>
    <w:rsid w:val="000C07FF"/>
    <w:rsid w:val="000E2E12"/>
    <w:rsid w:val="00167A3B"/>
    <w:rsid w:val="00270F1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26AA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8713B5-370A-45E6-BD9E-923B790E2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586</Words>
  <Characters>3360</Characters>
  <Application>Microsoft Office Word</Application>
  <DocSecurity>0</DocSecurity>
  <Lines>146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2020-11-20T08:50:00Z</dcterms:created>
  <dcterms:modified xsi:type="dcterms:W3CDTF">2020-11-20T08:50:00Z</dcterms:modified>
</cp:coreProperties>
</file>