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C0" w:rsidRDefault="00915954">
      <w:pPr>
        <w:keepNext/>
        <w:spacing w:line="312" w:lineRule="auto"/>
        <w:ind w:left="4248"/>
        <w:jc w:val="right"/>
        <w:outlineLvl w:val="0"/>
        <w:rPr>
          <w:b/>
          <w:bCs/>
        </w:rPr>
      </w:pPr>
      <w:r>
        <w:rPr>
          <w:b/>
          <w:bCs/>
        </w:rPr>
        <w:t>Załącznik nr 2 do zarządzenia Nr…./2020</w:t>
      </w:r>
    </w:p>
    <w:p w:rsidR="00771DC0" w:rsidRDefault="00915954">
      <w:pPr>
        <w:keepNext/>
        <w:spacing w:line="312" w:lineRule="auto"/>
        <w:ind w:left="4248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PREZYDENTA MIASTA POZNANIA </w:t>
      </w:r>
      <w:r>
        <w:rPr>
          <w:b/>
          <w:bCs/>
        </w:rPr>
        <w:br/>
        <w:t>z dnia …………2020 r.</w:t>
      </w:r>
    </w:p>
    <w:p w:rsidR="00771DC0" w:rsidRDefault="00771DC0">
      <w:pPr>
        <w:spacing w:line="312" w:lineRule="auto"/>
        <w:rPr>
          <w:b/>
          <w:sz w:val="24"/>
          <w:szCs w:val="24"/>
        </w:rPr>
      </w:pPr>
    </w:p>
    <w:p w:rsidR="00771DC0" w:rsidRDefault="00771DC0">
      <w:pPr>
        <w:spacing w:line="312" w:lineRule="auto"/>
        <w:jc w:val="center"/>
        <w:rPr>
          <w:b/>
          <w:sz w:val="24"/>
          <w:szCs w:val="24"/>
        </w:rPr>
      </w:pPr>
    </w:p>
    <w:p w:rsidR="00771DC0" w:rsidRDefault="00771DC0">
      <w:pPr>
        <w:spacing w:line="312" w:lineRule="auto"/>
        <w:jc w:val="center"/>
        <w:rPr>
          <w:b/>
          <w:sz w:val="24"/>
          <w:szCs w:val="24"/>
        </w:rPr>
      </w:pPr>
    </w:p>
    <w:p w:rsidR="00771DC0" w:rsidRDefault="00915954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:rsidR="00771DC0" w:rsidRDefault="00915954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stosowania klauzul społecznych i kryteriów społecznych w procedurach udzielania zamówień publicznych</w:t>
      </w:r>
    </w:p>
    <w:p w:rsidR="00771DC0" w:rsidRDefault="00771DC0">
      <w:pPr>
        <w:spacing w:line="312" w:lineRule="auto"/>
        <w:jc w:val="both"/>
        <w:rPr>
          <w:sz w:val="24"/>
          <w:szCs w:val="24"/>
        </w:rPr>
      </w:pPr>
    </w:p>
    <w:p w:rsidR="00771DC0" w:rsidRDefault="00771DC0">
      <w:pPr>
        <w:spacing w:line="312" w:lineRule="auto"/>
        <w:jc w:val="both"/>
        <w:rPr>
          <w:sz w:val="24"/>
          <w:szCs w:val="24"/>
        </w:rPr>
      </w:pPr>
    </w:p>
    <w:p w:rsidR="00771DC0" w:rsidRDefault="00915954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Postanowienia ogólne </w:t>
      </w:r>
    </w:p>
    <w:p w:rsidR="00771DC0" w:rsidRDefault="00771DC0">
      <w:pPr>
        <w:spacing w:line="312" w:lineRule="auto"/>
        <w:jc w:val="center"/>
        <w:rPr>
          <w:b/>
          <w:sz w:val="24"/>
          <w:szCs w:val="24"/>
        </w:rPr>
      </w:pPr>
    </w:p>
    <w:p w:rsidR="00771DC0" w:rsidRDefault="00915954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771DC0" w:rsidRDefault="00771DC0">
      <w:pPr>
        <w:spacing w:line="360" w:lineRule="auto"/>
        <w:jc w:val="both"/>
        <w:rPr>
          <w:sz w:val="24"/>
          <w:szCs w:val="24"/>
        </w:rPr>
      </w:pPr>
    </w:p>
    <w:p w:rsidR="00771DC0" w:rsidRDefault="00915954">
      <w:pPr>
        <w:pStyle w:val="Akapitzlist"/>
        <w:numPr>
          <w:ilvl w:val="0"/>
          <w:numId w:val="2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Ilekroć w Regulaminie </w:t>
      </w:r>
      <w:r>
        <w:rPr>
          <w:sz w:val="24"/>
          <w:szCs w:val="24"/>
        </w:rPr>
        <w:t>jest mowa o:</w:t>
      </w:r>
    </w:p>
    <w:p w:rsidR="00771DC0" w:rsidRDefault="00915954">
      <w:pPr>
        <w:numPr>
          <w:ilvl w:val="0"/>
          <w:numId w:val="1"/>
        </w:numPr>
        <w:spacing w:line="360" w:lineRule="auto"/>
        <w:ind w:left="680" w:hanging="340"/>
        <w:jc w:val="both"/>
        <w:rPr>
          <w:b/>
          <w:sz w:val="24"/>
          <w:szCs w:val="24"/>
        </w:rPr>
      </w:pPr>
      <w:r>
        <w:rPr>
          <w:sz w:val="24"/>
          <w:szCs w:val="24"/>
        </w:rPr>
        <w:t>ustawie – należy przez to rozumieć ustawę Prawo zamówień publicznych</w:t>
      </w:r>
      <w:r>
        <w:rPr>
          <w:sz w:val="24"/>
          <w:szCs w:val="24"/>
          <w:lang w:eastAsia="en-US"/>
        </w:rPr>
        <w:t>;</w:t>
      </w:r>
    </w:p>
    <w:p w:rsidR="00771DC0" w:rsidRDefault="00915954">
      <w:pPr>
        <w:numPr>
          <w:ilvl w:val="0"/>
          <w:numId w:val="1"/>
        </w:numPr>
        <w:spacing w:line="360" w:lineRule="auto"/>
        <w:ind w:left="68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Kodeksie pracy – należy przez to rozumieć ustawę z dnia 26 czerwca 1974 r. Kodeks pracy (Dz. U. </w:t>
      </w:r>
      <w:r w:rsidR="0010551F">
        <w:rPr>
          <w:bCs/>
          <w:sz w:val="24"/>
          <w:szCs w:val="24"/>
        </w:rPr>
        <w:t xml:space="preserve">z 2020r., poz.1320 z </w:t>
      </w:r>
      <w:proofErr w:type="spellStart"/>
      <w:r w:rsidR="0010551F">
        <w:rPr>
          <w:bCs/>
          <w:sz w:val="24"/>
          <w:szCs w:val="24"/>
        </w:rPr>
        <w:t>późn</w:t>
      </w:r>
      <w:proofErr w:type="spellEnd"/>
      <w:r w:rsidR="0010551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zm.);</w:t>
      </w:r>
    </w:p>
    <w:p w:rsidR="00771DC0" w:rsidRDefault="00915954">
      <w:pPr>
        <w:numPr>
          <w:ilvl w:val="0"/>
          <w:numId w:val="1"/>
        </w:numPr>
        <w:spacing w:line="360" w:lineRule="auto"/>
        <w:ind w:left="680" w:hanging="340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klauzuli społecznej – należy przez to rozumieć oblig</w:t>
      </w:r>
      <w:r>
        <w:rPr>
          <w:sz w:val="24"/>
          <w:szCs w:val="24"/>
          <w:lang w:eastAsia="en-US"/>
        </w:rPr>
        <w:t>atoryjne i fakultatywne</w:t>
      </w:r>
      <w:r>
        <w:rPr>
          <w:color w:val="FF000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wymogi względem wykonawców, wynikające z ustawy;</w:t>
      </w:r>
    </w:p>
    <w:p w:rsidR="00771DC0" w:rsidRDefault="00915954">
      <w:pPr>
        <w:numPr>
          <w:ilvl w:val="0"/>
          <w:numId w:val="1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klauzuli społecznej, tzw. pracowniczej </w:t>
      </w:r>
      <w:r>
        <w:rPr>
          <w:sz w:val="24"/>
          <w:szCs w:val="24"/>
        </w:rPr>
        <w:t xml:space="preserve">– należy przez to rozumieć klauzulę społeczną dotyczącą zatrudnienia na podstawie stosunku pracy osób wykonujących wskazane przez zamawiającego </w:t>
      </w:r>
      <w:r>
        <w:rPr>
          <w:sz w:val="24"/>
          <w:szCs w:val="24"/>
        </w:rPr>
        <w:t>czynności w zakresie realizacji zamówienia w postępowaniu na usługi lub roboty budowlane, jeżeli wykonanie tych czynności polega na wykonywaniu pracy w sposób określony w art. 22 § 1 Kodeksu pracy;</w:t>
      </w:r>
    </w:p>
    <w:p w:rsidR="00771DC0" w:rsidRDefault="00915954">
      <w:pPr>
        <w:numPr>
          <w:ilvl w:val="0"/>
          <w:numId w:val="1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klauzuli społecznej, tzw. zatrudnieniowej – </w:t>
      </w:r>
      <w:r>
        <w:rPr>
          <w:sz w:val="24"/>
          <w:szCs w:val="24"/>
        </w:rPr>
        <w:t>należy przez t</w:t>
      </w:r>
      <w:r>
        <w:rPr>
          <w:sz w:val="24"/>
          <w:szCs w:val="24"/>
        </w:rPr>
        <w:t>o rozumieć klauzulę społeczną, dotyczącą zatrudnienia osób bezrobotnych, osób poszukujących pracy, osób usamodzielnianych,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młodocianych, osób z niepełnosprawnościami, innych osób, o których mowa w ustawie z dnia 13 czerwca 2013 r. o zatrudnieniu socjalnym </w:t>
      </w:r>
      <w:r>
        <w:rPr>
          <w:sz w:val="24"/>
          <w:szCs w:val="24"/>
        </w:rPr>
        <w:t>(Dz. U. z 2020r., poz. 176</w:t>
      </w:r>
      <w:r>
        <w:rPr>
          <w:sz w:val="24"/>
          <w:szCs w:val="24"/>
        </w:rPr>
        <w:t>) lub we właściwych przepisach państw członkowskich UE lub EOG i osób do 30. roku życia oraz po ukończeniu 50. roku życia, posiadających status osoby poszukującej pracy, bez zatrudnienia, w rozumieniu ustawy z dnia 20 kwietn</w:t>
      </w:r>
      <w:r>
        <w:rPr>
          <w:sz w:val="24"/>
          <w:szCs w:val="24"/>
        </w:rPr>
        <w:t xml:space="preserve">ia 2004 r. o promocji zatrudnienia i instytucjach rynku pracy (Dz. U. z 2020r., poz. 1409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>zm.);</w:t>
      </w:r>
    </w:p>
    <w:p w:rsidR="00771DC0" w:rsidRDefault="00915954">
      <w:pPr>
        <w:numPr>
          <w:ilvl w:val="0"/>
          <w:numId w:val="1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klauzuli społecznej, tzw. zastrzeżonej</w:t>
      </w:r>
      <w:r>
        <w:rPr>
          <w:sz w:val="24"/>
          <w:szCs w:val="24"/>
        </w:rPr>
        <w:t xml:space="preserve"> – należy przez to rozumieć klauzulę społeczną, dotyczącą zastrzeżenia zamówienia dla zakładów pracy chronionej, spółdziel</w:t>
      </w:r>
      <w:r>
        <w:rPr>
          <w:sz w:val="24"/>
          <w:szCs w:val="24"/>
        </w:rPr>
        <w:t>ni pracy socjalnej oraz innych wykonawców, których działalność lub działalność ich wyodrębnionych organizacyjnie jednostek, które będą realizowały zamówienie, obejmuje społeczną i zawodową integrację osób będących członkami grup społecznie marginalizowanyc</w:t>
      </w:r>
      <w:r>
        <w:rPr>
          <w:sz w:val="24"/>
          <w:szCs w:val="24"/>
        </w:rPr>
        <w:t>h, w szczególności: osób z niepełnosprawnościami, bezrobotnych, osób poszukujących pracy, osób usamodzielnianych, osób pozbawionych wolności lub zwalnianych z zakładów karnych, osób z zaburzeniami psychicznymi, osób bezdomnych, osób, które uzyskały w Rzecz</w:t>
      </w:r>
      <w:r>
        <w:rPr>
          <w:sz w:val="24"/>
          <w:szCs w:val="24"/>
        </w:rPr>
        <w:t>ypospolitej Polskiej status uchodźcy lub ochronę uzupełniającą, osób do 30. roku życia oraz po ukończeniu 50. roku życia, posiadających status osoby poszukującej pracy, bez zatrudnienia oraz członków mniejszości narodowych;</w:t>
      </w:r>
    </w:p>
    <w:p w:rsidR="00771DC0" w:rsidRDefault="00915954">
      <w:pPr>
        <w:numPr>
          <w:ilvl w:val="0"/>
          <w:numId w:val="1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kryterium społecznym </w:t>
      </w:r>
      <w:r>
        <w:rPr>
          <w:sz w:val="24"/>
          <w:szCs w:val="24"/>
        </w:rPr>
        <w:t xml:space="preserve">– należy przez to rozumieć kryterium wyboru ofert odnoszące się do aspektu społecznego, w szczególności w zakresie integracji zawodowej i społecznej osób wymienionych w </w:t>
      </w:r>
      <w:r>
        <w:rPr>
          <w:bCs/>
          <w:sz w:val="24"/>
          <w:szCs w:val="24"/>
        </w:rPr>
        <w:t>§ 1 ust. 1 pkt 6</w:t>
      </w:r>
      <w:r>
        <w:rPr>
          <w:sz w:val="24"/>
          <w:szCs w:val="24"/>
        </w:rPr>
        <w:t>, dostępności dla osób z niepełnosprawnościami lub uwzględniania potrze</w:t>
      </w:r>
      <w:r>
        <w:rPr>
          <w:sz w:val="24"/>
          <w:szCs w:val="24"/>
        </w:rPr>
        <w:t>b użytkowników;</w:t>
      </w:r>
    </w:p>
    <w:p w:rsidR="00771DC0" w:rsidRDefault="00915954">
      <w:pPr>
        <w:numPr>
          <w:ilvl w:val="0"/>
          <w:numId w:val="1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wydziale zamawiającym – należy przez to rozumieć wszystkie wydziały i biura Urzędu Miasta Poznania;</w:t>
      </w:r>
    </w:p>
    <w:p w:rsidR="00771DC0" w:rsidRDefault="00915954">
      <w:pPr>
        <w:numPr>
          <w:ilvl w:val="0"/>
          <w:numId w:val="1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pionie zamówień publicznych – należy przez to rozumieć wieloosobowe stanowisko ds. obsługi zamówień publicznych w Wydziale Zamówień i Obsług</w:t>
      </w:r>
      <w:r>
        <w:rPr>
          <w:sz w:val="24"/>
          <w:szCs w:val="24"/>
        </w:rPr>
        <w:t>i Urzędu.</w:t>
      </w:r>
    </w:p>
    <w:p w:rsidR="00771DC0" w:rsidRDefault="00771DC0">
      <w:pPr>
        <w:spacing w:line="360" w:lineRule="auto"/>
        <w:jc w:val="both"/>
        <w:rPr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Zakres stosowania klauzul społecznych </w:t>
      </w:r>
    </w:p>
    <w:p w:rsidR="00771DC0" w:rsidRDefault="00771DC0">
      <w:pPr>
        <w:spacing w:line="360" w:lineRule="auto"/>
        <w:jc w:val="center"/>
        <w:rPr>
          <w:b/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771DC0" w:rsidRDefault="00771DC0">
      <w:pPr>
        <w:spacing w:line="360" w:lineRule="auto"/>
        <w:jc w:val="both"/>
        <w:rPr>
          <w:b/>
          <w:sz w:val="24"/>
          <w:szCs w:val="24"/>
        </w:rPr>
      </w:pPr>
    </w:p>
    <w:p w:rsidR="00771DC0" w:rsidRDefault="00915954">
      <w:pPr>
        <w:pStyle w:val="Akapitzlist"/>
        <w:numPr>
          <w:ilvl w:val="0"/>
          <w:numId w:val="3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Niniejszy Regulamin ma zastosowanie do postępowań o udzielenie zamówienia, których wartość netto jest równa lub przekracza kwotę 130 000,00 zł.</w:t>
      </w:r>
    </w:p>
    <w:p w:rsidR="00771DC0" w:rsidRDefault="00915954">
      <w:pPr>
        <w:pStyle w:val="Akapitzlist"/>
        <w:numPr>
          <w:ilvl w:val="0"/>
          <w:numId w:val="3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zamówień, których wartość netto jest większa</w:t>
      </w:r>
      <w:r>
        <w:rPr>
          <w:sz w:val="24"/>
          <w:szCs w:val="24"/>
        </w:rPr>
        <w:t xml:space="preserve"> niż 30 000,00 zł i jednocześnie jest mniejsza niż 130 000,00 zł, dyrektor wydziału zamawiającego każdorazowo podejmuje decyzję o stosowaniu niniejszego Regulaminu, z zastrzeżeniem konieczności uzasadnienia odstąpienia w protokole, o którym mowa w § 3 ust.</w:t>
      </w:r>
      <w:r>
        <w:rPr>
          <w:sz w:val="24"/>
          <w:szCs w:val="24"/>
        </w:rPr>
        <w:t xml:space="preserve"> 5 i w § 4 ust. 4.</w:t>
      </w:r>
    </w:p>
    <w:p w:rsidR="00771DC0" w:rsidRDefault="00771DC0">
      <w:pPr>
        <w:spacing w:line="360" w:lineRule="auto"/>
        <w:jc w:val="both"/>
        <w:rPr>
          <w:sz w:val="24"/>
          <w:szCs w:val="24"/>
        </w:rPr>
      </w:pPr>
    </w:p>
    <w:p w:rsidR="00771DC0" w:rsidRDefault="00771DC0">
      <w:pPr>
        <w:spacing w:line="360" w:lineRule="auto"/>
        <w:jc w:val="both"/>
        <w:rPr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Zasady postępowania w zakresie stosowania klauzul społecznych w procedurze udzielania zamówień publicznych na usługi i roboty budowlane </w:t>
      </w:r>
    </w:p>
    <w:p w:rsidR="00771DC0" w:rsidRDefault="00771DC0">
      <w:pPr>
        <w:spacing w:line="360" w:lineRule="auto"/>
        <w:jc w:val="center"/>
        <w:rPr>
          <w:b/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771DC0" w:rsidRDefault="00771DC0">
      <w:pPr>
        <w:spacing w:line="360" w:lineRule="auto"/>
        <w:jc w:val="both"/>
        <w:rPr>
          <w:sz w:val="24"/>
          <w:szCs w:val="24"/>
        </w:rPr>
      </w:pPr>
    </w:p>
    <w:p w:rsidR="00771DC0" w:rsidRDefault="00915954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złożeniem wniosku o uruchomienie procedury udzielenia zamówienia na usługi i roboty </w:t>
      </w:r>
      <w:r>
        <w:rPr>
          <w:sz w:val="24"/>
          <w:szCs w:val="24"/>
        </w:rPr>
        <w:t>budowlane do pionu zamówień publicznych wydział zamawiający musi zweryfikować obligatoryjność lub możliwość zastosowania odpowiedniej klauzuli społecznej, biorąc pod uwagę w szczególności charakter wykonywanych czynności przez osoby w zakresie realizacji z</w:t>
      </w:r>
      <w:r>
        <w:rPr>
          <w:sz w:val="24"/>
          <w:szCs w:val="24"/>
        </w:rPr>
        <w:t>amówienia, w kontekście</w:t>
      </w:r>
      <w:r>
        <w:rPr>
          <w:iCs/>
          <w:sz w:val="24"/>
          <w:szCs w:val="24"/>
        </w:rPr>
        <w:t xml:space="preserve"> art. 22 § 1 Kodeksu pracy,</w:t>
      </w:r>
      <w:r>
        <w:rPr>
          <w:sz w:val="24"/>
          <w:szCs w:val="24"/>
        </w:rPr>
        <w:t xml:space="preserve"> cel i spodziewane korzyści z zastosowania danej klauzuli, koszty oraz możliwości spełnienia tych wymogów przez potencjalnych wykonawców.</w:t>
      </w:r>
    </w:p>
    <w:p w:rsidR="00771DC0" w:rsidRDefault="00915954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postępowaniach o udzielenie zamówienia publicznego na roboty budow</w:t>
      </w:r>
      <w:r>
        <w:rPr>
          <w:sz w:val="24"/>
          <w:szCs w:val="24"/>
        </w:rPr>
        <w:t>lane i usługi stosuje się:</w:t>
      </w:r>
    </w:p>
    <w:p w:rsidR="00771DC0" w:rsidRDefault="00915954">
      <w:pPr>
        <w:pStyle w:val="Akapitzlist"/>
        <w:numPr>
          <w:ilvl w:val="0"/>
          <w:numId w:val="5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obligatoryjnie klauzulę społeczną, tzw. pracowniczą;</w:t>
      </w:r>
    </w:p>
    <w:p w:rsidR="00771DC0" w:rsidRDefault="00915954">
      <w:pPr>
        <w:pStyle w:val="Akapitzlist"/>
        <w:numPr>
          <w:ilvl w:val="0"/>
          <w:numId w:val="5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fakultatywnie klauzulę społeczną, tzw. zatrudnieniową; </w:t>
      </w:r>
    </w:p>
    <w:p w:rsidR="00771DC0" w:rsidRDefault="00915954">
      <w:pPr>
        <w:pStyle w:val="Akapitzlist"/>
        <w:numPr>
          <w:ilvl w:val="0"/>
          <w:numId w:val="5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fakultatywnie klauzulę społeczną, tzw. zastrzeżoną;</w:t>
      </w:r>
    </w:p>
    <w:p w:rsidR="00771DC0" w:rsidRDefault="00915954">
      <w:pPr>
        <w:pStyle w:val="Akapitzlist"/>
        <w:numPr>
          <w:ilvl w:val="0"/>
          <w:numId w:val="5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fakultatywnie kryterium społeczne.</w:t>
      </w:r>
    </w:p>
    <w:p w:rsidR="00771DC0" w:rsidRDefault="00915954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Uwzględnienie klauzuli społecznej, określonej w </w:t>
      </w:r>
      <w:r>
        <w:rPr>
          <w:bCs/>
          <w:sz w:val="24"/>
          <w:szCs w:val="24"/>
        </w:rPr>
        <w:t>§ 3</w:t>
      </w:r>
      <w:r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>ust. 2 pkt 1, stanowi wymóg obligatoryjny tylko w przypadku, gdy wykonywanie czynności wskazanych przez zamawiającego polega na wykonywaniu pracy w sposób określony w art. 22 § 1 Kodeksu pracy.</w:t>
      </w:r>
    </w:p>
    <w:p w:rsidR="00771DC0" w:rsidRDefault="00915954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t>Jeżeli w w</w:t>
      </w:r>
      <w:r>
        <w:rPr>
          <w:iCs/>
          <w:sz w:val="24"/>
          <w:szCs w:val="24"/>
        </w:rPr>
        <w:t xml:space="preserve">yniku przeprowadzonej weryfikacji, o której mowa w </w:t>
      </w:r>
      <w:r>
        <w:rPr>
          <w:bCs/>
          <w:sz w:val="24"/>
          <w:szCs w:val="24"/>
        </w:rPr>
        <w:t xml:space="preserve">§ 3 </w:t>
      </w:r>
      <w:r>
        <w:rPr>
          <w:iCs/>
          <w:sz w:val="24"/>
          <w:szCs w:val="24"/>
        </w:rPr>
        <w:t>ust. 1, nie zachodzi przesłanka określona w art. 22 § 1 Kodeksu pracy lub zastosowanie pozostałych klauzul społecznych i kryterium społecznego jest niezasadne, wydział zamawiający nanosi odpowiednią in</w:t>
      </w:r>
      <w:r>
        <w:rPr>
          <w:iCs/>
          <w:sz w:val="24"/>
          <w:szCs w:val="24"/>
        </w:rPr>
        <w:t xml:space="preserve">formację w druku zlecenia ZPP wraz z uzasadnieniem odstąpienia od stosowania klauzul społecznych i kryterium społecznego, o których mowa w </w:t>
      </w:r>
      <w:r>
        <w:rPr>
          <w:bCs/>
          <w:sz w:val="24"/>
          <w:szCs w:val="24"/>
        </w:rPr>
        <w:t xml:space="preserve">§ 3 </w:t>
      </w:r>
      <w:r>
        <w:rPr>
          <w:sz w:val="24"/>
          <w:szCs w:val="24"/>
        </w:rPr>
        <w:t>ust. 2 pkt 2-4.</w:t>
      </w:r>
    </w:p>
    <w:p w:rsidR="00771DC0" w:rsidRDefault="00915954">
      <w:pPr>
        <w:pStyle w:val="Akapitzlist"/>
        <w:numPr>
          <w:ilvl w:val="0"/>
          <w:numId w:val="4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postępowań, których wartość netto jest mniejsza niż 130 000,00 zł, nie mniejsza jedna</w:t>
      </w:r>
      <w:r>
        <w:rPr>
          <w:sz w:val="24"/>
          <w:szCs w:val="24"/>
        </w:rPr>
        <w:t xml:space="preserve">k niż 50 000,00 zł, realizowanych samodzielnie przez wydziały zamawiające uzasadnienie odstąpienia, o którym mowa w </w:t>
      </w:r>
      <w:r>
        <w:rPr>
          <w:bCs/>
          <w:sz w:val="24"/>
          <w:szCs w:val="24"/>
        </w:rPr>
        <w:t>§ 3</w:t>
      </w:r>
      <w:r>
        <w:rPr>
          <w:sz w:val="24"/>
          <w:szCs w:val="24"/>
        </w:rPr>
        <w:t xml:space="preserve"> ust. 4, należy odnotować w protokole dokumentującym udzielenie zamówienia publicznego.</w:t>
      </w:r>
    </w:p>
    <w:p w:rsidR="00771DC0" w:rsidRDefault="00771DC0">
      <w:pPr>
        <w:spacing w:line="360" w:lineRule="auto"/>
        <w:ind w:left="284" w:hanging="284"/>
        <w:jc w:val="both"/>
        <w:rPr>
          <w:iCs/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Zasady postępowania w zakresie stosowania klauzu</w:t>
      </w:r>
      <w:r>
        <w:rPr>
          <w:b/>
          <w:sz w:val="24"/>
          <w:szCs w:val="24"/>
        </w:rPr>
        <w:t xml:space="preserve">l społecznych w procedurze udzielania zamówień publicznych na dostawy </w:t>
      </w:r>
    </w:p>
    <w:p w:rsidR="00771DC0" w:rsidRDefault="00771DC0">
      <w:pPr>
        <w:spacing w:line="360" w:lineRule="auto"/>
        <w:jc w:val="center"/>
        <w:rPr>
          <w:b/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771DC0" w:rsidRDefault="00771DC0">
      <w:pPr>
        <w:spacing w:line="360" w:lineRule="auto"/>
        <w:ind w:left="284" w:hanging="284"/>
        <w:jc w:val="both"/>
        <w:rPr>
          <w:iCs/>
          <w:sz w:val="24"/>
          <w:szCs w:val="24"/>
        </w:rPr>
      </w:pPr>
    </w:p>
    <w:p w:rsidR="00771DC0" w:rsidRDefault="00915954">
      <w:pPr>
        <w:pStyle w:val="Akapitzlist"/>
        <w:numPr>
          <w:ilvl w:val="0"/>
          <w:numId w:val="6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Przed złożeniem wniosku o uruchomienie procedury udzielenia zamówienia na dostawy do pionu zamówień publicznych wydział zamawiający musi zweryfikować możliwość zastosowania odpowi</w:t>
      </w:r>
      <w:r>
        <w:rPr>
          <w:sz w:val="24"/>
          <w:szCs w:val="24"/>
        </w:rPr>
        <w:t>edniej klauzuli społecznej, biorąc pod uwagę cel i spodziewane korzyści z zastosowania danej klauzuli, koszty oraz możliwości spełnienia tych wymogów przez potencjalnych wykonawców.</w:t>
      </w:r>
    </w:p>
    <w:p w:rsidR="00771DC0" w:rsidRDefault="00915954">
      <w:pPr>
        <w:pStyle w:val="Akapitzlist"/>
        <w:numPr>
          <w:ilvl w:val="0"/>
          <w:numId w:val="6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postępowaniach o udzielenie zamówienia na dostawy zaleca się stosowanie:</w:t>
      </w:r>
    </w:p>
    <w:p w:rsidR="00771DC0" w:rsidRDefault="00915954">
      <w:pPr>
        <w:pStyle w:val="Akapitzlist"/>
        <w:numPr>
          <w:ilvl w:val="0"/>
          <w:numId w:val="7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klauzuli społecznej, tzw. zatrudnieniowej; </w:t>
      </w:r>
    </w:p>
    <w:p w:rsidR="00771DC0" w:rsidRDefault="00915954">
      <w:pPr>
        <w:pStyle w:val="Akapitzlist"/>
        <w:numPr>
          <w:ilvl w:val="0"/>
          <w:numId w:val="7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klauzuli społecznej, tzw. zastrzeżonej;</w:t>
      </w:r>
    </w:p>
    <w:p w:rsidR="00771DC0" w:rsidRDefault="00915954">
      <w:pPr>
        <w:pStyle w:val="Akapitzlist"/>
        <w:numPr>
          <w:ilvl w:val="0"/>
          <w:numId w:val="7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kryterium społecznego;</w:t>
      </w:r>
    </w:p>
    <w:p w:rsidR="00771DC0" w:rsidRDefault="00915954">
      <w:pPr>
        <w:pStyle w:val="Akapitzlist"/>
        <w:numPr>
          <w:ilvl w:val="0"/>
          <w:numId w:val="7"/>
        </w:numPr>
        <w:spacing w:line="360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oraz w wyjątkowych przypadkach klauzuli społecznej, tzw. pracowniczej.</w:t>
      </w:r>
    </w:p>
    <w:p w:rsidR="00771DC0" w:rsidRDefault="00915954">
      <w:pPr>
        <w:pStyle w:val="Akapitzlist"/>
        <w:numPr>
          <w:ilvl w:val="0"/>
          <w:numId w:val="6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Jeżeli przeprowadzona weryfikacja, o której mowa w § 4 ust. 1, potwierdzi </w:t>
      </w:r>
      <w:r>
        <w:rPr>
          <w:iCs/>
          <w:sz w:val="24"/>
          <w:szCs w:val="24"/>
        </w:rPr>
        <w:t>brak zasadności zastosowania klauzul społecznych lub kryterium społecznego, wydział zamawiający nanosi odpowiednią informację we wniosku ZPP wraz z uzasadnieniem odstąpienia od stosowania klauzul społecznych i kryterium społecznego, o których mowa w § 4 us</w:t>
      </w:r>
      <w:r>
        <w:rPr>
          <w:iCs/>
          <w:sz w:val="24"/>
          <w:szCs w:val="24"/>
        </w:rPr>
        <w:t>t. 2 pkt 1-3.</w:t>
      </w:r>
    </w:p>
    <w:p w:rsidR="00771DC0" w:rsidRDefault="00915954">
      <w:pPr>
        <w:pStyle w:val="Akapitzlist"/>
        <w:numPr>
          <w:ilvl w:val="0"/>
          <w:numId w:val="6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postępowań, których wartość netto jest mniejsza niż 130 000,00 zł, nie mniejsza jednak niż 50 000,00 zł, realizowanych samodzielnie przez wydziały zamawiające uzasadnienie odstąpienia, o którym mowa w </w:t>
      </w:r>
      <w:r>
        <w:rPr>
          <w:iCs/>
          <w:sz w:val="24"/>
          <w:szCs w:val="24"/>
        </w:rPr>
        <w:t xml:space="preserve">§ 4 </w:t>
      </w:r>
      <w:r>
        <w:rPr>
          <w:sz w:val="24"/>
          <w:szCs w:val="24"/>
        </w:rPr>
        <w:t xml:space="preserve">ust. 3, należy odnotować </w:t>
      </w:r>
      <w:r>
        <w:rPr>
          <w:sz w:val="24"/>
          <w:szCs w:val="24"/>
        </w:rPr>
        <w:t>w protokole dokumentującym udzielenie zamówienia publicznego.</w:t>
      </w:r>
    </w:p>
    <w:p w:rsidR="00771DC0" w:rsidRDefault="00771DC0">
      <w:pPr>
        <w:spacing w:line="360" w:lineRule="auto"/>
        <w:jc w:val="center"/>
        <w:rPr>
          <w:b/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Rejestr zamówień uwzględniających klauzule społeczne</w:t>
      </w: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oraz monitoring udzielania społecznie odpowiedzialnych zamówień publicznych </w:t>
      </w:r>
    </w:p>
    <w:p w:rsidR="00771DC0" w:rsidRDefault="00771DC0">
      <w:pPr>
        <w:spacing w:line="360" w:lineRule="auto"/>
        <w:jc w:val="center"/>
        <w:rPr>
          <w:b/>
          <w:sz w:val="24"/>
          <w:szCs w:val="24"/>
        </w:rPr>
      </w:pPr>
    </w:p>
    <w:p w:rsidR="00771DC0" w:rsidRDefault="009159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771DC0" w:rsidRDefault="00771DC0">
      <w:pPr>
        <w:spacing w:line="360" w:lineRule="auto"/>
        <w:jc w:val="center"/>
        <w:rPr>
          <w:sz w:val="24"/>
          <w:szCs w:val="24"/>
        </w:rPr>
      </w:pPr>
    </w:p>
    <w:p w:rsidR="00771DC0" w:rsidRDefault="00915954">
      <w:pPr>
        <w:pStyle w:val="Akapitzlist"/>
        <w:numPr>
          <w:ilvl w:val="0"/>
          <w:numId w:val="8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Stosowanie klauzul społecznych w postępowaniach o udziele</w:t>
      </w:r>
      <w:r>
        <w:rPr>
          <w:sz w:val="24"/>
          <w:szCs w:val="24"/>
        </w:rPr>
        <w:t>nie zamówienia o wartości netto równej lub przekraczającej kwotę 130 000,00 zł, prowadzonych na zlecenie wydziałów zamawiających jest rejestrowane przez pion zamówień publicznych.</w:t>
      </w:r>
    </w:p>
    <w:p w:rsidR="00771DC0" w:rsidRDefault="00915954">
      <w:pPr>
        <w:pStyle w:val="Akapitzlist"/>
        <w:numPr>
          <w:ilvl w:val="0"/>
          <w:numId w:val="8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Monitoring stosowania klauzul społecznych w zamówieniach, wartość netto jest</w:t>
      </w:r>
      <w:r>
        <w:rPr>
          <w:sz w:val="24"/>
          <w:szCs w:val="24"/>
        </w:rPr>
        <w:t xml:space="preserve"> większa niż 30 000,00 zł i jednocześnie jest mniejsza niż 130 000,00 zł, udzielanych przez wydziały zamawiające prowadzony jest w celu nadzorowania stosowania niniejszego Regulaminu.</w:t>
      </w:r>
    </w:p>
    <w:p w:rsidR="00771DC0" w:rsidRDefault="00915954">
      <w:pPr>
        <w:pStyle w:val="Akapitzlist"/>
        <w:numPr>
          <w:ilvl w:val="0"/>
          <w:numId w:val="8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Rejestr zamówień publicznych o wartości netto równej lub przekraczającej</w:t>
      </w:r>
      <w:r>
        <w:rPr>
          <w:sz w:val="24"/>
          <w:szCs w:val="24"/>
        </w:rPr>
        <w:t xml:space="preserve"> kwoty 130 000,00 zł uwzględniających klauzule społeczne oraz rejestr </w:t>
      </w:r>
      <w:proofErr w:type="spellStart"/>
      <w:r>
        <w:rPr>
          <w:sz w:val="24"/>
          <w:szCs w:val="24"/>
        </w:rPr>
        <w:t>odstąpień</w:t>
      </w:r>
      <w:proofErr w:type="spellEnd"/>
      <w:r>
        <w:rPr>
          <w:sz w:val="24"/>
          <w:szCs w:val="24"/>
        </w:rPr>
        <w:t xml:space="preserve"> od stosowania klauzul społecznych prowadzony jest w Elektronicznej Bazie Zamówień na dysku H.</w:t>
      </w:r>
    </w:p>
    <w:p w:rsidR="00771DC0" w:rsidRDefault="00915954">
      <w:pPr>
        <w:pStyle w:val="Akapitzlist"/>
        <w:numPr>
          <w:ilvl w:val="0"/>
          <w:numId w:val="8"/>
        </w:num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Pion zamówień publicznych sporządza roczne sprawozdanie z udzielonych zamówień pub</w:t>
      </w:r>
      <w:r>
        <w:rPr>
          <w:sz w:val="24"/>
          <w:szCs w:val="24"/>
        </w:rPr>
        <w:t>licznych z zastosowaniem klauzul społecznych i przekazuje je w I kwartale do Sekretarza Miasta Poznania.</w:t>
      </w:r>
    </w:p>
    <w:p w:rsidR="00771DC0" w:rsidRDefault="00771DC0">
      <w:pPr>
        <w:spacing w:line="360" w:lineRule="auto"/>
        <w:rPr>
          <w:sz w:val="24"/>
          <w:szCs w:val="24"/>
        </w:rPr>
      </w:pPr>
    </w:p>
    <w:sectPr w:rsidR="00771DC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30D"/>
    <w:multiLevelType w:val="multilevel"/>
    <w:tmpl w:val="571639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84BF5"/>
    <w:multiLevelType w:val="multilevel"/>
    <w:tmpl w:val="580C33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6C78B3"/>
    <w:multiLevelType w:val="multilevel"/>
    <w:tmpl w:val="5D12D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9048C"/>
    <w:multiLevelType w:val="multilevel"/>
    <w:tmpl w:val="56F2D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4259A"/>
    <w:multiLevelType w:val="multilevel"/>
    <w:tmpl w:val="84343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84CDC"/>
    <w:multiLevelType w:val="multilevel"/>
    <w:tmpl w:val="BD96B1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E62442"/>
    <w:multiLevelType w:val="multilevel"/>
    <w:tmpl w:val="5900A63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014766D"/>
    <w:multiLevelType w:val="multilevel"/>
    <w:tmpl w:val="136EB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9A69D7"/>
    <w:multiLevelType w:val="multilevel"/>
    <w:tmpl w:val="4684C3B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71DC0"/>
    <w:rsid w:val="0010551F"/>
    <w:rsid w:val="00771DC0"/>
    <w:rsid w:val="0091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7D0E"/>
  <w15:docId w15:val="{50358087-3FEE-47B7-8E97-1B86DC4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F85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3F85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F63F8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D07FF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6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1142</Words>
  <Characters>6858</Characters>
  <Application>Microsoft Office Word</Application>
  <DocSecurity>0</DocSecurity>
  <Lines>57</Lines>
  <Paragraphs>15</Paragraphs>
  <ScaleCrop>false</ScaleCrop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Wasielewska</dc:creator>
  <dc:description/>
  <cp:lastModifiedBy>Kamilla Chmielarz-Suszka</cp:lastModifiedBy>
  <cp:revision>92</cp:revision>
  <dcterms:created xsi:type="dcterms:W3CDTF">2020-06-30T05:20:00Z</dcterms:created>
  <dcterms:modified xsi:type="dcterms:W3CDTF">2020-12-18T08:25:00Z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