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236D7" w:rsidRDefault="008C23C1">
      <w:pPr>
        <w:autoSpaceDE w:val="0"/>
        <w:ind w:left="5040"/>
        <w:jc w:val="right"/>
      </w:pPr>
      <w:r>
        <w:rPr>
          <w:rFonts w:ascii="Times New Roman" w:eastAsia="Times New Roman" w:hAnsi="Times New Roman" w:cs="Times New Roman"/>
          <w:b/>
          <w:bCs/>
          <w:sz w:val="20"/>
          <w:szCs w:val="20"/>
        </w:rPr>
        <w:t xml:space="preserve">Załącznik nr 5 do Regulaminu określającego minimalne wymogi obowiązujące przy udzielaniu zamówień publicznych, o wartości netto poniżej kwoty 130 000,00 zł </w:t>
      </w:r>
    </w:p>
    <w:p w:rsidR="000236D7" w:rsidRDefault="000236D7">
      <w:pPr>
        <w:rPr>
          <w:rFonts w:ascii="Times New Roman" w:eastAsia="Times New Roman" w:hAnsi="Times New Roman" w:cs="Times New Roman"/>
          <w:b/>
          <w:bCs/>
          <w:sz w:val="28"/>
          <w:szCs w:val="28"/>
        </w:rPr>
      </w:pPr>
    </w:p>
    <w:p w:rsidR="000236D7" w:rsidRDefault="008C23C1">
      <w:pPr>
        <w:jc w:val="center"/>
      </w:pPr>
      <w:r>
        <w:rPr>
          <w:rFonts w:ascii="Times New Roman" w:eastAsia="Times New Roman" w:hAnsi="Times New Roman" w:cs="Times New Roman"/>
          <w:b/>
          <w:bCs/>
          <w:sz w:val="28"/>
          <w:szCs w:val="28"/>
        </w:rPr>
        <w:t xml:space="preserve">Regulamin udzielania zamówień w ramach projektów realizowanych z funduszy europejskich poniżej wartości kwoty 130 000,00 zł </w:t>
      </w:r>
    </w:p>
    <w:p w:rsidR="000236D7" w:rsidRDefault="000236D7">
      <w:pPr>
        <w:spacing w:after="0" w:line="240" w:lineRule="auto"/>
        <w:jc w:val="both"/>
        <w:rPr>
          <w:rFonts w:ascii="Times New Roman" w:eastAsia="Times New Roman" w:hAnsi="Times New Roman" w:cs="Times New Roman"/>
          <w:b/>
          <w:bCs/>
          <w:sz w:val="4"/>
          <w:szCs w:val="4"/>
        </w:rPr>
      </w:pPr>
    </w:p>
    <w:p w:rsidR="000236D7" w:rsidRDefault="008C23C1">
      <w:pPr>
        <w:spacing w:after="0" w:line="312" w:lineRule="auto"/>
        <w:jc w:val="both"/>
      </w:pPr>
      <w:r>
        <w:rPr>
          <w:rFonts w:ascii="Times New Roman" w:eastAsia="Times New Roman" w:hAnsi="Times New Roman" w:cs="Times New Roman"/>
          <w:sz w:val="24"/>
          <w:szCs w:val="24"/>
          <w:lang w:eastAsia="pl-PL"/>
        </w:rPr>
        <w:t xml:space="preserve">Przed udzieleniem jakiegokolwiek zamówienia należy przede wszystkim zapoznać się z dokumentem aktualnych wytycznych w zakresie kwalifikowalności wydatków w ramach danego funduszu europejskiego oraz umową o dofinansowanie projektu. Niniejszy dokument  opisuje jedynie ogólne zasady udzielenia zamówień z wykorzystaniem środków z funduszy europejskich. </w:t>
      </w:r>
    </w:p>
    <w:p w:rsidR="000236D7" w:rsidRDefault="000236D7">
      <w:pPr>
        <w:spacing w:after="0" w:line="312" w:lineRule="auto"/>
        <w:jc w:val="both"/>
        <w:rPr>
          <w:rFonts w:ascii="Times New Roman" w:eastAsia="Times New Roman" w:hAnsi="Times New Roman" w:cs="Times New Roman"/>
          <w:sz w:val="6"/>
          <w:szCs w:val="6"/>
          <w:lang w:eastAsia="pl-PL"/>
        </w:rPr>
      </w:pPr>
    </w:p>
    <w:p w:rsidR="000236D7" w:rsidRDefault="008C23C1">
      <w:pPr>
        <w:spacing w:after="0" w:line="312" w:lineRule="auto"/>
        <w:jc w:val="both"/>
      </w:pPr>
      <w:r>
        <w:rPr>
          <w:rFonts w:ascii="Times New Roman" w:eastAsia="Times New Roman" w:hAnsi="Times New Roman" w:cs="Times New Roman"/>
          <w:bCs/>
          <w:sz w:val="24"/>
          <w:szCs w:val="24"/>
        </w:rPr>
        <w:t>Miasto Poznań jest beneficjentem zobowiązanym do stosowania ustawy, wobec czego obowiązują je zasady dotyczące wydatkowania środków w sposób zapewniający p</w:t>
      </w:r>
      <w:r>
        <w:rPr>
          <w:rFonts w:ascii="Times New Roman" w:eastAsia="Times New Roman" w:hAnsi="Times New Roman" w:cs="Times New Roman"/>
          <w:sz w:val="24"/>
          <w:szCs w:val="24"/>
          <w:lang w:eastAsia="pl-PL"/>
        </w:rPr>
        <w:t xml:space="preserve">rzejrzystość oraz zachowanie uczciwej konkurencji i równego traktowania wykonawców, tak jak dla podmiotów zobowiązanych do stosowania ustawy. </w:t>
      </w:r>
    </w:p>
    <w:p w:rsidR="000236D7" w:rsidRDefault="000236D7">
      <w:pPr>
        <w:spacing w:after="0" w:line="312" w:lineRule="auto"/>
        <w:jc w:val="both"/>
        <w:rPr>
          <w:rFonts w:ascii="Times New Roman" w:eastAsia="Times New Roman" w:hAnsi="Times New Roman" w:cs="Times New Roman"/>
          <w:sz w:val="6"/>
          <w:szCs w:val="6"/>
          <w:lang w:eastAsia="pl-PL"/>
        </w:rPr>
      </w:pPr>
    </w:p>
    <w:p w:rsidR="000236D7" w:rsidRDefault="008C23C1">
      <w:pPr>
        <w:spacing w:after="0" w:line="312" w:lineRule="auto"/>
        <w:jc w:val="both"/>
      </w:pPr>
      <w:r>
        <w:rPr>
          <w:rFonts w:ascii="Times New Roman" w:eastAsia="Times New Roman" w:hAnsi="Times New Roman" w:cs="Times New Roman"/>
          <w:sz w:val="24"/>
          <w:szCs w:val="24"/>
          <w:lang w:eastAsia="pl-PL"/>
        </w:rPr>
        <w:t>Dla spełnienia powyższych wymogów poniżej kwoty 130 000,00 zł netto obowiązkowe jest stosowanie zasady konkurencyjności lub procedury rozeznania rynku, gdy Miasto Poznań działa jako zamawiający (możliwe jest także przeprowadzenie udzielenia zamówienia w trybie stosowania przepisów ustawy).</w:t>
      </w:r>
    </w:p>
    <w:p w:rsidR="000236D7" w:rsidRDefault="000236D7">
      <w:pPr>
        <w:spacing w:after="0" w:line="312" w:lineRule="auto"/>
        <w:jc w:val="both"/>
        <w:rPr>
          <w:rFonts w:ascii="Times New Roman" w:eastAsia="Times New Roman" w:hAnsi="Times New Roman" w:cs="Times New Roman"/>
          <w:sz w:val="6"/>
          <w:szCs w:val="6"/>
          <w:lang w:eastAsia="pl-PL"/>
        </w:rPr>
      </w:pPr>
    </w:p>
    <w:p w:rsidR="000236D7" w:rsidRDefault="008C23C1">
      <w:pPr>
        <w:spacing w:after="0" w:line="312" w:lineRule="auto"/>
        <w:jc w:val="both"/>
      </w:pPr>
      <w:r>
        <w:rPr>
          <w:rFonts w:ascii="Times New Roman" w:eastAsia="Times New Roman" w:hAnsi="Times New Roman" w:cs="Times New Roman"/>
          <w:sz w:val="24"/>
          <w:szCs w:val="24"/>
          <w:lang w:eastAsia="pl-PL"/>
        </w:rPr>
        <w:t xml:space="preserve">Wymagania w zakresie stosowania i dokumentowania zasady konkurencyjności oraz rozeznania rynku są uzależnione od wartości zamówienia netto. Poniższa tabela przedstawia uproszczony schemat tych zasad. </w:t>
      </w:r>
    </w:p>
    <w:p w:rsidR="000236D7" w:rsidRDefault="000236D7">
      <w:pPr>
        <w:spacing w:after="0" w:line="312" w:lineRule="auto"/>
        <w:jc w:val="both"/>
        <w:rPr>
          <w:rFonts w:ascii="Times New Roman" w:eastAsia="Times New Roman" w:hAnsi="Times New Roman" w:cs="Times New Roman"/>
          <w:sz w:val="6"/>
          <w:szCs w:val="6"/>
          <w:lang w:eastAsia="pl-PL"/>
        </w:rPr>
      </w:pPr>
    </w:p>
    <w:p w:rsidR="000236D7" w:rsidRDefault="008C23C1">
      <w:pPr>
        <w:jc w:val="both"/>
      </w:pPr>
      <w:r>
        <w:rPr>
          <w:rFonts w:ascii="Times New Roman" w:eastAsia="Times New Roman" w:hAnsi="Times New Roman" w:cs="Times New Roman"/>
          <w:b/>
          <w:bCs/>
          <w:sz w:val="24"/>
          <w:szCs w:val="24"/>
        </w:rPr>
        <w:t xml:space="preserve">Zasady zapewnienia konkurencyjności przy udzielaniu zamówień* </w:t>
      </w:r>
    </w:p>
    <w:tbl>
      <w:tblPr>
        <w:tblW w:w="0" w:type="auto"/>
        <w:tblInd w:w="-13" w:type="dxa"/>
        <w:tblLayout w:type="fixed"/>
        <w:tblCellMar>
          <w:left w:w="0" w:type="dxa"/>
          <w:right w:w="0" w:type="dxa"/>
        </w:tblCellMar>
        <w:tblLook w:val="0000" w:firstRow="0" w:lastRow="0" w:firstColumn="0" w:lastColumn="0" w:noHBand="0" w:noVBand="0"/>
      </w:tblPr>
      <w:tblGrid>
        <w:gridCol w:w="1415"/>
        <w:gridCol w:w="1901"/>
        <w:gridCol w:w="2223"/>
        <w:gridCol w:w="3265"/>
      </w:tblGrid>
      <w:tr w:rsidR="000236D7">
        <w:trPr>
          <w:trHeight w:val="1039"/>
        </w:trPr>
        <w:tc>
          <w:tcPr>
            <w:tcW w:w="1415"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Wartość zamówienia</w:t>
            </w:r>
          </w:p>
        </w:tc>
        <w:tc>
          <w:tcPr>
            <w:tcW w:w="1901"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 20 000 zł netto</w:t>
            </w:r>
          </w:p>
        </w:tc>
        <w:tc>
          <w:tcPr>
            <w:tcW w:w="2223"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lang w:val="de-DE"/>
              </w:rPr>
              <w:t>≥ 20 000 zł netto</w:t>
            </w:r>
          </w:p>
          <w:p w:rsidR="000236D7" w:rsidRDefault="008C23C1">
            <w:pPr>
              <w:jc w:val="center"/>
            </w:pPr>
            <w:r>
              <w:rPr>
                <w:rFonts w:ascii="Times New Roman" w:eastAsia="Times New Roman" w:hAnsi="Times New Roman" w:cs="Times New Roman"/>
                <w:b/>
                <w:bCs/>
                <w:lang w:val="de-DE"/>
              </w:rPr>
              <w:t>≤ 50 000 zł netto</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lang w:val="de-DE"/>
              </w:rPr>
              <w:t>&gt; 50 000 zł netto</w:t>
            </w:r>
          </w:p>
          <w:p w:rsidR="000236D7" w:rsidRDefault="008C23C1">
            <w:pPr>
              <w:jc w:val="center"/>
            </w:pPr>
            <w:r>
              <w:rPr>
                <w:rFonts w:ascii="Times New Roman" w:eastAsia="Times New Roman" w:hAnsi="Times New Roman" w:cs="Times New Roman"/>
                <w:b/>
                <w:bCs/>
                <w:lang w:val="de-DE"/>
              </w:rPr>
              <w:t>&lt; 130 000 zł netto</w:t>
            </w:r>
          </w:p>
        </w:tc>
      </w:tr>
      <w:tr w:rsidR="000236D7">
        <w:trPr>
          <w:trHeight w:val="3317"/>
        </w:trPr>
        <w:tc>
          <w:tcPr>
            <w:tcW w:w="1415"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Procedura/</w:t>
            </w:r>
            <w:r>
              <w:rPr>
                <w:rFonts w:ascii="Times New Roman" w:eastAsia="Times New Roman" w:hAnsi="Times New Roman" w:cs="Times New Roman"/>
                <w:b/>
                <w:bCs/>
              </w:rPr>
              <w:br/>
              <w:t>tryb</w:t>
            </w:r>
          </w:p>
        </w:tc>
        <w:tc>
          <w:tcPr>
            <w:tcW w:w="1901"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Zgodnie z wewnętrznymi uregulowaniami beneficjenta,</w:t>
            </w:r>
            <w:r>
              <w:rPr>
                <w:rFonts w:ascii="Times New Roman" w:eastAsia="Times New Roman" w:hAnsi="Times New Roman" w:cs="Times New Roman"/>
                <w:b/>
                <w:bCs/>
              </w:rPr>
              <w:br/>
              <w:t xml:space="preserve">jeśli takie posiada, </w:t>
            </w:r>
            <w:r>
              <w:rPr>
                <w:rFonts w:ascii="Times New Roman" w:eastAsia="Times New Roman" w:hAnsi="Times New Roman" w:cs="Times New Roman"/>
                <w:bCs/>
              </w:rPr>
              <w:t>chyba że umowa o dofinansowanie lub szczegółowe wytyczne dla programu stanowią inaczej**</w:t>
            </w:r>
          </w:p>
        </w:tc>
        <w:tc>
          <w:tcPr>
            <w:tcW w:w="2223" w:type="dxa"/>
            <w:tcBorders>
              <w:top w:val="single" w:sz="4" w:space="0" w:color="000000"/>
              <w:left w:val="single" w:sz="4" w:space="0" w:color="000000"/>
              <w:bottom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Procedura rozeznania rynku</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6D7" w:rsidRDefault="008C23C1">
            <w:pPr>
              <w:jc w:val="center"/>
            </w:pPr>
            <w:r>
              <w:rPr>
                <w:rFonts w:ascii="Times New Roman" w:eastAsia="Times New Roman" w:hAnsi="Times New Roman" w:cs="Times New Roman"/>
                <w:b/>
                <w:bCs/>
              </w:rPr>
              <w:t>Zasada konkurencyjności</w:t>
            </w:r>
          </w:p>
        </w:tc>
      </w:tr>
    </w:tbl>
    <w:p w:rsidR="000236D7" w:rsidRDefault="008C23C1">
      <w:pPr>
        <w:spacing w:after="0" w:line="240" w:lineRule="auto"/>
        <w:jc w:val="both"/>
      </w:pPr>
      <w:r>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i/>
          <w:sz w:val="18"/>
          <w:szCs w:val="18"/>
          <w:lang w:eastAsia="pl-PL"/>
        </w:rPr>
        <w:t xml:space="preserve">Wytyczne zawierają katalog przypadków, kiedy nie stosuje się powyższych zasad (np. usługi z art. 11 ust. 5 ustawy) lub można odstąpić od powyższych zasad (np. możliwość wykonania zamówienia tylko przez jednego wykonawcę). </w:t>
      </w:r>
    </w:p>
    <w:p w:rsidR="000236D7" w:rsidRDefault="008C23C1">
      <w:pPr>
        <w:spacing w:after="0" w:line="240" w:lineRule="auto"/>
        <w:jc w:val="both"/>
      </w:pPr>
      <w:r>
        <w:rPr>
          <w:rFonts w:ascii="Times New Roman" w:eastAsia="Times New Roman" w:hAnsi="Times New Roman" w:cs="Times New Roman"/>
          <w:i/>
          <w:sz w:val="18"/>
          <w:szCs w:val="18"/>
          <w:lang w:eastAsia="pl-PL"/>
        </w:rPr>
        <w:lastRenderedPageBreak/>
        <w:t xml:space="preserve">** </w:t>
      </w:r>
      <w:r>
        <w:rPr>
          <w:rFonts w:ascii="Times New Roman" w:eastAsia="Times New Roman" w:hAnsi="Times New Roman" w:cs="Times New Roman"/>
          <w:b/>
          <w:i/>
          <w:sz w:val="18"/>
          <w:szCs w:val="18"/>
          <w:lang w:eastAsia="pl-PL"/>
        </w:rPr>
        <w:t>Najczęściej dotyczy to tzw. projektów miękkich finansowych z Europejskiego Funduszu Społecznego, dla których najczęściej przewidziana jest już procedura rozeznania rynku dla zamówień o wartości od 5000 zł netto do 20 000 zł netto</w:t>
      </w:r>
      <w:r>
        <w:rPr>
          <w:rFonts w:ascii="Times New Roman" w:eastAsia="Times New Roman" w:hAnsi="Times New Roman" w:cs="Times New Roman"/>
          <w:i/>
          <w:sz w:val="18"/>
          <w:szCs w:val="18"/>
          <w:lang w:eastAsia="pl-PL"/>
        </w:rPr>
        <w:t>.</w:t>
      </w:r>
      <w:r>
        <w:rPr>
          <w:rFonts w:ascii="Times New Roman" w:eastAsia="Times New Roman" w:hAnsi="Times New Roman" w:cs="Times New Roman"/>
          <w:sz w:val="18"/>
          <w:szCs w:val="18"/>
          <w:lang w:eastAsia="pl-PL"/>
        </w:rPr>
        <w:t xml:space="preserve"> </w:t>
      </w:r>
    </w:p>
    <w:p w:rsidR="000236D7" w:rsidRDefault="000236D7">
      <w:pPr>
        <w:spacing w:after="0" w:line="240" w:lineRule="auto"/>
        <w:jc w:val="both"/>
        <w:rPr>
          <w:rFonts w:ascii="Times New Roman" w:eastAsia="Times New Roman" w:hAnsi="Times New Roman" w:cs="Times New Roman"/>
          <w:i/>
          <w:sz w:val="18"/>
          <w:szCs w:val="18"/>
          <w:lang w:eastAsia="pl-PL"/>
        </w:rPr>
      </w:pPr>
    </w:p>
    <w:p w:rsidR="000236D7" w:rsidRDefault="008C23C1">
      <w:pPr>
        <w:spacing w:line="312" w:lineRule="auto"/>
        <w:jc w:val="both"/>
      </w:pPr>
      <w:r>
        <w:rPr>
          <w:rFonts w:ascii="Times New Roman" w:eastAsia="Times New Roman" w:hAnsi="Times New Roman" w:cs="Times New Roman"/>
          <w:sz w:val="24"/>
          <w:szCs w:val="24"/>
          <w:lang w:eastAsia="pl-PL"/>
        </w:rPr>
        <w:t xml:space="preserve">Ponadto </w:t>
      </w:r>
      <w:r>
        <w:rPr>
          <w:rFonts w:ascii="Times New Roman" w:eastAsia="Times New Roman" w:hAnsi="Times New Roman" w:cs="Times New Roman"/>
          <w:sz w:val="24"/>
          <w:szCs w:val="24"/>
        </w:rPr>
        <w:t xml:space="preserve">Instytucja Zarządzająca danym programem operacyjnym (w wytycznych programowych) lub właściwa instytucja będąca stroną umowy (w umowie o dofinansowanie) określają rodzaj zamówień, w ramach których zobowiązują beneficjenta do zastosowania klauzul społecznych, w szczególności kryteriów promujących oferty podmiotów ekonomii społecznej oraz kryteriów dotyczących zatrudnienia osób z niepełnosprawnościami, bezrobotnych lub osób, o których mowa w przepisach o zatrudnieniu socjalnym. </w:t>
      </w:r>
    </w:p>
    <w:p w:rsidR="000236D7" w:rsidRDefault="000236D7">
      <w:pPr>
        <w:spacing w:after="0" w:line="312" w:lineRule="auto"/>
        <w:jc w:val="both"/>
        <w:rPr>
          <w:rFonts w:ascii="Times New Roman" w:eastAsia="Times New Roman" w:hAnsi="Times New Roman" w:cs="Times New Roman"/>
          <w:sz w:val="24"/>
          <w:szCs w:val="24"/>
          <w:lang w:eastAsia="pl-PL"/>
        </w:rPr>
      </w:pPr>
    </w:p>
    <w:p w:rsidR="000236D7" w:rsidRDefault="008C23C1">
      <w:pPr>
        <w:spacing w:after="0" w:line="312" w:lineRule="auto"/>
        <w:jc w:val="center"/>
      </w:pPr>
      <w:r>
        <w:rPr>
          <w:rFonts w:ascii="Times New Roman" w:eastAsia="Times New Roman" w:hAnsi="Times New Roman" w:cs="Times New Roman"/>
          <w:b/>
          <w:smallCaps/>
          <w:sz w:val="24"/>
          <w:szCs w:val="24"/>
          <w:lang w:eastAsia="pl-PL"/>
        </w:rPr>
        <w:t>Zamówienia ≥ 20 000 zł netto ≤ 50 000 zł netto – rozeznanie rynku</w:t>
      </w:r>
    </w:p>
    <w:p w:rsidR="000236D7" w:rsidRDefault="000236D7">
      <w:pPr>
        <w:spacing w:after="0" w:line="312" w:lineRule="auto"/>
        <w:jc w:val="both"/>
        <w:rPr>
          <w:rFonts w:ascii="Times New Roman" w:eastAsia="Times New Roman" w:hAnsi="Times New Roman" w:cs="Times New Roman"/>
          <w:b/>
          <w:smallCaps/>
          <w:sz w:val="24"/>
          <w:szCs w:val="24"/>
          <w:lang w:eastAsia="pl-PL"/>
        </w:rPr>
      </w:pPr>
    </w:p>
    <w:p w:rsidR="000236D7" w:rsidRDefault="008C23C1">
      <w:pPr>
        <w:spacing w:after="0" w:line="312" w:lineRule="auto"/>
        <w:jc w:val="both"/>
      </w:pPr>
      <w:r>
        <w:rPr>
          <w:rFonts w:ascii="Times New Roman" w:eastAsia="Times New Roman" w:hAnsi="Times New Roman" w:cs="Times New Roman"/>
          <w:sz w:val="24"/>
          <w:szCs w:val="24"/>
          <w:lang w:eastAsia="pl-PL"/>
        </w:rPr>
        <w:t>Rozeznanie rynku następuje poprzez przeprowadzenie i udokumentowanie dokonanej analizy cen/cenników potencjalnych wykonawców zamówienia – wraz z analizowanymi cennikami. Cenniki można pozyskać ze stron internetowych wykonawców lub poprzez upublicznienie opisu przedmiotu zamówienia wraz z zapytaniem o cenę na stronie internetowej beneficjenta lub skierowanie zapytań o cenę wraz z opisem przedmiotu zamówienia do potencjalnych wykonawców itd.</w:t>
      </w:r>
    </w:p>
    <w:p w:rsidR="000236D7" w:rsidRDefault="000236D7">
      <w:pPr>
        <w:spacing w:after="0" w:line="312" w:lineRule="auto"/>
        <w:jc w:val="both"/>
        <w:rPr>
          <w:rFonts w:ascii="Times New Roman" w:eastAsia="Times New Roman" w:hAnsi="Times New Roman" w:cs="Times New Roman"/>
          <w:sz w:val="8"/>
          <w:szCs w:val="8"/>
          <w:lang w:eastAsia="pl-PL"/>
        </w:rPr>
      </w:pPr>
    </w:p>
    <w:p w:rsidR="000236D7" w:rsidRDefault="008C23C1">
      <w:pPr>
        <w:spacing w:after="0" w:line="312" w:lineRule="auto"/>
        <w:jc w:val="both"/>
      </w:pPr>
      <w:r>
        <w:rPr>
          <w:rFonts w:ascii="Times New Roman" w:eastAsia="Times New Roman" w:hAnsi="Times New Roman" w:cs="Times New Roman"/>
          <w:sz w:val="24"/>
          <w:szCs w:val="24"/>
          <w:lang w:eastAsia="pl-PL"/>
        </w:rPr>
        <w:t xml:space="preserve">Jeśli Instytucja Zarządzająca danym programem operacyjnym z funduszu europejskiego określi wymagania dotyczące standardu oraz cen rynkowych najczęściej finansowanych towarów i usług w ramach danego programu operacyjnego nie przeprowadza się rozeznania rynku. Finansowanie nie może przekroczyć maksymalnych kwot wskazanych w ww. wymaganiach. </w:t>
      </w:r>
    </w:p>
    <w:p w:rsidR="000236D7" w:rsidRDefault="000236D7">
      <w:pPr>
        <w:spacing w:after="0" w:line="312" w:lineRule="auto"/>
        <w:jc w:val="both"/>
        <w:rPr>
          <w:rFonts w:ascii="Times New Roman" w:eastAsia="Times New Roman" w:hAnsi="Times New Roman" w:cs="Times New Roman"/>
          <w:sz w:val="8"/>
          <w:szCs w:val="8"/>
          <w:lang w:eastAsia="pl-PL"/>
        </w:rPr>
      </w:pPr>
    </w:p>
    <w:p w:rsidR="000236D7" w:rsidRDefault="008C23C1">
      <w:pPr>
        <w:pStyle w:val="Akapitzlist"/>
        <w:spacing w:line="312" w:lineRule="auto"/>
        <w:ind w:left="0"/>
        <w:jc w:val="both"/>
      </w:pPr>
      <w:r>
        <w:rPr>
          <w:rFonts w:ascii="Times New Roman" w:eastAsia="Times New Roman" w:hAnsi="Times New Roman" w:cs="Times New Roman"/>
          <w:sz w:val="24"/>
          <w:szCs w:val="24"/>
          <w:lang w:eastAsia="pl-PL"/>
        </w:rPr>
        <w:t>Nie jest konieczne zawarcie pisemnej umowy, wystarczające jest udokumentowanie poniesienia wydatku fakturą, rachunkiem lub innym dokumentem księgowym o równoważnej wartości dowodowej.</w:t>
      </w:r>
    </w:p>
    <w:p w:rsidR="000236D7" w:rsidRDefault="008C23C1">
      <w:pPr>
        <w:pStyle w:val="Akapitzlist"/>
        <w:spacing w:after="0" w:line="312" w:lineRule="auto"/>
        <w:ind w:left="0"/>
        <w:jc w:val="center"/>
      </w:pPr>
      <w:r>
        <w:rPr>
          <w:rFonts w:ascii="Times New Roman" w:eastAsia="Times New Roman" w:hAnsi="Times New Roman" w:cs="Times New Roman"/>
          <w:b/>
          <w:smallCaps/>
          <w:sz w:val="24"/>
          <w:szCs w:val="24"/>
          <w:lang w:eastAsia="pl-PL"/>
        </w:rPr>
        <w:t xml:space="preserve">Zamówienia </w:t>
      </w:r>
      <w:r>
        <w:rPr>
          <w:rFonts w:ascii="Times New Roman" w:eastAsia="Times New Roman" w:hAnsi="Times New Roman" w:cs="Times New Roman"/>
          <w:b/>
          <w:smallCaps/>
          <w:color w:val="000000"/>
          <w:sz w:val="24"/>
          <w:szCs w:val="24"/>
          <w:lang w:eastAsia="pl-PL"/>
        </w:rPr>
        <w:t>&gt;</w:t>
      </w:r>
      <w:r>
        <w:rPr>
          <w:rFonts w:ascii="Times New Roman" w:eastAsia="Times New Roman" w:hAnsi="Times New Roman" w:cs="Times New Roman"/>
          <w:b/>
          <w:smallCaps/>
          <w:sz w:val="24"/>
          <w:szCs w:val="24"/>
          <w:lang w:eastAsia="pl-PL"/>
        </w:rPr>
        <w:t xml:space="preserve"> 50 000 zł netto ˂ 130 000 zł netto – zasada konkurencyjności</w:t>
      </w:r>
    </w:p>
    <w:p w:rsidR="000236D7" w:rsidRDefault="000236D7">
      <w:pPr>
        <w:pStyle w:val="Akapitzlist"/>
        <w:spacing w:after="0" w:line="312" w:lineRule="auto"/>
        <w:ind w:left="0"/>
        <w:jc w:val="both"/>
        <w:rPr>
          <w:rFonts w:ascii="Times New Roman" w:eastAsia="Times New Roman" w:hAnsi="Times New Roman" w:cs="Times New Roman"/>
          <w:b/>
          <w:smallCaps/>
          <w:sz w:val="24"/>
          <w:szCs w:val="24"/>
          <w:lang w:eastAsia="pl-PL"/>
        </w:rPr>
      </w:pPr>
    </w:p>
    <w:p w:rsidR="000236D7" w:rsidRDefault="008C23C1">
      <w:pPr>
        <w:pStyle w:val="Akapitzlist"/>
        <w:spacing w:after="0" w:line="312" w:lineRule="auto"/>
        <w:ind w:left="0"/>
        <w:jc w:val="both"/>
      </w:pPr>
      <w:r>
        <w:rPr>
          <w:rFonts w:ascii="Times New Roman" w:eastAsia="Times New Roman" w:hAnsi="Times New Roman" w:cs="Times New Roman"/>
          <w:b/>
          <w:sz w:val="24"/>
          <w:szCs w:val="24"/>
          <w:lang w:eastAsia="pl-PL"/>
        </w:rPr>
        <w:t>Obowiązkowe jest:</w:t>
      </w:r>
    </w:p>
    <w:p w:rsidR="000236D7" w:rsidRDefault="008C23C1">
      <w:pPr>
        <w:numPr>
          <w:ilvl w:val="0"/>
          <w:numId w:val="8"/>
        </w:numPr>
        <w:spacing w:line="312" w:lineRule="auto"/>
        <w:ind w:left="284" w:hanging="284"/>
        <w:jc w:val="both"/>
      </w:pPr>
      <w:r>
        <w:rPr>
          <w:rFonts w:ascii="Times New Roman" w:hAnsi="Times New Roman" w:cs="Times New Roman"/>
          <w:b/>
          <w:sz w:val="24"/>
          <w:szCs w:val="24"/>
          <w:lang w:eastAsia="pl-PL"/>
        </w:rPr>
        <w:t>Upublicznienie zapytania ofertowego w Bazie konkurencyjności Funduszy Europejskich</w:t>
      </w:r>
      <w:r>
        <w:rPr>
          <w:rFonts w:ascii="Times New Roman" w:hAnsi="Times New Roman" w:cs="Times New Roman"/>
          <w:sz w:val="24"/>
          <w:szCs w:val="24"/>
          <w:lang w:eastAsia="pl-PL"/>
        </w:rPr>
        <w:t xml:space="preserve">  (</w:t>
      </w:r>
      <w:hyperlink r:id="rId7" w:history="1">
        <w:r>
          <w:rPr>
            <w:rStyle w:val="Hipercze"/>
            <w:rFonts w:ascii="Times New Roman" w:eastAsia="Times New Roman" w:hAnsi="Times New Roman" w:cs="Times New Roman"/>
            <w:sz w:val="24"/>
            <w:szCs w:val="24"/>
            <w:lang w:eastAsia="pl-PL"/>
          </w:rPr>
          <w:t>https://bazakonkurencyjnosci.funduszeeuropejskie.gov.pl/</w:t>
        </w:r>
      </w:hyperlink>
      <w:r>
        <w:rPr>
          <w:rFonts w:ascii="Times New Roman" w:hAnsi="Times New Roman" w:cs="Times New Roman"/>
          <w:sz w:val="24"/>
          <w:szCs w:val="24"/>
          <w:lang w:eastAsia="pl-PL"/>
        </w:rPr>
        <w:t xml:space="preserve">), co jest równoznaczne z wszczęciem postępowania o udzielenie zamówienia w ramach projektu. </w:t>
      </w:r>
    </w:p>
    <w:p w:rsidR="000236D7" w:rsidRDefault="008C23C1">
      <w:pPr>
        <w:spacing w:line="312" w:lineRule="auto"/>
        <w:ind w:left="680" w:hanging="340"/>
        <w:jc w:val="both"/>
      </w:pPr>
      <w:r>
        <w:rPr>
          <w:rFonts w:ascii="Times New Roman" w:hAnsi="Times New Roman" w:cs="Times New Roman"/>
          <w:b/>
          <w:sz w:val="24"/>
          <w:szCs w:val="24"/>
          <w:lang w:eastAsia="pl-PL"/>
        </w:rPr>
        <w:t>Uwaga:</w:t>
      </w:r>
    </w:p>
    <w:p w:rsidR="000236D7" w:rsidRDefault="008C23C1">
      <w:pPr>
        <w:numPr>
          <w:ilvl w:val="0"/>
          <w:numId w:val="1"/>
        </w:numPr>
        <w:tabs>
          <w:tab w:val="left" w:pos="284"/>
        </w:tabs>
        <w:spacing w:after="0" w:line="360" w:lineRule="auto"/>
        <w:ind w:left="680" w:hanging="340"/>
        <w:jc w:val="both"/>
      </w:pPr>
      <w:r>
        <w:rPr>
          <w:rFonts w:ascii="Times New Roman" w:hAnsi="Times New Roman" w:cs="Times New Roman"/>
          <w:iCs/>
          <w:sz w:val="24"/>
          <w:szCs w:val="24"/>
        </w:rPr>
        <w:t xml:space="preserve">W przypadku zawieszenia działalności ww. bazy, potwierdzonego odpowiednim komunikatem ministra właściwego do spraw rozwoju regionalnego, upublicznienie zapytania ofertowego polega na skierowaniu zapytania ofertowego do co najmniej 3 potencjalnych wykonawców (o ile na rynku istnieje 3 potencjalnych wykonawców </w:t>
      </w:r>
      <w:r>
        <w:rPr>
          <w:rFonts w:ascii="Times New Roman" w:hAnsi="Times New Roman" w:cs="Times New Roman"/>
          <w:iCs/>
          <w:sz w:val="24"/>
          <w:szCs w:val="24"/>
        </w:rPr>
        <w:lastRenderedPageBreak/>
        <w:t>danego zamówienia) oraz upublicznieniu zapytania co najmniej na stronie internetowej beneficjenta (o ile ma taką stronę),</w:t>
      </w:r>
    </w:p>
    <w:p w:rsidR="000236D7" w:rsidRDefault="008C23C1">
      <w:pPr>
        <w:numPr>
          <w:ilvl w:val="0"/>
          <w:numId w:val="1"/>
        </w:numPr>
        <w:tabs>
          <w:tab w:val="left" w:pos="284"/>
        </w:tabs>
        <w:spacing w:after="0" w:line="360" w:lineRule="auto"/>
        <w:ind w:left="680" w:hanging="340"/>
        <w:jc w:val="both"/>
      </w:pPr>
      <w:r>
        <w:rPr>
          <w:rFonts w:ascii="Times New Roman" w:hAnsi="Times New Roman" w:cs="Times New Roman"/>
          <w:iCs/>
          <w:sz w:val="24"/>
          <w:szCs w:val="24"/>
        </w:rPr>
        <w:t>W przypadku gdy rozpoczyna się realizację projektu na własne ryzyko przed podpisaniem umowy o dofinansowanie, w celu upublicznienia zapytania ofertowego należy upublicznić zapytanie ofertowe na stronie internetowej wskazanej przez instytucję ogłaszającą nabór do wniosków o dofinansowanie projektu.</w:t>
      </w:r>
      <w:r>
        <w:rPr>
          <w:rFonts w:ascii="Times New Roman" w:hAnsi="Times New Roman" w:cs="Times New Roman"/>
          <w:i/>
          <w:sz w:val="24"/>
          <w:szCs w:val="24"/>
        </w:rPr>
        <w:t xml:space="preserve"> </w:t>
      </w:r>
    </w:p>
    <w:p w:rsidR="000236D7" w:rsidRDefault="008C23C1">
      <w:pPr>
        <w:numPr>
          <w:ilvl w:val="0"/>
          <w:numId w:val="8"/>
        </w:numPr>
        <w:spacing w:line="312" w:lineRule="auto"/>
        <w:ind w:left="284" w:hanging="284"/>
        <w:jc w:val="both"/>
      </w:pPr>
      <w:r>
        <w:rPr>
          <w:rFonts w:ascii="Times New Roman" w:hAnsi="Times New Roman" w:cs="Times New Roman"/>
          <w:b/>
          <w:sz w:val="24"/>
          <w:szCs w:val="24"/>
          <w:lang w:eastAsia="pl-PL"/>
        </w:rPr>
        <w:t>Dokonanie wyboru oferty najkorzystniejszej</w:t>
      </w:r>
      <w:r>
        <w:rPr>
          <w:rFonts w:ascii="Times New Roman" w:hAnsi="Times New Roman" w:cs="Times New Roman"/>
          <w:sz w:val="24"/>
          <w:szCs w:val="24"/>
          <w:lang w:eastAsia="pl-PL"/>
        </w:rPr>
        <w:t xml:space="preserve"> (spośród </w:t>
      </w:r>
      <w:r>
        <w:rPr>
          <w:rFonts w:ascii="Times New Roman" w:hAnsi="Times New Roman" w:cs="Times New Roman"/>
          <w:sz w:val="24"/>
          <w:szCs w:val="24"/>
        </w:rPr>
        <w:t xml:space="preserve">spełniających warunki udziału w postępowaniu o udzielenie zamówienia publicznego) na podstawie ustalonych </w:t>
      </w:r>
      <w:r>
        <w:rPr>
          <w:rFonts w:ascii="Times New Roman" w:hAnsi="Times New Roman" w:cs="Times New Roman"/>
          <w:sz w:val="24"/>
          <w:szCs w:val="24"/>
        </w:rPr>
        <w:br/>
        <w:t xml:space="preserve">w zapytaniu ofertowym kryteriów oceny. </w:t>
      </w:r>
    </w:p>
    <w:p w:rsidR="000236D7" w:rsidRDefault="000236D7">
      <w:pPr>
        <w:spacing w:line="312" w:lineRule="auto"/>
        <w:ind w:left="284"/>
        <w:jc w:val="both"/>
        <w:rPr>
          <w:rFonts w:ascii="Times New Roman" w:hAnsi="Times New Roman" w:cs="Times New Roman"/>
          <w:sz w:val="24"/>
          <w:szCs w:val="24"/>
        </w:rPr>
      </w:pPr>
    </w:p>
    <w:p w:rsidR="000236D7" w:rsidRDefault="008C23C1">
      <w:pPr>
        <w:spacing w:line="312" w:lineRule="auto"/>
        <w:jc w:val="both"/>
      </w:pPr>
      <w:r>
        <w:rPr>
          <w:rFonts w:ascii="Times New Roman" w:hAnsi="Times New Roman" w:cs="Times New Roman"/>
          <w:sz w:val="24"/>
          <w:szCs w:val="24"/>
          <w:u w:val="single"/>
          <w:lang w:eastAsia="pl-PL"/>
        </w:rPr>
        <w:t xml:space="preserve">Zapytanie ofertowe musi zawierać co najmniej następujące elementy: </w:t>
      </w:r>
    </w:p>
    <w:p w:rsidR="000236D7" w:rsidRDefault="008C23C1">
      <w:pPr>
        <w:numPr>
          <w:ilvl w:val="0"/>
          <w:numId w:val="7"/>
        </w:numPr>
        <w:spacing w:after="0" w:line="312" w:lineRule="auto"/>
        <w:ind w:left="340" w:hanging="340"/>
        <w:jc w:val="both"/>
      </w:pPr>
      <w:r>
        <w:rPr>
          <w:rFonts w:ascii="Times New Roman" w:hAnsi="Times New Roman" w:cs="Times New Roman"/>
          <w:b/>
          <w:sz w:val="24"/>
          <w:szCs w:val="24"/>
        </w:rPr>
        <w:t>opis przedmiotu zamówienia publicznego</w:t>
      </w:r>
      <w:r>
        <w:rPr>
          <w:rFonts w:ascii="Times New Roman" w:hAnsi="Times New Roman" w:cs="Times New Roman"/>
          <w:sz w:val="24"/>
          <w:szCs w:val="24"/>
        </w:rPr>
        <w:t>, przy czym:</w:t>
      </w:r>
    </w:p>
    <w:p w:rsidR="000236D7" w:rsidRDefault="008C23C1">
      <w:pPr>
        <w:numPr>
          <w:ilvl w:val="0"/>
          <w:numId w:val="12"/>
        </w:numPr>
        <w:spacing w:before="120" w:after="0" w:line="360" w:lineRule="auto"/>
        <w:ind w:left="680" w:hanging="340"/>
        <w:jc w:val="both"/>
      </w:pPr>
      <w:r>
        <w:rPr>
          <w:rFonts w:ascii="Times New Roman" w:hAnsi="Times New Roman" w:cs="Times New Roman"/>
          <w:iCs/>
          <w:sz w:val="24"/>
          <w:szCs w:val="24"/>
        </w:rPr>
        <w:t xml:space="preserve">opis powinien być jednoznaczny i wyczerpujący oraz uwzględniać wszystkie wymagania i okoliczności mogące mieć wpływ na sporządzenie oferty przez wykonawcę; opis zamówienia nie może odnosić się do pochodzenia, źródła, znaków towarowych, patentów lub szczególnego procesu, </w:t>
      </w:r>
      <w:r>
        <w:rPr>
          <w:rFonts w:ascii="Times New Roman" w:eastAsia="Times New Roman" w:hAnsi="Times New Roman" w:cs="Times New Roman"/>
          <w:iCs/>
          <w:sz w:val="24"/>
          <w:szCs w:val="24"/>
          <w:lang w:eastAsia="pl-PL"/>
        </w:rPr>
        <w:t xml:space="preserve">który charakteryzuje produkty lub usługi dostarczane przez konkretnego wykonawcę, jednak w wyjątkowych przypadkach dopuszcza się stosowanie takich odniesień, jeżeli niemożliwe jest opisanie przedmiotu zamówienia w wystarczająco precyzyjny i zrozumiały sposób bez ich użycia, takim odniesieniom musi towarzyszyć </w:t>
      </w:r>
      <w:r>
        <w:rPr>
          <w:rFonts w:ascii="Times New Roman" w:hAnsi="Times New Roman" w:cs="Times New Roman"/>
          <w:iCs/>
          <w:sz w:val="24"/>
          <w:szCs w:val="24"/>
        </w:rPr>
        <w:t xml:space="preserve">określenie „lub równoważne”, </w:t>
      </w:r>
    </w:p>
    <w:p w:rsidR="000236D7" w:rsidRDefault="008C23C1">
      <w:pPr>
        <w:numPr>
          <w:ilvl w:val="0"/>
          <w:numId w:val="12"/>
        </w:numPr>
        <w:spacing w:before="120" w:after="0" w:line="360" w:lineRule="auto"/>
        <w:ind w:left="680" w:hanging="340"/>
        <w:jc w:val="both"/>
      </w:pPr>
      <w:r>
        <w:rPr>
          <w:rFonts w:ascii="Times New Roman" w:hAnsi="Times New Roman" w:cs="Times New Roman"/>
          <w:iCs/>
          <w:sz w:val="24"/>
          <w:szCs w:val="24"/>
        </w:rPr>
        <w:t xml:space="preserve">do opisu przedmiotu zamówienia stosuje się nazwy i kody określone we Wspólnym Słowniku Zamówień (CPV), </w:t>
      </w:r>
    </w:p>
    <w:p w:rsidR="000236D7" w:rsidRDefault="008C23C1">
      <w:pPr>
        <w:numPr>
          <w:ilvl w:val="0"/>
          <w:numId w:val="12"/>
        </w:numPr>
        <w:spacing w:before="120" w:after="120" w:line="312" w:lineRule="auto"/>
        <w:ind w:left="680" w:hanging="340"/>
        <w:jc w:val="both"/>
      </w:pPr>
      <w:r>
        <w:rPr>
          <w:rFonts w:ascii="Times New Roman" w:hAnsi="Times New Roman" w:cs="Times New Roman"/>
          <w:iCs/>
          <w:sz w:val="24"/>
          <w:szCs w:val="24"/>
        </w:rPr>
        <w:t xml:space="preserve">w przypadku konieczności ochrony tajemnicy przedsiębiorstwa dopuszcza się możliwość ograniczenia zakresu opisu przedmiotu zamówienia, przy czym wymagane jest udostępnienie uzupełnienia wyłączonego opisu przedmiotu zamówienia potencjalnemu wykonawcy, który zobowiązał się do zachowania poufności w odniesieniu do przedstawionych informacji i to w terminie pozwalającym mu na przygotowanie i złożenie oferty, </w:t>
      </w:r>
    </w:p>
    <w:p w:rsidR="000236D7" w:rsidRDefault="008C23C1">
      <w:pPr>
        <w:numPr>
          <w:ilvl w:val="0"/>
          <w:numId w:val="7"/>
        </w:numPr>
        <w:spacing w:line="312" w:lineRule="auto"/>
        <w:ind w:left="340" w:hanging="340"/>
        <w:jc w:val="both"/>
      </w:pPr>
      <w:r>
        <w:rPr>
          <w:rFonts w:ascii="Times New Roman" w:hAnsi="Times New Roman" w:cs="Times New Roman"/>
          <w:b/>
          <w:sz w:val="24"/>
          <w:szCs w:val="24"/>
        </w:rPr>
        <w:t>warunki udziału w postępowaniu oraz opis sposobu dokonywania oceny ich spełniania</w:t>
      </w:r>
      <w:r>
        <w:rPr>
          <w:rFonts w:ascii="Times New Roman" w:hAnsi="Times New Roman" w:cs="Times New Roman"/>
          <w:sz w:val="24"/>
          <w:szCs w:val="24"/>
        </w:rPr>
        <w:t>, przy czym:</w:t>
      </w:r>
    </w:p>
    <w:p w:rsidR="000236D7" w:rsidRDefault="008C23C1">
      <w:pPr>
        <w:numPr>
          <w:ilvl w:val="0"/>
          <w:numId w:val="13"/>
        </w:numPr>
        <w:spacing w:line="312" w:lineRule="auto"/>
        <w:ind w:left="680" w:hanging="340"/>
        <w:jc w:val="both"/>
      </w:pPr>
      <w:r>
        <w:rPr>
          <w:rFonts w:ascii="Times New Roman" w:hAnsi="Times New Roman" w:cs="Times New Roman"/>
          <w:iCs/>
          <w:sz w:val="24"/>
          <w:szCs w:val="24"/>
        </w:rPr>
        <w:t>stawianie warunków udziału nie jest obowiązkowe,</w:t>
      </w:r>
    </w:p>
    <w:p w:rsidR="000236D7" w:rsidRDefault="008C23C1">
      <w:pPr>
        <w:numPr>
          <w:ilvl w:val="0"/>
          <w:numId w:val="13"/>
        </w:numPr>
        <w:spacing w:line="312" w:lineRule="auto"/>
        <w:ind w:left="680" w:hanging="340"/>
        <w:jc w:val="both"/>
      </w:pPr>
      <w:r>
        <w:rPr>
          <w:rFonts w:ascii="Times New Roman" w:hAnsi="Times New Roman" w:cs="Times New Roman"/>
          <w:iCs/>
          <w:sz w:val="24"/>
          <w:szCs w:val="24"/>
        </w:rPr>
        <w:t>nie można formułować warunków przewyższających wymagania wystarczające do należytego wykonania zamówienia,</w:t>
      </w:r>
      <w:r>
        <w:rPr>
          <w:rFonts w:ascii="Times New Roman" w:hAnsi="Times New Roman" w:cs="Times New Roman"/>
          <w:i/>
          <w:sz w:val="24"/>
          <w:szCs w:val="24"/>
        </w:rPr>
        <w:t xml:space="preserve"> </w:t>
      </w:r>
    </w:p>
    <w:p w:rsidR="000236D7" w:rsidRDefault="008C23C1">
      <w:pPr>
        <w:numPr>
          <w:ilvl w:val="0"/>
          <w:numId w:val="7"/>
        </w:numPr>
        <w:spacing w:line="312" w:lineRule="auto"/>
        <w:ind w:left="340" w:hanging="340"/>
        <w:jc w:val="both"/>
      </w:pPr>
      <w:r>
        <w:rPr>
          <w:rFonts w:ascii="Times New Roman" w:hAnsi="Times New Roman" w:cs="Times New Roman"/>
          <w:b/>
          <w:sz w:val="24"/>
          <w:szCs w:val="24"/>
        </w:rPr>
        <w:lastRenderedPageBreak/>
        <w:t>kryteria oceny oferty</w:t>
      </w:r>
      <w:r>
        <w:rPr>
          <w:rFonts w:ascii="Times New Roman" w:hAnsi="Times New Roman" w:cs="Times New Roman"/>
          <w:sz w:val="24"/>
          <w:szCs w:val="24"/>
        </w:rPr>
        <w:t>, przy czym:</w:t>
      </w:r>
    </w:p>
    <w:p w:rsidR="000236D7" w:rsidRDefault="008C23C1">
      <w:pPr>
        <w:numPr>
          <w:ilvl w:val="0"/>
          <w:numId w:val="5"/>
        </w:numPr>
        <w:spacing w:line="312" w:lineRule="auto"/>
        <w:ind w:left="680" w:hanging="340"/>
        <w:jc w:val="both"/>
      </w:pPr>
      <w:r>
        <w:rPr>
          <w:rFonts w:ascii="Times New Roman" w:hAnsi="Times New Roman" w:cs="Times New Roman"/>
          <w:sz w:val="24"/>
          <w:szCs w:val="24"/>
        </w:rPr>
        <w:t>każde kryterium oceny ofert musi odnosić się do danego przedmiotu zamówienia,</w:t>
      </w:r>
    </w:p>
    <w:p w:rsidR="000236D7" w:rsidRDefault="008C23C1">
      <w:pPr>
        <w:numPr>
          <w:ilvl w:val="0"/>
          <w:numId w:val="5"/>
        </w:numPr>
        <w:spacing w:line="312" w:lineRule="auto"/>
        <w:ind w:left="680" w:hanging="340"/>
        <w:jc w:val="both"/>
      </w:pPr>
      <w:r>
        <w:rPr>
          <w:rFonts w:ascii="Times New Roman" w:hAnsi="Times New Roman" w:cs="Times New Roman"/>
          <w:sz w:val="24"/>
          <w:szCs w:val="24"/>
        </w:rPr>
        <w:t>każde kryterium (i opis jego stosowania) musi być sformułowane jednoznacznie i precyzyjnie, tak żeby każdy poprawnie poinformowany wykonawca, który dołoży należytej staranności, mógł interpretować je w jednakowy sposób,</w:t>
      </w:r>
    </w:p>
    <w:p w:rsidR="000236D7" w:rsidRDefault="008C23C1">
      <w:pPr>
        <w:numPr>
          <w:ilvl w:val="0"/>
          <w:numId w:val="5"/>
        </w:numPr>
        <w:spacing w:line="312" w:lineRule="auto"/>
        <w:ind w:left="680" w:hanging="340"/>
        <w:jc w:val="both"/>
      </w:pPr>
      <w:r>
        <w:rPr>
          <w:rFonts w:ascii="Times New Roman" w:hAnsi="Times New Roman" w:cs="Times New Roman"/>
          <w:sz w:val="24"/>
          <w:szCs w:val="24"/>
        </w:rPr>
        <w:t>wagi (znaczenia) poszczególnych kryteriów powinny być określone w sposób umożliwiający wybór najkorzystniejszej oferty,</w:t>
      </w:r>
    </w:p>
    <w:p w:rsidR="000236D7" w:rsidRDefault="008C23C1">
      <w:pPr>
        <w:numPr>
          <w:ilvl w:val="0"/>
          <w:numId w:val="5"/>
        </w:numPr>
        <w:spacing w:line="312" w:lineRule="auto"/>
        <w:ind w:left="680" w:hanging="340"/>
        <w:jc w:val="both"/>
      </w:pPr>
      <w:r>
        <w:rPr>
          <w:rFonts w:ascii="Times New Roman" w:hAnsi="Times New Roman" w:cs="Times New Roman"/>
          <w:sz w:val="24"/>
          <w:szCs w:val="24"/>
          <w:u w:val="single"/>
        </w:rPr>
        <w:t>kryteria oceny ofert nie mogą dotyczyć właściwości wykonawcy, a w szczególności jego wiarygodności ekonomicznej, technicznej lub finansowej oraz doświadczenia</w:t>
      </w:r>
      <w:r>
        <w:rPr>
          <w:rFonts w:ascii="Times New Roman" w:hAnsi="Times New Roman" w:cs="Times New Roman"/>
          <w:sz w:val="24"/>
          <w:szCs w:val="24"/>
        </w:rPr>
        <w:t>, zakaz ten nie dotyczy jednak zamówień na usługi społeczne i innych szczególnych usług</w:t>
      </w:r>
      <w:r>
        <w:rPr>
          <w:rStyle w:val="Znakiprzypiswdolnych"/>
          <w:rFonts w:ascii="Times New Roman" w:hAnsi="Times New Roman" w:cs="Times New Roman"/>
          <w:sz w:val="24"/>
          <w:szCs w:val="24"/>
        </w:rPr>
        <w:footnoteReference w:id="1"/>
      </w:r>
      <w:r>
        <w:rPr>
          <w:rFonts w:ascii="Times New Roman" w:hAnsi="Times New Roman" w:cs="Times New Roman"/>
          <w:sz w:val="24"/>
          <w:szCs w:val="24"/>
        </w:rPr>
        <w:t>,</w:t>
      </w:r>
    </w:p>
    <w:p w:rsidR="000236D7" w:rsidRDefault="008C23C1">
      <w:pPr>
        <w:numPr>
          <w:ilvl w:val="0"/>
          <w:numId w:val="5"/>
        </w:numPr>
        <w:spacing w:line="312" w:lineRule="auto"/>
        <w:ind w:left="680" w:hanging="340"/>
        <w:jc w:val="both"/>
      </w:pPr>
      <w:r>
        <w:rPr>
          <w:rFonts w:ascii="Times New Roman" w:hAnsi="Times New Roman" w:cs="Times New Roman"/>
          <w:sz w:val="24"/>
          <w:szCs w:val="24"/>
          <w:u w:val="single"/>
        </w:rPr>
        <w:t>cena może być jedynym kryterium oceny ofert</w:t>
      </w:r>
      <w:r>
        <w:rPr>
          <w:rFonts w:ascii="Times New Roman" w:hAnsi="Times New Roman" w:cs="Times New Roman"/>
          <w:sz w:val="24"/>
          <w:szCs w:val="24"/>
        </w:rPr>
        <w:t xml:space="preserve">; poza wymaganiami dotyczącymi ceny wskazane jest stosowanie jako kryterium oceny ofert innych wymagań odnoszących się do przedmiotu zamówienia, np. jakość, funkcjonalność, parametry techniczne itd., </w:t>
      </w:r>
    </w:p>
    <w:p w:rsidR="000236D7" w:rsidRDefault="008C23C1">
      <w:pPr>
        <w:numPr>
          <w:ilvl w:val="0"/>
          <w:numId w:val="7"/>
        </w:numPr>
        <w:spacing w:line="312" w:lineRule="auto"/>
        <w:ind w:left="340" w:hanging="340"/>
        <w:jc w:val="both"/>
      </w:pPr>
      <w:r>
        <w:rPr>
          <w:rFonts w:ascii="Times New Roman" w:hAnsi="Times New Roman" w:cs="Times New Roman"/>
          <w:sz w:val="24"/>
          <w:szCs w:val="24"/>
        </w:rPr>
        <w:t>informację o wagach punktowych lub procentowych przypisanych do poszczególnych kryteriów oceny oferty,</w:t>
      </w:r>
    </w:p>
    <w:p w:rsidR="000236D7" w:rsidRDefault="008C23C1">
      <w:pPr>
        <w:numPr>
          <w:ilvl w:val="0"/>
          <w:numId w:val="7"/>
        </w:numPr>
        <w:spacing w:line="312" w:lineRule="auto"/>
        <w:ind w:left="340" w:hanging="340"/>
        <w:jc w:val="both"/>
      </w:pPr>
      <w:r>
        <w:rPr>
          <w:rFonts w:ascii="Times New Roman" w:hAnsi="Times New Roman" w:cs="Times New Roman"/>
          <w:sz w:val="24"/>
          <w:szCs w:val="24"/>
        </w:rPr>
        <w:t>opis sposobu przyznawania punktacji za spełnienie danego kryterium oceny oferty,</w:t>
      </w:r>
    </w:p>
    <w:p w:rsidR="000236D7" w:rsidRDefault="008C23C1">
      <w:pPr>
        <w:numPr>
          <w:ilvl w:val="0"/>
          <w:numId w:val="7"/>
        </w:numPr>
        <w:spacing w:line="312" w:lineRule="auto"/>
        <w:ind w:left="340" w:hanging="340"/>
        <w:jc w:val="both"/>
      </w:pPr>
      <w:r>
        <w:rPr>
          <w:rFonts w:ascii="Times New Roman" w:hAnsi="Times New Roman" w:cs="Times New Roman"/>
          <w:sz w:val="24"/>
          <w:szCs w:val="24"/>
        </w:rPr>
        <w:t>termin składania ofert, przy czym:</w:t>
      </w:r>
    </w:p>
    <w:p w:rsidR="000236D7" w:rsidRDefault="008C23C1">
      <w:pPr>
        <w:numPr>
          <w:ilvl w:val="0"/>
          <w:numId w:val="11"/>
        </w:numPr>
        <w:spacing w:line="312" w:lineRule="auto"/>
        <w:ind w:left="680" w:hanging="340"/>
        <w:jc w:val="both"/>
      </w:pPr>
      <w:r>
        <w:rPr>
          <w:rFonts w:ascii="Times New Roman" w:hAnsi="Times New Roman" w:cs="Times New Roman"/>
          <w:iCs/>
          <w:sz w:val="24"/>
          <w:szCs w:val="24"/>
        </w:rPr>
        <w:t xml:space="preserve">termin na złożenie oferty wynosi nie mniej niż 7 dni kalendarzowych w przypadku dostaw i usług, a 14 dni kalendarzowych w przypadku robót budowlanych; termin 7 lub 14 dni kalendarzowych biegnie od dnia następnego po dniu upublicznienia zapytania ofertowego i kończy się z upływem ostatniego dnia (jeśli ostatni dzień przypada w sobotę lub jest dniem ustawowo wolnym od pracy, termin upływa dnia następnego po dniu lub dniach wolnych od pracy), </w:t>
      </w:r>
    </w:p>
    <w:p w:rsidR="000236D7" w:rsidRDefault="008C23C1">
      <w:pPr>
        <w:numPr>
          <w:ilvl w:val="0"/>
          <w:numId w:val="11"/>
        </w:numPr>
        <w:spacing w:line="312" w:lineRule="auto"/>
        <w:ind w:left="680" w:hanging="340"/>
        <w:jc w:val="both"/>
      </w:pPr>
      <w:r>
        <w:rPr>
          <w:rFonts w:ascii="Times New Roman" w:hAnsi="Times New Roman" w:cs="Times New Roman"/>
          <w:iCs/>
          <w:sz w:val="24"/>
          <w:szCs w:val="24"/>
        </w:rPr>
        <w:t xml:space="preserve">w przypadku wprowadzenia zmian do zapytania ofertowego konieczne jest przedłużenie terminu składania ofert o czas niezbędny na zmianę ofert, </w:t>
      </w:r>
    </w:p>
    <w:p w:rsidR="000236D7" w:rsidRDefault="008C23C1">
      <w:pPr>
        <w:numPr>
          <w:ilvl w:val="0"/>
          <w:numId w:val="7"/>
        </w:numPr>
        <w:spacing w:line="312" w:lineRule="auto"/>
        <w:ind w:left="340" w:hanging="340"/>
        <w:jc w:val="both"/>
      </w:pPr>
      <w:r>
        <w:rPr>
          <w:rFonts w:ascii="Times New Roman" w:hAnsi="Times New Roman" w:cs="Times New Roman"/>
          <w:sz w:val="24"/>
          <w:szCs w:val="24"/>
        </w:rPr>
        <w:t xml:space="preserve">termin realizacji umowy, </w:t>
      </w:r>
    </w:p>
    <w:p w:rsidR="000236D7" w:rsidRDefault="008C23C1">
      <w:pPr>
        <w:numPr>
          <w:ilvl w:val="0"/>
          <w:numId w:val="7"/>
        </w:numPr>
        <w:spacing w:line="312" w:lineRule="auto"/>
        <w:ind w:left="340" w:hanging="340"/>
        <w:jc w:val="both"/>
      </w:pPr>
      <w:r>
        <w:rPr>
          <w:rFonts w:ascii="Times New Roman" w:hAnsi="Times New Roman" w:cs="Times New Roman"/>
          <w:sz w:val="24"/>
          <w:szCs w:val="24"/>
        </w:rPr>
        <w:t>określenie warunków istotnych zmian umowy zawartej w wyniku przeprowadzonego postępowania o udzielenie zamówienia, o ile przewiduje się możliwość zmiany takiej umowy,</w:t>
      </w:r>
    </w:p>
    <w:p w:rsidR="000236D7" w:rsidRDefault="008C23C1">
      <w:pPr>
        <w:numPr>
          <w:ilvl w:val="0"/>
          <w:numId w:val="7"/>
        </w:numPr>
        <w:spacing w:line="312" w:lineRule="auto"/>
        <w:ind w:left="340" w:hanging="340"/>
        <w:jc w:val="both"/>
      </w:pPr>
      <w:r>
        <w:rPr>
          <w:rFonts w:ascii="Times New Roman" w:hAnsi="Times New Roman" w:cs="Times New Roman"/>
          <w:sz w:val="24"/>
          <w:szCs w:val="24"/>
        </w:rPr>
        <w:lastRenderedPageBreak/>
        <w:t xml:space="preserve">informację o możliwości składania ofert częściowych, </w:t>
      </w:r>
      <w:r>
        <w:rPr>
          <w:rFonts w:ascii="Times New Roman" w:hAnsi="Times New Roman" w:cs="Times New Roman"/>
          <w:iCs/>
          <w:sz w:val="24"/>
          <w:szCs w:val="24"/>
        </w:rPr>
        <w:t xml:space="preserve">o ile przewiduje się taką możliwość, </w:t>
      </w:r>
    </w:p>
    <w:p w:rsidR="000236D7" w:rsidRDefault="008C23C1">
      <w:pPr>
        <w:numPr>
          <w:ilvl w:val="0"/>
          <w:numId w:val="7"/>
        </w:numPr>
        <w:spacing w:line="312" w:lineRule="auto"/>
        <w:ind w:left="340" w:hanging="340"/>
        <w:jc w:val="both"/>
      </w:pPr>
      <w:r>
        <w:rPr>
          <w:rFonts w:ascii="Times New Roman" w:hAnsi="Times New Roman" w:cs="Times New Roman"/>
          <w:sz w:val="24"/>
          <w:szCs w:val="24"/>
          <w:lang w:eastAsia="pl-PL"/>
        </w:rPr>
        <w:t xml:space="preserve">opis sposobu przedstawiania ofert wariantowych oraz minimalne warunki, jakim muszą odpowiadać oferty wariantowe wraz z wybranymi kryteriami oceny, jeżeli wymaga lub dopuszcza się ich składanie, </w:t>
      </w:r>
    </w:p>
    <w:p w:rsidR="000236D7" w:rsidRDefault="008C23C1">
      <w:pPr>
        <w:numPr>
          <w:ilvl w:val="0"/>
          <w:numId w:val="7"/>
        </w:numPr>
        <w:spacing w:line="312" w:lineRule="auto"/>
        <w:ind w:left="340" w:hanging="340"/>
        <w:jc w:val="both"/>
      </w:pPr>
      <w:r>
        <w:rPr>
          <w:rFonts w:ascii="Times New Roman" w:hAnsi="Times New Roman" w:cs="Times New Roman"/>
          <w:sz w:val="24"/>
          <w:szCs w:val="24"/>
          <w:lang w:eastAsia="pl-PL"/>
        </w:rPr>
        <w:t xml:space="preserve">informację o planowanych zamówieniach na usługi lub roboty budowlane stanowiące powtórzenie podobnych usług lub robót w ciągu 3 lat od udzielenia zamówienia podstawowego (ich zakres oraz warunki udzielenia), </w:t>
      </w:r>
      <w:r>
        <w:rPr>
          <w:rFonts w:ascii="Times New Roman" w:hAnsi="Times New Roman" w:cs="Times New Roman"/>
          <w:iCs/>
          <w:sz w:val="24"/>
          <w:szCs w:val="24"/>
          <w:lang w:eastAsia="pl-PL"/>
        </w:rPr>
        <w:t>o ile przewiduje się udzielenie takich zamówień</w:t>
      </w:r>
      <w:r>
        <w:rPr>
          <w:rFonts w:ascii="Times New Roman" w:hAnsi="Times New Roman" w:cs="Times New Roman"/>
          <w:i/>
          <w:sz w:val="24"/>
          <w:szCs w:val="24"/>
          <w:lang w:eastAsia="pl-PL"/>
        </w:rPr>
        <w:t xml:space="preserve">. </w:t>
      </w:r>
    </w:p>
    <w:p w:rsidR="000236D7" w:rsidRDefault="008C23C1">
      <w:pPr>
        <w:spacing w:after="0" w:line="312" w:lineRule="auto"/>
        <w:jc w:val="both"/>
      </w:pPr>
      <w:r>
        <w:rPr>
          <w:rFonts w:ascii="Times New Roman" w:eastAsia="Times New Roman" w:hAnsi="Times New Roman" w:cs="Times New Roman"/>
          <w:b/>
          <w:sz w:val="24"/>
          <w:szCs w:val="24"/>
        </w:rPr>
        <w:t xml:space="preserve">Wybór oferty musi zostać udokumentowany protokołem postępowania o udzielenie zamówienia. </w:t>
      </w:r>
      <w:r>
        <w:rPr>
          <w:rFonts w:ascii="Times New Roman" w:eastAsia="Times New Roman" w:hAnsi="Times New Roman" w:cs="Times New Roman"/>
          <w:sz w:val="24"/>
          <w:szCs w:val="24"/>
        </w:rPr>
        <w:t>Protokół musi mieć formę pisemną.</w:t>
      </w:r>
      <w:r>
        <w:rPr>
          <w:rFonts w:ascii="Times New Roman" w:eastAsia="Times New Roman" w:hAnsi="Times New Roman" w:cs="Times New Roman"/>
          <w:b/>
          <w:sz w:val="24"/>
          <w:szCs w:val="24"/>
        </w:rPr>
        <w:t xml:space="preserve"> </w:t>
      </w:r>
    </w:p>
    <w:p w:rsidR="000236D7" w:rsidRDefault="000236D7">
      <w:pPr>
        <w:spacing w:after="0" w:line="312" w:lineRule="auto"/>
        <w:jc w:val="both"/>
        <w:rPr>
          <w:rFonts w:ascii="Times New Roman" w:eastAsia="Times New Roman" w:hAnsi="Times New Roman" w:cs="Times New Roman"/>
          <w:b/>
          <w:sz w:val="24"/>
          <w:szCs w:val="24"/>
        </w:rPr>
      </w:pPr>
    </w:p>
    <w:p w:rsidR="000236D7" w:rsidRDefault="008C23C1">
      <w:pPr>
        <w:tabs>
          <w:tab w:val="left" w:pos="284"/>
        </w:tabs>
        <w:spacing w:after="0" w:line="312" w:lineRule="auto"/>
        <w:ind w:left="284" w:hanging="284"/>
        <w:jc w:val="both"/>
      </w:pPr>
      <w:r>
        <w:rPr>
          <w:rFonts w:ascii="Times New Roman" w:eastAsia="Times New Roman" w:hAnsi="Times New Roman" w:cs="Times New Roman"/>
          <w:sz w:val="24"/>
          <w:szCs w:val="24"/>
          <w:u w:val="single"/>
        </w:rPr>
        <w:t>Protokół postępowania o udzielenie zamówienia publicznego zawiera co najmniej:</w:t>
      </w:r>
    </w:p>
    <w:p w:rsidR="000236D7" w:rsidRDefault="000236D7">
      <w:pPr>
        <w:tabs>
          <w:tab w:val="left" w:pos="284"/>
        </w:tabs>
        <w:spacing w:after="0" w:line="312" w:lineRule="auto"/>
        <w:ind w:left="284" w:hanging="284"/>
        <w:jc w:val="both"/>
        <w:rPr>
          <w:rFonts w:ascii="Times New Roman" w:eastAsia="Times New Roman" w:hAnsi="Times New Roman" w:cs="Times New Roman"/>
          <w:sz w:val="24"/>
          <w:szCs w:val="24"/>
          <w:u w:val="single"/>
        </w:rPr>
      </w:pP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 xml:space="preserve">wykaz ofert, które wpłynęły w odpowiedzi na zapytanie ofertowe, wraz ze wskazaniem daty wpłynięcia oferty do zamawiającego, </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informację o spełnieniu przez wykonawców warunków udziału w postępowaniu, o ile takie warunki były stawiane,</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 xml:space="preserve">informację o wagach punktowych lub procentowych przypisanych do poszczególnych kryteriów oceny i sposobie przyznawania punktacji poszczególnym wykonawcom </w:t>
      </w:r>
      <w:r>
        <w:rPr>
          <w:rFonts w:ascii="Times New Roman" w:eastAsia="Times New Roman" w:hAnsi="Times New Roman" w:cs="Times New Roman"/>
          <w:sz w:val="24"/>
          <w:szCs w:val="24"/>
        </w:rPr>
        <w:br/>
        <w:t>za spełnienie danego kryterium,</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wskazanie wybranej oferty wraz z uzasadnieniem wyboru,</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rPr>
        <w:t>datę sporządzenia protokołu i podpis zamawiającego,</w:t>
      </w:r>
    </w:p>
    <w:p w:rsidR="000236D7" w:rsidRDefault="008C23C1">
      <w:pPr>
        <w:numPr>
          <w:ilvl w:val="0"/>
          <w:numId w:val="10"/>
        </w:numPr>
        <w:tabs>
          <w:tab w:val="left" w:pos="284"/>
        </w:tabs>
        <w:spacing w:after="0" w:line="312" w:lineRule="auto"/>
        <w:ind w:left="284" w:hanging="284"/>
        <w:jc w:val="both"/>
      </w:pPr>
      <w:r>
        <w:rPr>
          <w:rFonts w:ascii="Times New Roman" w:eastAsia="Times New Roman" w:hAnsi="Times New Roman" w:cs="Times New Roman"/>
          <w:sz w:val="24"/>
          <w:szCs w:val="24"/>
          <w:u w:val="single"/>
        </w:rPr>
        <w:t>następujące załączniki:</w:t>
      </w:r>
    </w:p>
    <w:p w:rsidR="000236D7" w:rsidRDefault="008C23C1">
      <w:pPr>
        <w:numPr>
          <w:ilvl w:val="1"/>
          <w:numId w:val="10"/>
        </w:numPr>
        <w:tabs>
          <w:tab w:val="left" w:pos="709"/>
        </w:tabs>
        <w:spacing w:after="0" w:line="312" w:lineRule="auto"/>
        <w:ind w:left="709" w:hanging="369"/>
        <w:jc w:val="both"/>
      </w:pPr>
      <w:r>
        <w:rPr>
          <w:rFonts w:ascii="Times New Roman" w:eastAsia="Times New Roman" w:hAnsi="Times New Roman" w:cs="Times New Roman"/>
          <w:sz w:val="24"/>
          <w:szCs w:val="24"/>
        </w:rPr>
        <w:t xml:space="preserve">potwierdzenie upublicznienia zapytania ofertowego w wymagany sposób wraz z ewentualnymi zmianami w zapytaniu ofertowym, </w:t>
      </w:r>
    </w:p>
    <w:p w:rsidR="000236D7" w:rsidRDefault="008C23C1">
      <w:pPr>
        <w:numPr>
          <w:ilvl w:val="1"/>
          <w:numId w:val="10"/>
        </w:numPr>
        <w:tabs>
          <w:tab w:val="left" w:pos="709"/>
        </w:tabs>
        <w:spacing w:after="0" w:line="312" w:lineRule="auto"/>
        <w:ind w:left="680" w:hanging="340"/>
        <w:jc w:val="both"/>
      </w:pPr>
      <w:r>
        <w:rPr>
          <w:rFonts w:ascii="Times New Roman" w:eastAsia="Times New Roman" w:hAnsi="Times New Roman" w:cs="Times New Roman"/>
          <w:sz w:val="24"/>
          <w:szCs w:val="24"/>
        </w:rPr>
        <w:t>złożone oferty,</w:t>
      </w:r>
    </w:p>
    <w:p w:rsidR="000236D7" w:rsidRDefault="008C23C1">
      <w:pPr>
        <w:numPr>
          <w:ilvl w:val="1"/>
          <w:numId w:val="10"/>
        </w:numPr>
        <w:tabs>
          <w:tab w:val="left" w:pos="709"/>
        </w:tabs>
        <w:spacing w:after="0" w:line="312" w:lineRule="auto"/>
        <w:ind w:left="680" w:hanging="340"/>
        <w:jc w:val="both"/>
      </w:pPr>
      <w:r>
        <w:rPr>
          <w:rFonts w:ascii="Times New Roman" w:eastAsia="Times New Roman" w:hAnsi="Times New Roman" w:cs="Times New Roman"/>
          <w:sz w:val="24"/>
          <w:szCs w:val="24"/>
        </w:rPr>
        <w:t xml:space="preserve">oświadczenie/oświadczenia o braku powiązań z wykonawcami, którzy złożyli oferty, podpisane przez beneficjenta i osoby wykonujące w jego imieniu czynności związane z procedurą wyboru wykonawcy, w tym biorące udział w procesie oceny ofert. </w:t>
      </w:r>
    </w:p>
    <w:p w:rsidR="000236D7" w:rsidRDefault="000236D7">
      <w:pPr>
        <w:tabs>
          <w:tab w:val="left" w:pos="284"/>
        </w:tabs>
        <w:spacing w:after="0" w:line="312" w:lineRule="auto"/>
        <w:ind w:left="284" w:hanging="284"/>
        <w:jc w:val="both"/>
        <w:rPr>
          <w:rFonts w:ascii="Times New Roman" w:eastAsia="Times New Roman" w:hAnsi="Times New Roman" w:cs="Times New Roman"/>
          <w:sz w:val="24"/>
          <w:szCs w:val="24"/>
        </w:rPr>
      </w:pPr>
    </w:p>
    <w:p w:rsidR="000236D7" w:rsidRDefault="008C23C1">
      <w:pPr>
        <w:spacing w:after="0" w:line="312" w:lineRule="auto"/>
        <w:jc w:val="both"/>
      </w:pPr>
      <w:r>
        <w:rPr>
          <w:rFonts w:ascii="Times New Roman" w:eastAsia="Times New Roman" w:hAnsi="Times New Roman" w:cs="Times New Roman"/>
          <w:b/>
          <w:sz w:val="24"/>
          <w:szCs w:val="24"/>
        </w:rPr>
        <w:t xml:space="preserve">Istnieje obowiązek udostępnienia informacji o wyniku postępowania. </w:t>
      </w:r>
      <w:r>
        <w:rPr>
          <w:rFonts w:ascii="Times New Roman" w:eastAsia="Times New Roman" w:hAnsi="Times New Roman" w:cs="Times New Roman"/>
          <w:sz w:val="24"/>
          <w:szCs w:val="24"/>
        </w:rPr>
        <w:t xml:space="preserve">Informację udostępnia się w taki sam sposób, w jaki zostało upublicznione zapytanie ofertowe. Informacja ta powinna zawierać co najmniej nazwę wybranego wykonawcy, jego siedzibę oraz cenę zamówienia. Na wniosek wykonawcy, który złożył ofertę w postępowaniu, istnieje również obowiązek udostępnienia takiemu wykonawcy protokołu postępowania o udzielenie </w:t>
      </w:r>
      <w:r>
        <w:rPr>
          <w:rFonts w:ascii="Times New Roman" w:eastAsia="Times New Roman" w:hAnsi="Times New Roman" w:cs="Times New Roman"/>
          <w:sz w:val="24"/>
          <w:szCs w:val="24"/>
        </w:rPr>
        <w:lastRenderedPageBreak/>
        <w:t xml:space="preserve">zamówienia </w:t>
      </w:r>
      <w:r>
        <w:rPr>
          <w:rFonts w:ascii="Times New Roman" w:eastAsia="Times New Roman" w:hAnsi="Times New Roman" w:cs="Times New Roman"/>
          <w:iCs/>
          <w:sz w:val="24"/>
          <w:szCs w:val="24"/>
        </w:rPr>
        <w:t xml:space="preserve">(z wyłączeniem części oferty stanowiącej tajemnicę przedsiębiorstwa zgodnie z przepisami ustawy z dnia 16 kwietnia 1993 r. o zwalczaniu nieuczciwej konkurencji). </w:t>
      </w:r>
    </w:p>
    <w:p w:rsidR="000236D7" w:rsidRDefault="000236D7">
      <w:pPr>
        <w:spacing w:after="0" w:line="312" w:lineRule="auto"/>
        <w:jc w:val="both"/>
        <w:rPr>
          <w:rFonts w:ascii="Times New Roman" w:eastAsia="Times New Roman" w:hAnsi="Times New Roman" w:cs="Times New Roman"/>
          <w:iCs/>
          <w:sz w:val="24"/>
          <w:szCs w:val="24"/>
        </w:rPr>
      </w:pPr>
    </w:p>
    <w:p w:rsidR="000236D7" w:rsidRDefault="008C23C1">
      <w:pPr>
        <w:spacing w:after="0" w:line="312" w:lineRule="auto"/>
        <w:jc w:val="both"/>
      </w:pPr>
      <w:r>
        <w:rPr>
          <w:rFonts w:ascii="Times New Roman" w:eastAsia="Times New Roman" w:hAnsi="Times New Roman" w:cs="Times New Roman"/>
          <w:b/>
          <w:sz w:val="24"/>
          <w:szCs w:val="24"/>
        </w:rPr>
        <w:t xml:space="preserve">Postępowanie jest ważne również wtedy, gdy wpłynie tylko jedna oferta niepodlegająca odrzuceniu. </w:t>
      </w:r>
    </w:p>
    <w:p w:rsidR="000236D7" w:rsidRDefault="000236D7">
      <w:pPr>
        <w:spacing w:after="0" w:line="312" w:lineRule="auto"/>
        <w:jc w:val="both"/>
      </w:pPr>
    </w:p>
    <w:p w:rsidR="000236D7" w:rsidRDefault="008C23C1">
      <w:pPr>
        <w:spacing w:after="0" w:line="312" w:lineRule="auto"/>
        <w:jc w:val="both"/>
      </w:pPr>
      <w:r>
        <w:rPr>
          <w:rFonts w:ascii="Times New Roman" w:eastAsia="Times New Roman" w:hAnsi="Times New Roman" w:cs="Times New Roman"/>
          <w:b/>
          <w:sz w:val="24"/>
          <w:szCs w:val="24"/>
          <w:u w:val="single"/>
        </w:rPr>
        <w:t xml:space="preserve">Uwaga: </w:t>
      </w:r>
    </w:p>
    <w:p w:rsidR="000236D7" w:rsidRDefault="008C23C1">
      <w:pPr>
        <w:spacing w:after="0" w:line="312" w:lineRule="auto"/>
        <w:jc w:val="both"/>
      </w:pPr>
      <w:r>
        <w:rPr>
          <w:rFonts w:ascii="Times New Roman" w:eastAsia="Times New Roman" w:hAnsi="Times New Roman" w:cs="Times New Roman"/>
          <w:sz w:val="24"/>
          <w:szCs w:val="24"/>
        </w:rPr>
        <w:t xml:space="preserve">Jeśli w wyniku upublicznienia zapytania ofertowego nie uda się uzyskać choć jednej niepodlegającej odrzuceniu oferty, najczęściej wytyczne dla danego programu dopuszczają w takim przypadku udzielenie zamówienia wykonawcy wyłonionemu bez zachowania procedury zgodnej z zasadą konkurencyjności, </w:t>
      </w:r>
      <w:r>
        <w:rPr>
          <w:rFonts w:ascii="Times New Roman" w:eastAsia="Times New Roman" w:hAnsi="Times New Roman" w:cs="Times New Roman"/>
          <w:sz w:val="24"/>
          <w:szCs w:val="24"/>
          <w:lang w:eastAsia="pl-PL"/>
        </w:rPr>
        <w:t xml:space="preserve">pod warunkiem, że pierwotne warunki zamówienia nie zostały w istotny sposób zmienione. </w:t>
      </w:r>
    </w:p>
    <w:p w:rsidR="000236D7" w:rsidRDefault="000236D7">
      <w:pPr>
        <w:spacing w:after="0" w:line="312" w:lineRule="auto"/>
        <w:jc w:val="both"/>
      </w:pPr>
    </w:p>
    <w:p w:rsidR="000236D7" w:rsidRDefault="008C23C1">
      <w:pPr>
        <w:spacing w:after="0" w:line="31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pl-PL"/>
        </w:rPr>
        <w:t>O</w:t>
      </w:r>
      <w:r>
        <w:rPr>
          <w:rFonts w:ascii="Times New Roman" w:eastAsia="Times New Roman" w:hAnsi="Times New Roman" w:cs="Times New Roman"/>
          <w:b/>
          <w:sz w:val="24"/>
          <w:szCs w:val="24"/>
        </w:rPr>
        <w:t>bowiązek podpisania umowy w formie pisemnej</w:t>
      </w:r>
      <w:bookmarkStart w:id="0" w:name="_GoBack"/>
      <w:bookmarkEnd w:id="0"/>
      <w:r w:rsidR="00B0247E">
        <w:rPr>
          <w:rFonts w:ascii="Times New Roman" w:eastAsia="Times New Roman" w:hAnsi="Times New Roman" w:cs="Times New Roman"/>
          <w:b/>
          <w:sz w:val="24"/>
          <w:szCs w:val="24"/>
        </w:rPr>
        <w:t xml:space="preserve"> </w:t>
      </w:r>
    </w:p>
    <w:p w:rsidR="00B0247E" w:rsidRDefault="00B0247E">
      <w:pPr>
        <w:spacing w:after="0" w:line="312" w:lineRule="auto"/>
        <w:jc w:val="both"/>
      </w:pPr>
    </w:p>
    <w:p w:rsidR="000236D7" w:rsidRDefault="008C23C1">
      <w:pPr>
        <w:spacing w:after="0" w:line="312" w:lineRule="auto"/>
        <w:jc w:val="both"/>
      </w:pPr>
      <w:r>
        <w:rPr>
          <w:rFonts w:ascii="Times New Roman" w:eastAsia="Times New Roman" w:hAnsi="Times New Roman" w:cs="Times New Roman"/>
          <w:sz w:val="24"/>
          <w:szCs w:val="24"/>
        </w:rPr>
        <w:t>Po przeprowadzeniu procedury ogłoszenie zapytania ofertowego i wyboru oferty następuje podpisanie umowy z wykonawcą wybranym zgodnie z zasadą konkurencyjności – forma umowy: pisemna albo elektroniczna (wraz z kwalifikowanym podpisem elektronicznym). W przypadku gdy wykonawca odstąpi od podpisania umowy z zamawiającym, możliwe jest podpisanie umowy z kolejnym wykonawcą, który w postępowaniu o udzielenie zamówienia publicznego uzyskał kolejną najwyższą liczbę punktów.</w:t>
      </w:r>
    </w:p>
    <w:p w:rsidR="000236D7" w:rsidRDefault="000236D7">
      <w:pPr>
        <w:spacing w:after="0" w:line="312" w:lineRule="auto"/>
        <w:jc w:val="both"/>
        <w:rPr>
          <w:rFonts w:ascii="Times New Roman" w:eastAsia="Times New Roman" w:hAnsi="Times New Roman" w:cs="Times New Roman"/>
          <w:sz w:val="24"/>
          <w:szCs w:val="24"/>
        </w:rPr>
      </w:pPr>
    </w:p>
    <w:p w:rsidR="000236D7" w:rsidRDefault="008C23C1">
      <w:pPr>
        <w:spacing w:after="0" w:line="312" w:lineRule="auto"/>
        <w:jc w:val="both"/>
      </w:pPr>
      <w:r>
        <w:rPr>
          <w:rFonts w:ascii="Times New Roman" w:eastAsia="Times New Roman" w:hAnsi="Times New Roman" w:cs="Times New Roman"/>
          <w:b/>
          <w:sz w:val="24"/>
          <w:szCs w:val="24"/>
        </w:rPr>
        <w:t>Brak możliwości istotnych zmian umowy w stosunku do oferty – katalog wyjątków</w:t>
      </w:r>
    </w:p>
    <w:p w:rsidR="000236D7" w:rsidRDefault="000236D7">
      <w:pPr>
        <w:spacing w:after="0" w:line="312" w:lineRule="auto"/>
        <w:jc w:val="both"/>
        <w:rPr>
          <w:rFonts w:ascii="Times New Roman" w:eastAsia="Times New Roman" w:hAnsi="Times New Roman" w:cs="Times New Roman"/>
          <w:b/>
          <w:sz w:val="24"/>
          <w:szCs w:val="24"/>
        </w:rPr>
      </w:pPr>
    </w:p>
    <w:p w:rsidR="000236D7" w:rsidRDefault="008C23C1">
      <w:pPr>
        <w:spacing w:after="0" w:line="312" w:lineRule="auto"/>
        <w:jc w:val="both"/>
      </w:pPr>
      <w:r>
        <w:rPr>
          <w:rFonts w:ascii="Times New Roman" w:eastAsia="Times New Roman" w:hAnsi="Times New Roman" w:cs="Times New Roman"/>
          <w:sz w:val="24"/>
          <w:szCs w:val="24"/>
        </w:rPr>
        <w:t>Niedopuszczalne jest wprowadzenie w umowie istotnych zmian w stosunku do treści oferty, chyba że spełnione są następujące warunki:</w:t>
      </w:r>
    </w:p>
    <w:p w:rsidR="000236D7" w:rsidRDefault="000236D7">
      <w:pPr>
        <w:spacing w:after="0" w:line="312" w:lineRule="auto"/>
        <w:jc w:val="both"/>
        <w:rPr>
          <w:rFonts w:ascii="Times New Roman" w:eastAsia="Times New Roman" w:hAnsi="Times New Roman" w:cs="Times New Roman"/>
          <w:sz w:val="24"/>
          <w:szCs w:val="24"/>
        </w:rPr>
      </w:pPr>
    </w:p>
    <w:p w:rsidR="000236D7" w:rsidRDefault="008C23C1">
      <w:pPr>
        <w:numPr>
          <w:ilvl w:val="2"/>
          <w:numId w:val="6"/>
        </w:numPr>
        <w:spacing w:after="0" w:line="360" w:lineRule="auto"/>
        <w:ind w:left="284" w:hanging="284"/>
        <w:jc w:val="both"/>
      </w:pPr>
      <w:r>
        <w:rPr>
          <w:rFonts w:ascii="Times New Roman" w:eastAsia="Times New Roman" w:hAnsi="Times New Roman" w:cs="Times New Roman"/>
          <w:sz w:val="24"/>
          <w:szCs w:val="24"/>
          <w:lang w:eastAsia="pl-PL"/>
        </w:rPr>
        <w:t xml:space="preserve">zamawiający przewidział w postaci jednoznacznych postanowień umownych możliwość dokonania takich zmian w zapytaniu ofertowym oraz określił warunki takich zmian, ich zakres i charakter, </w:t>
      </w:r>
    </w:p>
    <w:p w:rsidR="000236D7" w:rsidRDefault="008C23C1">
      <w:pPr>
        <w:numPr>
          <w:ilvl w:val="2"/>
          <w:numId w:val="6"/>
        </w:numPr>
        <w:spacing w:after="0" w:line="360" w:lineRule="auto"/>
        <w:ind w:left="284" w:hanging="284"/>
        <w:jc w:val="both"/>
      </w:pPr>
      <w:r>
        <w:rPr>
          <w:rFonts w:ascii="Times New Roman" w:eastAsia="Times New Roman" w:hAnsi="Times New Roman" w:cs="Times New Roman"/>
          <w:sz w:val="24"/>
          <w:szCs w:val="24"/>
          <w:lang w:eastAsia="pl-PL"/>
        </w:rPr>
        <w:t xml:space="preserve">zmiany dotyczą realizacji dodatkowych dostaw, usług lub robót budowlanych od dotychczasowego wykonawcy, nieobjętych zamówieniem podstawowym, o ile stały się niezbędne i zostały spełnione łącznie następujące warunki: </w:t>
      </w:r>
    </w:p>
    <w:p w:rsidR="000236D7" w:rsidRDefault="008C23C1">
      <w:pPr>
        <w:numPr>
          <w:ilvl w:val="0"/>
          <w:numId w:val="4"/>
        </w:numPr>
        <w:spacing w:after="0" w:line="360" w:lineRule="auto"/>
        <w:jc w:val="both"/>
      </w:pPr>
      <w:r>
        <w:rPr>
          <w:rFonts w:ascii="Times New Roman" w:eastAsia="Times New Roman" w:hAnsi="Times New Roman" w:cs="Times New Roman"/>
          <w:sz w:val="24"/>
          <w:szCs w:val="24"/>
          <w:lang w:eastAsia="pl-PL"/>
        </w:rPr>
        <w:t xml:space="preserve">zmiana wykonawcy nie może zostać dokonana z powodów ekonomicznych lub technicznych, w szczególności dotyczących zamienności lub interoperacyjności sprzętu, usług lub instalacji, zamówionych w ramach zamówienia podstawowego, </w:t>
      </w:r>
    </w:p>
    <w:p w:rsidR="000236D7" w:rsidRDefault="008C23C1">
      <w:pPr>
        <w:numPr>
          <w:ilvl w:val="0"/>
          <w:numId w:val="4"/>
        </w:numPr>
        <w:spacing w:after="0" w:line="360" w:lineRule="auto"/>
        <w:jc w:val="both"/>
      </w:pPr>
      <w:r>
        <w:rPr>
          <w:rFonts w:ascii="Times New Roman" w:eastAsia="Times New Roman" w:hAnsi="Times New Roman" w:cs="Times New Roman"/>
          <w:sz w:val="24"/>
          <w:szCs w:val="24"/>
          <w:lang w:eastAsia="pl-PL"/>
        </w:rPr>
        <w:lastRenderedPageBreak/>
        <w:t xml:space="preserve">zmiana wykonawcy spowodowałaby istotną niedogodność lub znaczne zwiększenie kosztów dla zamawiającego, </w:t>
      </w:r>
    </w:p>
    <w:p w:rsidR="000236D7" w:rsidRDefault="008C23C1">
      <w:pPr>
        <w:numPr>
          <w:ilvl w:val="0"/>
          <w:numId w:val="4"/>
        </w:numPr>
        <w:spacing w:after="0" w:line="360" w:lineRule="auto"/>
        <w:jc w:val="both"/>
      </w:pPr>
      <w:r>
        <w:rPr>
          <w:rFonts w:ascii="Times New Roman" w:eastAsia="Times New Roman" w:hAnsi="Times New Roman" w:cs="Times New Roman"/>
          <w:sz w:val="24"/>
          <w:szCs w:val="24"/>
          <w:lang w:eastAsia="pl-PL"/>
        </w:rPr>
        <w:t xml:space="preserve">wartość każdej kolejnej zmiany nie przekracza 50% wartości zamówienia określonej pierwotnie w umowie, </w:t>
      </w:r>
    </w:p>
    <w:p w:rsidR="000236D7" w:rsidRDefault="008C23C1">
      <w:pPr>
        <w:spacing w:after="0" w:line="360" w:lineRule="auto"/>
        <w:ind w:left="284" w:hanging="284"/>
        <w:jc w:val="both"/>
      </w:pPr>
      <w:r>
        <w:rPr>
          <w:rFonts w:ascii="Times New Roman" w:eastAsia="Times New Roman" w:hAnsi="Times New Roman" w:cs="Times New Roman"/>
          <w:sz w:val="24"/>
          <w:szCs w:val="24"/>
          <w:lang w:eastAsia="pl-PL"/>
        </w:rPr>
        <w:t xml:space="preserve">3) zmiana nie prowadzi do zmiany charakteru umowy i zostały spełnione łącznie następujące warunki: </w:t>
      </w:r>
    </w:p>
    <w:p w:rsidR="000236D7" w:rsidRDefault="008C23C1">
      <w:pPr>
        <w:numPr>
          <w:ilvl w:val="0"/>
          <w:numId w:val="9"/>
        </w:numPr>
        <w:spacing w:after="0" w:line="360" w:lineRule="auto"/>
        <w:jc w:val="both"/>
      </w:pPr>
      <w:r>
        <w:rPr>
          <w:rFonts w:ascii="Times New Roman" w:eastAsia="Times New Roman" w:hAnsi="Times New Roman" w:cs="Times New Roman"/>
          <w:sz w:val="24"/>
          <w:szCs w:val="24"/>
          <w:lang w:eastAsia="pl-PL"/>
        </w:rPr>
        <w:t xml:space="preserve">konieczność zmiany umowy spowodowana jest okolicznościami, których zamawiający, działając z należytą starannością, nie mógł przewidzieć, </w:t>
      </w:r>
    </w:p>
    <w:p w:rsidR="000236D7" w:rsidRDefault="008C23C1">
      <w:pPr>
        <w:numPr>
          <w:ilvl w:val="0"/>
          <w:numId w:val="9"/>
        </w:numPr>
        <w:spacing w:after="0" w:line="360" w:lineRule="auto"/>
        <w:jc w:val="both"/>
      </w:pPr>
      <w:r>
        <w:rPr>
          <w:rFonts w:ascii="Times New Roman" w:eastAsia="Times New Roman" w:hAnsi="Times New Roman" w:cs="Times New Roman"/>
          <w:sz w:val="24"/>
          <w:szCs w:val="24"/>
          <w:lang w:eastAsia="pl-PL"/>
        </w:rPr>
        <w:t xml:space="preserve">wartość zmiany nie przekracza 50% wartości zamówienia określonej pierwotnie w umowie, </w:t>
      </w:r>
    </w:p>
    <w:p w:rsidR="000236D7" w:rsidRDefault="008C23C1">
      <w:pPr>
        <w:numPr>
          <w:ilvl w:val="0"/>
          <w:numId w:val="2"/>
        </w:numPr>
        <w:spacing w:after="0" w:line="360" w:lineRule="auto"/>
        <w:ind w:left="284" w:hanging="284"/>
        <w:jc w:val="both"/>
      </w:pPr>
      <w:r>
        <w:rPr>
          <w:rFonts w:ascii="Times New Roman" w:eastAsia="Times New Roman" w:hAnsi="Times New Roman" w:cs="Times New Roman"/>
          <w:sz w:val="24"/>
          <w:szCs w:val="24"/>
          <w:lang w:eastAsia="pl-PL"/>
        </w:rPr>
        <w:t xml:space="preserve">wykonawcę, któremu zamawiający udzielił zamówienia, ma zastąpić nowy wykonawca: </w:t>
      </w:r>
    </w:p>
    <w:p w:rsidR="000236D7" w:rsidRDefault="008C23C1">
      <w:pPr>
        <w:numPr>
          <w:ilvl w:val="0"/>
          <w:numId w:val="3"/>
        </w:numPr>
        <w:spacing w:after="0" w:line="360" w:lineRule="auto"/>
        <w:jc w:val="both"/>
      </w:pPr>
      <w:r>
        <w:rPr>
          <w:rFonts w:ascii="Times New Roman" w:eastAsia="Times New Roman" w:hAnsi="Times New Roman" w:cs="Times New Roman"/>
          <w:sz w:val="24"/>
          <w:szCs w:val="24"/>
          <w:lang w:eastAsia="pl-PL"/>
        </w:rPr>
        <w:t xml:space="preserve">na podstawie postanowień umownych, dopuszczających taką zmianę, przewidzianych w zapytaniu ofertowym, </w:t>
      </w:r>
    </w:p>
    <w:p w:rsidR="000236D7" w:rsidRDefault="008C23C1">
      <w:pPr>
        <w:numPr>
          <w:ilvl w:val="0"/>
          <w:numId w:val="3"/>
        </w:numPr>
        <w:spacing w:after="0" w:line="360" w:lineRule="auto"/>
        <w:jc w:val="both"/>
      </w:pPr>
      <w:r>
        <w:rPr>
          <w:rFonts w:ascii="Times New Roman" w:eastAsia="Times New Roman" w:hAnsi="Times New Roman" w:cs="Times New Roman"/>
          <w:sz w:val="24"/>
          <w:szCs w:val="24"/>
          <w:lang w:eastAsia="pl-PL"/>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rsidR="000236D7" w:rsidRDefault="008C23C1">
      <w:pPr>
        <w:numPr>
          <w:ilvl w:val="0"/>
          <w:numId w:val="3"/>
        </w:numPr>
        <w:spacing w:after="0" w:line="360" w:lineRule="auto"/>
        <w:jc w:val="both"/>
      </w:pPr>
      <w:r>
        <w:rPr>
          <w:rFonts w:ascii="Times New Roman" w:eastAsia="Times New Roman" w:hAnsi="Times New Roman" w:cs="Times New Roman"/>
          <w:sz w:val="24"/>
          <w:szCs w:val="24"/>
          <w:lang w:eastAsia="pl-PL"/>
        </w:rPr>
        <w:t>w wyniku przejęcia przez zamawiającego zobowiązań wykonawcy względem jego podwykonawców; w przypadku zmiany podwykonawcy zamawiający może zawrzeć umowę z nowym podwykonawcą bez zmiany warunków realizacji zamówienia z uwzględnieniem dokonanych płatności z tytułu dotychczas wykonanych prac,</w:t>
      </w:r>
    </w:p>
    <w:p w:rsidR="000236D7" w:rsidRDefault="008C23C1">
      <w:pPr>
        <w:spacing w:after="0" w:line="360" w:lineRule="auto"/>
        <w:ind w:left="284" w:hanging="284"/>
        <w:jc w:val="both"/>
      </w:pPr>
      <w:r>
        <w:rPr>
          <w:rFonts w:ascii="Times New Roman" w:eastAsia="Times New Roman" w:hAnsi="Times New Roman" w:cs="Times New Roman"/>
          <w:sz w:val="24"/>
          <w:szCs w:val="24"/>
          <w:lang w:eastAsia="pl-PL"/>
        </w:rPr>
        <w:t xml:space="preserve">5) zmiana nie prowadzi do zmiany charakteru umowy, a łączna wartość zmian jest mniejsza niż progi unijne określone w przepisach wydanych na podstawie art. 3 ust. 2 ustawy, od których jest uzależniony obowiązek przekazywania ogłoszeń Urzędowi Publikacji Unii Europejskiej, i jednocześnie jest mniejsza od 10% wartości zamówienia określonej pierwotnie w umowie w przypadku zamówień na usługi lub dostawy albo – w przypadku zamówień na roboty budowlane – jest mniejsza od 15% wartości zamówienia określonej pierwotnie w umowie. </w:t>
      </w:r>
    </w:p>
    <w:p w:rsidR="000236D7" w:rsidRDefault="000236D7">
      <w:pPr>
        <w:spacing w:after="0" w:line="312" w:lineRule="auto"/>
        <w:rPr>
          <w:rFonts w:ascii="Times New Roman" w:eastAsia="Times New Roman" w:hAnsi="Times New Roman" w:cs="Times New Roman"/>
          <w:sz w:val="24"/>
          <w:szCs w:val="24"/>
          <w:lang w:eastAsia="pl-PL"/>
        </w:rPr>
      </w:pPr>
    </w:p>
    <w:p w:rsidR="000236D7" w:rsidRDefault="008C23C1">
      <w:pPr>
        <w:spacing w:after="0" w:line="312" w:lineRule="auto"/>
        <w:jc w:val="both"/>
      </w:pPr>
      <w:r>
        <w:rPr>
          <w:rFonts w:ascii="Times New Roman" w:eastAsia="Times New Roman" w:hAnsi="Times New Roman" w:cs="Times New Roman"/>
          <w:b/>
          <w:sz w:val="24"/>
          <w:szCs w:val="24"/>
        </w:rPr>
        <w:t xml:space="preserve">W zakresie nieuregulowanym w niniejszym Regulaminie obowiązkowe jest stosowanie aktualnych wytycznych w zakresie kwalifikowalności wydatków dla poszczególnych programów. </w:t>
      </w:r>
    </w:p>
    <w:p w:rsidR="000236D7" w:rsidRDefault="000236D7">
      <w:pPr>
        <w:spacing w:after="0" w:line="312" w:lineRule="auto"/>
        <w:jc w:val="both"/>
        <w:rPr>
          <w:rFonts w:ascii="Times New Roman" w:eastAsia="Times New Roman" w:hAnsi="Times New Roman" w:cs="Times New Roman"/>
          <w:b/>
          <w:sz w:val="24"/>
          <w:szCs w:val="24"/>
        </w:rPr>
      </w:pPr>
    </w:p>
    <w:p w:rsidR="000236D7" w:rsidRDefault="008C23C1">
      <w:pPr>
        <w:spacing w:after="0" w:line="312" w:lineRule="auto"/>
        <w:jc w:val="both"/>
      </w:pPr>
      <w:r>
        <w:rPr>
          <w:rFonts w:ascii="Times New Roman" w:eastAsia="Times New Roman" w:hAnsi="Times New Roman" w:cs="Times New Roman"/>
          <w:b/>
          <w:sz w:val="24"/>
          <w:szCs w:val="24"/>
        </w:rPr>
        <w:lastRenderedPageBreak/>
        <w:t xml:space="preserve">W przypadku gdy uregulowania wytycznych dla programu zawierają postanowienia niezgodne z niniejszym Regulaminem, pierwszeństwo mają zasady wskazane w wytycznych dla danego programu. </w:t>
      </w:r>
    </w:p>
    <w:p w:rsidR="008C23C1" w:rsidRDefault="008C23C1">
      <w:pPr>
        <w:spacing w:after="0" w:line="312" w:lineRule="auto"/>
        <w:jc w:val="both"/>
      </w:pPr>
    </w:p>
    <w:sectPr w:rsidR="008C23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3C1" w:rsidRDefault="008C23C1" w:rsidP="00A83C39">
      <w:pPr>
        <w:spacing w:after="0" w:line="240" w:lineRule="auto"/>
      </w:pPr>
      <w:r>
        <w:separator/>
      </w:r>
    </w:p>
  </w:endnote>
  <w:endnote w:type="continuationSeparator" w:id="0">
    <w:p w:rsidR="008C23C1" w:rsidRDefault="008C23C1" w:rsidP="00A8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0F3C52"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3C1" w:rsidRDefault="008C23C1" w:rsidP="00A83C39">
      <w:pPr>
        <w:spacing w:after="0" w:line="240" w:lineRule="auto"/>
      </w:pPr>
      <w:r>
        <w:separator/>
      </w:r>
    </w:p>
  </w:footnote>
  <w:footnote w:type="continuationSeparator" w:id="0">
    <w:p w:rsidR="008C23C1" w:rsidRDefault="008C23C1" w:rsidP="00A83C39">
      <w:pPr>
        <w:spacing w:after="0" w:line="240" w:lineRule="auto"/>
      </w:pPr>
      <w:r>
        <w:continuationSeparator/>
      </w:r>
    </w:p>
  </w:footnote>
  <w:footnote w:id="1">
    <w:p w:rsidR="000236D7" w:rsidRDefault="008C23C1">
      <w:pPr>
        <w:pStyle w:val="Tekstprzypisudolnego"/>
        <w:jc w:val="both"/>
      </w:pPr>
      <w:r>
        <w:rPr>
          <w:rStyle w:val="Znakiprzypiswdolnych"/>
          <w:rFonts w:ascii="Times New Roman" w:hAnsi="Times New Roman"/>
        </w:rPr>
        <w:footnoteRef/>
      </w:r>
      <w:r>
        <w:rPr>
          <w:rFonts w:ascii="Times New Roman" w:hAnsi="Times New Roman" w:cs="Times New Roman"/>
        </w:rPr>
        <w:t xml:space="preserve"> Wykaz </w:t>
      </w:r>
      <w:r w:rsidR="00B0247E">
        <w:rPr>
          <w:rFonts w:ascii="Times New Roman" w:hAnsi="Times New Roman" w:cs="Times New Roman"/>
        </w:rPr>
        <w:t>usług stanowi załącznik XIV do d</w:t>
      </w:r>
      <w:r>
        <w:rPr>
          <w:rFonts w:ascii="Times New Roman" w:hAnsi="Times New Roman" w:cs="Times New Roman"/>
        </w:rPr>
        <w:t>yrektywy 2014/24/UE z dnia 26 lutego 2014 r. w sprawie zamówień publicznych, uchylającej dyrektywę 2004/18/WE (Dz. Urz. UE L z 28.03.2014, str. 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428" w:hanging="360"/>
      </w:pPr>
      <w:rPr>
        <w:rFonts w:ascii="Times New Roman" w:hAnsi="Times New Roman" w:cs="Times New Roman"/>
        <w:i w:val="0"/>
        <w:iCs w:val="0"/>
        <w:sz w:val="24"/>
        <w:szCs w:val="24"/>
      </w:rPr>
    </w:lvl>
  </w:abstractNum>
  <w:abstractNum w:abstractNumId="1" w15:restartNumberingAfterBreak="0">
    <w:nsid w:val="00000002"/>
    <w:multiLevelType w:val="singleLevel"/>
    <w:tmpl w:val="00000002"/>
    <w:name w:val="WW8Num2"/>
    <w:lvl w:ilvl="0">
      <w:start w:val="4"/>
      <w:numFmt w:val="decimal"/>
      <w:lvlText w:val="%1)"/>
      <w:lvlJc w:val="left"/>
      <w:pPr>
        <w:tabs>
          <w:tab w:val="num" w:pos="0"/>
        </w:tabs>
        <w:ind w:left="2340" w:hanging="360"/>
      </w:pPr>
      <w:rPr>
        <w:rFonts w:ascii="Times New Roman" w:hAnsi="Times New Roman" w:cs="Times New Roman"/>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hint="default"/>
        <w:b w:val="0"/>
        <w:sz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ascii="Times New Roman" w:hAnsi="Times New Roman"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i w:val="0"/>
        <w:iCs w:val="0"/>
        <w:sz w:val="24"/>
        <w:szCs w:val="24"/>
        <w:lang w:eastAsia="pl-PL"/>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b/>
        <w:sz w:val="24"/>
        <w:szCs w:val="24"/>
        <w:lang w:eastAsia="pl-P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80" w:hanging="360"/>
      </w:pPr>
      <w:rPr>
        <w:rFonts w:ascii="Times New Roman" w:hAnsi="Times New Roman" w:cs="Times New Roman" w:hint="default"/>
        <w:iCs/>
        <w:sz w:val="24"/>
        <w:szCs w:val="24"/>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Times New Roman" w:hAnsi="Times New Roman" w:cs="Times New Roman" w:hint="default"/>
        <w:iCs/>
        <w:sz w:val="24"/>
        <w:szCs w:val="24"/>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ascii="Times New Roman" w:hAnsi="Times New Roman" w:cs="Times New Roman" w:hint="default"/>
        <w:i w:val="0"/>
        <w:iCs/>
        <w:sz w:val="24"/>
        <w:szCs w:val="24"/>
      </w:rPr>
    </w:lvl>
  </w:abstractNum>
  <w:abstractNum w:abstractNumId="13"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47E"/>
    <w:rsid w:val="000236D7"/>
    <w:rsid w:val="008C23C1"/>
    <w:rsid w:val="00961D32"/>
    <w:rsid w:val="00B0247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docId w15:val="{383ED3D8-D4E2-49E9-8F1C-BB120E49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4" w:lineRule="auto"/>
    </w:pPr>
    <w:rPr>
      <w:rFonts w:ascii="Calibri" w:eastAsia="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i w:val="0"/>
      <w:iCs w:val="0"/>
      <w:sz w:val="24"/>
      <w:szCs w:val="24"/>
    </w:rPr>
  </w:style>
  <w:style w:type="character" w:customStyle="1" w:styleId="WW8Num2z0">
    <w:name w:val="WW8Num2z0"/>
    <w:rPr>
      <w:rFonts w:ascii="Times New Roman" w:hAnsi="Times New Roman" w:cs="Times New Roman"/>
      <w:sz w:val="24"/>
      <w:szCs w:val="24"/>
    </w:rPr>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Times New Roman" w:hAnsi="Times New Roman" w:cs="Times New Roman"/>
      <w:sz w:val="24"/>
      <w:szCs w:val="24"/>
    </w:rPr>
  </w:style>
  <w:style w:type="character" w:customStyle="1" w:styleId="WW8Num5z0">
    <w:name w:val="WW8Num5z0"/>
    <w:rPr>
      <w:rFonts w:ascii="Times New Roman" w:hAnsi="Times New Roman" w:cs="Times New Roman" w:hint="default"/>
      <w:sz w:val="24"/>
      <w:szCs w:val="24"/>
    </w:rPr>
  </w:style>
  <w:style w:type="character" w:customStyle="1" w:styleId="WW8Num6z0">
    <w:name w:val="WW8Num6z0"/>
    <w:rPr>
      <w:rFonts w:hint="default"/>
      <w:b w:val="0"/>
      <w:sz w:val="22"/>
    </w:rPr>
  </w:style>
  <w:style w:type="character" w:customStyle="1" w:styleId="WW8Num6z1">
    <w:name w:val="WW8Num6z1"/>
  </w:style>
  <w:style w:type="character" w:customStyle="1" w:styleId="WW8Num6z2">
    <w:name w:val="WW8Num6z2"/>
    <w:rPr>
      <w:rFonts w:ascii="Times New Roman" w:hAnsi="Times New Roman" w:cs="Times New Roman"/>
      <w:sz w:val="24"/>
      <w:szCs w:val="24"/>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i w:val="0"/>
      <w:iCs w:val="0"/>
      <w:sz w:val="24"/>
      <w:szCs w:val="24"/>
      <w:lang w:eastAsia="pl-PL"/>
    </w:rPr>
  </w:style>
  <w:style w:type="character" w:customStyle="1" w:styleId="WW8Num8z0">
    <w:name w:val="WW8Num8z0"/>
    <w:rPr>
      <w:rFonts w:ascii="Times New Roman" w:hAnsi="Times New Roman" w:cs="Times New Roman"/>
      <w:b/>
      <w:sz w:val="24"/>
      <w:szCs w:val="24"/>
      <w:lang w:eastAsia="pl-PL"/>
    </w:rPr>
  </w:style>
  <w:style w:type="character" w:customStyle="1" w:styleId="WW8Num9z0">
    <w:name w:val="WW8Num9z0"/>
    <w:rPr>
      <w:rFonts w:ascii="Times New Roman" w:hAnsi="Times New Roman" w:cs="Times New Roman"/>
      <w:sz w:val="24"/>
      <w:szCs w:val="24"/>
    </w:rPr>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iCs/>
      <w:sz w:val="24"/>
      <w:szCs w:val="24"/>
    </w:rPr>
  </w:style>
  <w:style w:type="character" w:customStyle="1" w:styleId="WW8Num12z0">
    <w:name w:val="WW8Num12z0"/>
    <w:rPr>
      <w:rFonts w:ascii="Times New Roman" w:hAnsi="Times New Roman" w:cs="Times New Roman" w:hint="default"/>
      <w:iCs/>
      <w:sz w:val="24"/>
      <w:szCs w:val="24"/>
    </w:rPr>
  </w:style>
  <w:style w:type="character" w:customStyle="1" w:styleId="WW8Num13z0">
    <w:name w:val="WW8Num13z0"/>
    <w:rPr>
      <w:rFonts w:ascii="Times New Roman" w:hAnsi="Times New Roman" w:cs="Times New Roman" w:hint="default"/>
      <w:i w:val="0"/>
      <w:iCs/>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2">
    <w:name w:val="Domyślna czcionka akapitu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sz w:val="22"/>
    </w:rPr>
  </w:style>
  <w:style w:type="character" w:customStyle="1" w:styleId="WW8Num23z1">
    <w:name w:val="WW8Num23z1"/>
  </w:style>
  <w:style w:type="character" w:customStyle="1" w:styleId="WW8Num23z2">
    <w:name w:val="WW8Num23z2"/>
    <w:rPr>
      <w:rFonts w:ascii="Times New Roman" w:eastAsia="Times New Roman" w:hAnsi="Times New Roman" w:cs="Times New Roman" w:hint="default"/>
      <w:sz w:val="24"/>
      <w:szCs w:val="24"/>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i w:val="0"/>
      <w:iCs w:val="0"/>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0">
    <w:name w:val="WW8Num26z0"/>
    <w:rPr>
      <w:rFonts w:ascii="Times New Roman" w:hAnsi="Times New Roman" w:cs="Times New Roman"/>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Times New Roman" w:hAnsi="Arial" w:cs="Arial" w:hint="default"/>
      <w:sz w:val="24"/>
      <w:szCs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hint="default"/>
      <w:sz w:val="24"/>
      <w:szCs w:val="24"/>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iCs/>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b w:val="0"/>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iCs/>
      <w:sz w:val="24"/>
      <w:szCs w:val="24"/>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rPr>
      <w:rFonts w:cs="Times New Roman" w:hint="default"/>
      <w:b/>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i w:val="0"/>
      <w:iCs/>
      <w:sz w:val="24"/>
      <w:szCs w:val="24"/>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Znak3">
    <w:name w:val="Znak3"/>
  </w:style>
  <w:style w:type="character" w:customStyle="1" w:styleId="Znak2">
    <w:name w:val="Znak2"/>
    <w:rPr>
      <w:b/>
      <w:bCs/>
    </w:rPr>
  </w:style>
  <w:style w:type="character" w:styleId="Hipercze">
    <w:name w:val="Hyperlink"/>
    <w:rPr>
      <w:color w:val="0563C1"/>
      <w:u w:val="single"/>
    </w:rPr>
  </w:style>
  <w:style w:type="character" w:customStyle="1" w:styleId="Znak1">
    <w:name w:val="Znak1"/>
  </w:style>
  <w:style w:type="character" w:customStyle="1" w:styleId="Znakiprzypiswkocowych">
    <w:name w:val="Znaki przypisów końcowych"/>
    <w:rPr>
      <w:vertAlign w:val="superscript"/>
    </w:rPr>
  </w:style>
  <w:style w:type="character" w:customStyle="1" w:styleId="Znak">
    <w:name w:val="Znak"/>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Znakinumeracji">
    <w:name w:val="Znaki numeracji"/>
    <w:rPr>
      <w:rFonts w:ascii="Times New Roman" w:hAnsi="Times New Roman" w:cs="Times New Roman"/>
      <w:sz w:val="24"/>
      <w:szCs w:val="24"/>
    </w:rPr>
  </w:style>
  <w:style w:type="character" w:customStyle="1" w:styleId="Odwoaniedokomentarza2">
    <w:name w:val="Odwołanie do komentarza2"/>
    <w:rPr>
      <w:sz w:val="16"/>
      <w:szCs w:val="16"/>
    </w:rPr>
  </w:style>
  <w:style w:type="character" w:customStyle="1" w:styleId="TekstkomentarzaZnak">
    <w:name w:val="Tekst komentarza Znak"/>
    <w:rPr>
      <w:rFonts w:ascii="Calibri" w:eastAsia="Calibri" w:hAnsi="Calibri" w:cs="Calibri"/>
      <w:lang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szCs w:val="24"/>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Akapitzlist">
    <w:name w:val="List Paragraph"/>
    <w:basedOn w:val="Normalny"/>
    <w:qFormat/>
    <w:pPr>
      <w:ind w:left="708"/>
    </w:pPr>
  </w:style>
  <w:style w:type="paragraph" w:styleId="Bezodstpw">
    <w:name w:val="No Spacing"/>
    <w:qFormat/>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rPr>
  </w:style>
  <w:style w:type="paragraph" w:styleId="Tekstprzypisudolnego">
    <w:name w:val="foot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szCs w:val="20"/>
    </w:rPr>
  </w:style>
  <w:style w:type="paragraph" w:styleId="Tekstkomentarza">
    <w:name w:val="annotation text"/>
    <w:basedOn w:val="Normalny"/>
    <w:link w:val="TekstkomentarzaZnak1"/>
    <w:uiPriority w:val="99"/>
    <w:semiHidden/>
    <w:unhideWhenUsed/>
    <w:rPr>
      <w:sz w:val="20"/>
      <w:szCs w:val="20"/>
    </w:rPr>
  </w:style>
  <w:style w:type="character" w:customStyle="1" w:styleId="TekstkomentarzaZnak1">
    <w:name w:val="Tekst komentarza Znak1"/>
    <w:basedOn w:val="Domylnaczcionkaakapitu"/>
    <w:link w:val="Tekstkomentarza"/>
    <w:uiPriority w:val="99"/>
    <w:semiHidden/>
    <w:rPr>
      <w:rFonts w:ascii="Calibri" w:eastAsia="Calibri" w:hAnsi="Calibri" w:cs="Calibri"/>
      <w:lang w:eastAsia="zh-CN"/>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zakonkurencyjnosci.funduszeeuropejski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2131</Words>
  <Characters>12786</Characters>
  <Application>Microsoft Office Word</Application>
  <DocSecurity>0</DocSecurity>
  <Lines>106</Lines>
  <Paragraphs>29</Paragraphs>
  <ScaleCrop>false</ScaleCrop>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Regulamin określający minimalne wymogi obowiązujące przy udzielaniu zamówień publicznych, o wartości netto p</dc:title>
  <dc:creator>Ewa Siwińska</dc:creator>
  <cp:lastModifiedBy>Martyna Drygiel</cp:lastModifiedBy>
  <cp:revision>3</cp:revision>
  <cp:lastPrinted>1995-11-21T16:41:00Z</cp:lastPrinted>
  <dcterms:created xsi:type="dcterms:W3CDTF">2020-12-03T14:50:00Z</dcterms:created>
  <dcterms:modified xsi:type="dcterms:W3CDTF">2020-12-04T07:45:00Z</dcterms:modified>
</cp:coreProperties>
</file>