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0E" w:rsidRPr="009D5368" w:rsidRDefault="00DA4A0E" w:rsidP="000546D4">
      <w:pPr>
        <w:pStyle w:val="Nagwek1"/>
        <w:ind w:right="-709" w:firstLine="6"/>
        <w:rPr>
          <w:rFonts w:ascii="Times New Roman" w:hAnsi="Times New Roman"/>
          <w:snapToGrid w:val="0"/>
          <w:color w:val="000000"/>
        </w:rPr>
      </w:pPr>
      <w:r w:rsidRPr="009D5368">
        <w:rPr>
          <w:rFonts w:ascii="Times New Roman" w:hAnsi="Times New Roman"/>
          <w:color w:val="000000"/>
        </w:rPr>
        <w:t xml:space="preserve">Załącznik </w:t>
      </w:r>
      <w:r w:rsidRPr="009D5368">
        <w:rPr>
          <w:rFonts w:ascii="Times New Roman" w:hAnsi="Times New Roman"/>
          <w:snapToGrid w:val="0"/>
          <w:color w:val="000000"/>
        </w:rPr>
        <w:t>do zarząd</w:t>
      </w:r>
      <w:r w:rsidR="00E945D7" w:rsidRPr="009D5368">
        <w:rPr>
          <w:rFonts w:ascii="Times New Roman" w:hAnsi="Times New Roman"/>
          <w:snapToGrid w:val="0"/>
          <w:color w:val="000000"/>
        </w:rPr>
        <w:t xml:space="preserve">zenia Nr </w:t>
      </w:r>
      <w:r w:rsidR="001749CF">
        <w:rPr>
          <w:rFonts w:ascii="Times New Roman" w:hAnsi="Times New Roman"/>
          <w:snapToGrid w:val="0"/>
          <w:color w:val="000000"/>
        </w:rPr>
        <w:t>19</w:t>
      </w:r>
      <w:r w:rsidR="00256D72">
        <w:rPr>
          <w:rFonts w:ascii="Times New Roman" w:hAnsi="Times New Roman"/>
          <w:snapToGrid w:val="0"/>
          <w:color w:val="000000"/>
        </w:rPr>
        <w:t>2</w:t>
      </w:r>
      <w:bookmarkStart w:id="0" w:name="_GoBack"/>
      <w:bookmarkEnd w:id="0"/>
      <w:r w:rsidR="001749CF">
        <w:rPr>
          <w:rFonts w:ascii="Times New Roman" w:hAnsi="Times New Roman"/>
          <w:snapToGrid w:val="0"/>
          <w:color w:val="000000"/>
        </w:rPr>
        <w:t>/</w:t>
      </w:r>
      <w:r w:rsidR="00E945D7" w:rsidRPr="009D5368">
        <w:rPr>
          <w:rFonts w:ascii="Times New Roman" w:hAnsi="Times New Roman"/>
          <w:snapToGrid w:val="0"/>
          <w:color w:val="000000"/>
        </w:rPr>
        <w:t>202</w:t>
      </w:r>
      <w:r w:rsidR="00900E4D">
        <w:rPr>
          <w:rFonts w:ascii="Times New Roman" w:hAnsi="Times New Roman"/>
          <w:snapToGrid w:val="0"/>
          <w:color w:val="000000"/>
        </w:rPr>
        <w:t>1</w:t>
      </w:r>
      <w:r w:rsidRPr="009D5368">
        <w:rPr>
          <w:rFonts w:ascii="Times New Roman" w:hAnsi="Times New Roman"/>
          <w:snapToGrid w:val="0"/>
          <w:color w:val="000000"/>
        </w:rPr>
        <w:t>/P</w:t>
      </w:r>
    </w:p>
    <w:p w:rsidR="00DA4A0E" w:rsidRPr="009D5368" w:rsidRDefault="00DA4A0E" w:rsidP="000546D4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PREZYDENTA MIASTA POZNANIA</w:t>
      </w:r>
    </w:p>
    <w:p w:rsidR="00DA4A0E" w:rsidRPr="009D5368" w:rsidRDefault="001749CF" w:rsidP="000546D4">
      <w:pPr>
        <w:ind w:right="-709"/>
        <w:jc w:val="right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z dnia 8 marca</w:t>
      </w:r>
      <w:r w:rsidR="00E945D7"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 xml:space="preserve"> 202</w:t>
      </w:r>
      <w:r w:rsidR="00900E4D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1</w:t>
      </w:r>
      <w:r w:rsidR="00DA4A0E"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 xml:space="preserve"> r.</w:t>
      </w:r>
    </w:p>
    <w:p w:rsidR="00DA4A0E" w:rsidRPr="009D5368" w:rsidRDefault="00DA4A0E" w:rsidP="000546D4">
      <w:pPr>
        <w:ind w:left="-851" w:right="-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53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WYKAZ</w:t>
      </w:r>
    </w:p>
    <w:p w:rsidR="00DA4A0E" w:rsidRPr="009D5368" w:rsidRDefault="00DA4A0E" w:rsidP="000546D4">
      <w:pPr>
        <w:tabs>
          <w:tab w:val="left" w:pos="-851"/>
        </w:tabs>
        <w:spacing w:after="240" w:line="240" w:lineRule="auto"/>
        <w:ind w:right="-567" w:hanging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nieruchomości przeznaczonej do sprzedaży w trybie przetargu ustnego nieograniczonego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38"/>
      </w:tblGrid>
      <w:tr w:rsidR="00E945D7" w:rsidRPr="00E945D7">
        <w:tc>
          <w:tcPr>
            <w:tcW w:w="2552" w:type="dxa"/>
          </w:tcPr>
          <w:p w:rsidR="00DA4A0E" w:rsidRPr="009D5368" w:rsidRDefault="00DA4A0E" w:rsidP="000546D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Położenie nieruchomości</w:t>
            </w:r>
          </w:p>
        </w:tc>
        <w:tc>
          <w:tcPr>
            <w:tcW w:w="7938" w:type="dxa"/>
          </w:tcPr>
          <w:p w:rsidR="00DA4A0E" w:rsidRPr="009D5368" w:rsidRDefault="00DA4A0E" w:rsidP="00900E4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3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Poznań, </w:t>
            </w:r>
            <w:r w:rsidR="00E945D7" w:rsidRPr="009D53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rejon ulicy</w:t>
            </w:r>
            <w:r w:rsidRPr="009D53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945D7" w:rsidRPr="009D53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Czapl</w:t>
            </w:r>
            <w:r w:rsidR="00030D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</w:p>
        </w:tc>
      </w:tr>
      <w:tr w:rsidR="00E945D7" w:rsidRPr="00E945D7">
        <w:tc>
          <w:tcPr>
            <w:tcW w:w="2552" w:type="dxa"/>
          </w:tcPr>
          <w:p w:rsidR="00DA4A0E" w:rsidRPr="00DE2880" w:rsidRDefault="00DA4A0E" w:rsidP="000546D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Oznaczenia geodezyjne</w:t>
            </w:r>
          </w:p>
        </w:tc>
        <w:tc>
          <w:tcPr>
            <w:tcW w:w="7938" w:type="dxa"/>
          </w:tcPr>
          <w:p w:rsidR="00DA4A0E" w:rsidRPr="00DE2880" w:rsidRDefault="00DA4A0E" w:rsidP="00554647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obręb </w:t>
            </w:r>
            <w:r w:rsidR="002527BA"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Winiary arkusz 26</w:t>
            </w: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działka </w:t>
            </w:r>
            <w:r w:rsidR="002527BA"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14/2 (S-RV</w:t>
            </w: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pow. </w:t>
            </w:r>
            <w:r w:rsidR="002527BA"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789</w:t>
            </w: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</w:t>
            </w: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KW PO1P/</w:t>
            </w:r>
            <w:r w:rsidR="002527BA"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00029737/8</w:t>
            </w:r>
          </w:p>
          <w:p w:rsidR="00DA4A0E" w:rsidRPr="00DE2880" w:rsidRDefault="00DA4A0E" w:rsidP="00554647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według </w:t>
            </w:r>
            <w:r w:rsidR="00B46D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księgi wieczystej</w:t>
            </w:r>
            <w:r w:rsidR="002527BA" w:rsidRPr="002527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PO1P/00029737/8</w:t>
            </w:r>
            <w:r w:rsidR="00B46D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właściciel Miasto Poznań</w:t>
            </w:r>
          </w:p>
        </w:tc>
      </w:tr>
      <w:tr w:rsidR="00E945D7" w:rsidRPr="00E945D7">
        <w:tc>
          <w:tcPr>
            <w:tcW w:w="2552" w:type="dxa"/>
          </w:tcPr>
          <w:p w:rsidR="00DA4A0E" w:rsidRPr="00584A5F" w:rsidRDefault="00DA4A0E" w:rsidP="000546D4">
            <w:pPr>
              <w:pStyle w:val="Akapitzlist"/>
              <w:numPr>
                <w:ilvl w:val="0"/>
                <w:numId w:val="13"/>
              </w:numPr>
              <w:spacing w:before="60"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Opis nieruchomości</w:t>
            </w:r>
          </w:p>
        </w:tc>
        <w:tc>
          <w:tcPr>
            <w:tcW w:w="7938" w:type="dxa"/>
          </w:tcPr>
          <w:p w:rsidR="00DA4A0E" w:rsidRPr="00584A5F" w:rsidRDefault="00DA4A0E" w:rsidP="000546D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położona w</w:t>
            </w:r>
            <w:r w:rsidR="00C8449C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północnej, pośredniej części Poznania, </w:t>
            </w:r>
            <w:r w:rsidR="00447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rejonie</w:t>
            </w:r>
            <w:r w:rsidR="00C8449C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ul. Czapl</w:t>
            </w:r>
            <w:r w:rsidR="000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</w:t>
            </w:r>
            <w:r w:rsidR="00447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44756B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nawierzchni utwardzonej płytami betonowymi</w:t>
            </w:r>
            <w:r w:rsidR="00447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DA4A0E" w:rsidRDefault="00DA4A0E" w:rsidP="000546D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niezabudowana, </w:t>
            </w:r>
            <w:r w:rsidR="006B51C3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niezagospodarowana,</w:t>
            </w:r>
            <w:r w:rsidR="008A1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kształ</w:t>
            </w:r>
            <w:r w:rsidR="008A1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6B51C3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6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regularny </w:t>
            </w:r>
            <w:r w:rsidR="006B51C3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zbliżony do</w:t>
            </w: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prostokąta, ukształtowanie terenu płaskie, porośnięta</w:t>
            </w:r>
            <w:r w:rsidR="008A1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nieuporządkowaną roślinnością, w tym trawą</w:t>
            </w:r>
            <w:r w:rsidR="0026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A1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krzewami</w:t>
            </w:r>
            <w:r w:rsidR="00A43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1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drzewami;</w:t>
            </w:r>
          </w:p>
          <w:p w:rsidR="002651F5" w:rsidRPr="00A4365D" w:rsidRDefault="002651F5" w:rsidP="007C2A8B">
            <w:pPr>
              <w:pStyle w:val="Tekstpodstawowy3"/>
              <w:numPr>
                <w:ilvl w:val="0"/>
                <w:numId w:val="2"/>
              </w:numPr>
              <w:suppressAutoHyphens/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A4365D">
              <w:rPr>
                <w:rFonts w:ascii="Times New Roman" w:hAnsi="Times New Roman" w:cs="Times New Roman"/>
                <w:sz w:val="20"/>
              </w:rPr>
              <w:t>działka objęta jest umową dzierżawy z ZKZL Sp. z o.o.,</w:t>
            </w:r>
            <w:r w:rsidRPr="00A4365D">
              <w:rPr>
                <w:rFonts w:ascii="Times New Roman" w:hAnsi="Times New Roman" w:cs="Times New Roman"/>
                <w:color w:val="0070C0"/>
                <w:sz w:val="20"/>
              </w:rPr>
              <w:t xml:space="preserve"> </w:t>
            </w:r>
            <w:r w:rsidRPr="00A4365D">
              <w:rPr>
                <w:rFonts w:ascii="Times New Roman" w:hAnsi="Times New Roman" w:cs="Times New Roman"/>
                <w:sz w:val="20"/>
              </w:rPr>
              <w:t>nr D/51/1031 (ostatnio zmienioną aneksem z dnia 11</w:t>
            </w:r>
            <w:r w:rsidR="00030DCB">
              <w:rPr>
                <w:rFonts w:ascii="Times New Roman" w:hAnsi="Times New Roman" w:cs="Times New Roman"/>
                <w:sz w:val="20"/>
              </w:rPr>
              <w:t xml:space="preserve"> stycznia </w:t>
            </w:r>
            <w:r w:rsidRPr="00A4365D">
              <w:rPr>
                <w:rFonts w:ascii="Times New Roman" w:hAnsi="Times New Roman" w:cs="Times New Roman"/>
                <w:sz w:val="20"/>
              </w:rPr>
              <w:t>2019 r.), zawartą pomiędzy Miastem Poznań a Zarządem Komunalnych Zasobów Lokalowych sp. z o.o. na czas nieoznaczony, obowiązującą od dnia 1</w:t>
            </w:r>
            <w:r w:rsidR="00030DCB">
              <w:rPr>
                <w:rFonts w:ascii="Times New Roman" w:hAnsi="Times New Roman" w:cs="Times New Roman"/>
                <w:sz w:val="20"/>
              </w:rPr>
              <w:t xml:space="preserve"> października </w:t>
            </w:r>
            <w:r w:rsidRPr="00A4365D">
              <w:rPr>
                <w:rFonts w:ascii="Times New Roman" w:hAnsi="Times New Roman" w:cs="Times New Roman"/>
                <w:sz w:val="20"/>
              </w:rPr>
              <w:t>2013 r., przy czym umowa zostanie rozwiązana za porozumieniem stron w stosunku do tej części przedmiotu umowy dzierżawy, co do której nastąpi zbycie, na dzień zbycia tej części przedmiotu umowy dzierżawy;</w:t>
            </w:r>
          </w:p>
          <w:p w:rsidR="000367AC" w:rsidRPr="00584A5F" w:rsidRDefault="006B51C3" w:rsidP="000546D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 pośredni dostęp do drogi publicznej: ul. Czapl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</w:t>
            </w:r>
            <w:r w:rsidR="00447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67AC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poprzez działkę 22/12 o nawierzchni</w:t>
            </w:r>
            <w:r w:rsidR="00B66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0367AC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kostki betonowej</w:t>
            </w:r>
            <w:r w:rsidR="00B66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znajdującą się w administracji </w:t>
            </w:r>
            <w:r w:rsidR="000367AC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Zarządu Dróg M</w:t>
            </w:r>
            <w:r w:rsidR="00B66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iejskich i przeznaczoną</w:t>
            </w:r>
            <w:r w:rsidR="00B66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projekcie opracowywanego</w:t>
            </w:r>
            <w:r w:rsidR="007C2A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66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</w:t>
            </w:r>
            <w:r w:rsidR="007C2A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cowego</w:t>
            </w:r>
            <w:r w:rsidR="00B66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planu zagospodarowania przestrzennego pod drogę wewnętrzną;</w:t>
            </w:r>
          </w:p>
          <w:p w:rsidR="00DA4A0E" w:rsidRPr="00584A5F" w:rsidRDefault="000367AC" w:rsidP="000367A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nieruchomość </w:t>
            </w:r>
            <w:r w:rsidR="00A43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trzech stron </w:t>
            </w: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ogrodzona</w:t>
            </w:r>
            <w:r w:rsidR="00A43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(brak jest ogrodzenia pomiędzy działkami 14/1</w:t>
            </w:r>
            <w:r w:rsidR="00B66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3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14/2),</w:t>
            </w: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części frontowej </w:t>
            </w:r>
            <w:r w:rsidR="00A43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działki, w ogrodzeniu </w:t>
            </w:r>
            <w:r w:rsidR="007C2A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43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siatki handlowej </w:t>
            </w:r>
            <w:r w:rsidR="007C2A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 podmurówce betonowej) </w:t>
            </w: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znajduje się furtka stalowa</w:t>
            </w:r>
            <w:r w:rsidR="00F43C6E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B51C3" w:rsidRPr="002651F5" w:rsidRDefault="00DA4A0E" w:rsidP="00B664D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6B51C3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ąsiedztwo nieruchomości stanowią tereny niezabudowane</w:t>
            </w:r>
            <w:r w:rsidR="0026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47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6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tereny z zabudową jedno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66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26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wielorodzinną oraz </w:t>
            </w:r>
            <w:r w:rsidR="00447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</w:t>
            </w:r>
            <w:r w:rsidR="006B51C3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zabudow</w:t>
            </w:r>
            <w:r w:rsidR="00447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ą </w:t>
            </w:r>
            <w:r w:rsidR="006B51C3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magazynow</w:t>
            </w:r>
            <w:r w:rsidR="00447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ą</w:t>
            </w:r>
            <w:r w:rsidR="0026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945D7" w:rsidRPr="00E945D7">
        <w:tc>
          <w:tcPr>
            <w:tcW w:w="2552" w:type="dxa"/>
          </w:tcPr>
          <w:p w:rsidR="00DA4A0E" w:rsidRPr="000B727E" w:rsidRDefault="00DA4A0E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Przeznaczenie nieruchomości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sposób</w:t>
            </w:r>
          </w:p>
          <w:p w:rsidR="00DA4A0E" w:rsidRPr="00E945D7" w:rsidRDefault="00DA4A0E" w:rsidP="00554647">
            <w:pPr>
              <w:pStyle w:val="Akapitzlist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zagospodarowania</w:t>
            </w:r>
            <w:r w:rsidRPr="00E945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B46DD6" w:rsidRDefault="00B46DD6" w:rsidP="00E21BB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Nieruchomość położona jest na obszarze, na którym nie obowiązuje żaden miejscowy p</w:t>
            </w:r>
            <w:r w:rsidR="00467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zagospodarowania przestrzennego.</w:t>
            </w:r>
            <w:r w:rsidR="00FC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3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 nieruchomości nie zostały wydane decyzje o warunkach zabudowy i zagospodarowania terenu.</w:t>
            </w:r>
          </w:p>
          <w:p w:rsidR="00DA4A0E" w:rsidRDefault="00FC4AEA" w:rsidP="005049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Zgodnie ze</w:t>
            </w:r>
            <w:r w:rsidR="002527BA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527BA" w:rsidRPr="00584A5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Studium uwarunkowań i kierunków zagospodarowania przestrzennego miasta Poznania</w:t>
            </w:r>
            <w:r w:rsidR="002527BA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zatwierdzonego uchwałą Nr LXXII/1137/VI/2014 Rady Miasta Poznania</w:t>
            </w:r>
            <w:r w:rsidR="00E21BB2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dnia 23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21BB2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września 2014</w:t>
            </w:r>
            <w:r w:rsidR="00900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21BB2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 nieruchomość znajduje się na obszarze oznaczonym symbolem</w:t>
            </w:r>
            <w:r w:rsidR="006030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E21BB2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21BB2" w:rsidRPr="00584A5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MN – tereny zabudo</w:t>
            </w:r>
            <w:r w:rsidR="0050490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wy mieszkaniowej jednorodzinnej</w:t>
            </w:r>
            <w:r w:rsidR="00504904" w:rsidRPr="00270EA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r w:rsidR="00504904" w:rsidRPr="005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  <w:r w:rsidR="00E21BB2" w:rsidRPr="005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ako </w:t>
            </w:r>
            <w:r w:rsidR="00504904" w:rsidRPr="005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uzupełniający </w:t>
            </w:r>
            <w:r w:rsidR="00E21BB2" w:rsidRPr="005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kierunek przeznaczenia t</w:t>
            </w:r>
            <w:r w:rsidR="00504904" w:rsidRPr="005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erenów MN </w:t>
            </w:r>
            <w:r w:rsidR="00504904" w:rsidRPr="0050490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Studium</w:t>
            </w:r>
            <w:r w:rsidR="00504904" w:rsidRPr="005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wskazuje</w:t>
            </w:r>
            <w:r w:rsidR="005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50490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E21BB2" w:rsidRPr="00584A5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zabudow</w:t>
            </w:r>
            <w:r w:rsidR="0050490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ę</w:t>
            </w:r>
            <w:r w:rsidR="00E21BB2" w:rsidRPr="00584A5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usługow</w:t>
            </w:r>
            <w:r w:rsidR="0050490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ą</w:t>
            </w:r>
            <w:r w:rsidR="00E21BB2" w:rsidRPr="00584A5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towarzysząc</w:t>
            </w:r>
            <w:r w:rsidR="0050490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ą</w:t>
            </w:r>
            <w:r w:rsidR="00E21BB2" w:rsidRPr="00584A5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zabudowie mieszkaniowej, zieleń (np.: parki, skwery, tereny sportu i rekreacji, tereny komunikacji i infrastruktury technicznej).</w:t>
            </w:r>
          </w:p>
          <w:p w:rsidR="00A23CF7" w:rsidRDefault="00504904" w:rsidP="009F0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00D">
              <w:rPr>
                <w:rFonts w:ascii="Times New Roman" w:hAnsi="Times New Roman" w:cs="Times New Roman"/>
                <w:sz w:val="20"/>
                <w:szCs w:val="20"/>
              </w:rPr>
              <w:t>Powyższe potwierdził Wydział Urbanistyki i Architektury Urzędu Miasta Poznania w piśmie</w:t>
            </w:r>
            <w:r w:rsidR="009F0C8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300D">
              <w:rPr>
                <w:rFonts w:ascii="Times New Roman" w:hAnsi="Times New Roman" w:cs="Times New Roman"/>
                <w:sz w:val="20"/>
                <w:szCs w:val="20"/>
              </w:rPr>
              <w:t>nr UA-IV.6724.2227.2019 z dnia 21 listopada</w:t>
            </w:r>
            <w:r w:rsidR="0060300D" w:rsidRPr="0060300D">
              <w:rPr>
                <w:rFonts w:ascii="Times New Roman" w:hAnsi="Times New Roman" w:cs="Times New Roman"/>
                <w:sz w:val="20"/>
                <w:szCs w:val="20"/>
              </w:rPr>
              <w:t xml:space="preserve"> 2019 r. skorygowanym pismem </w:t>
            </w:r>
            <w:r w:rsidR="00A23CF7" w:rsidRPr="0060300D">
              <w:rPr>
                <w:rFonts w:ascii="Times New Roman" w:hAnsi="Times New Roman" w:cs="Times New Roman"/>
                <w:sz w:val="20"/>
                <w:szCs w:val="20"/>
              </w:rPr>
              <w:t>o tym samym numerze</w:t>
            </w:r>
            <w:r w:rsidR="00A23C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300D" w:rsidRPr="0060300D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A23CF7">
              <w:rPr>
                <w:rFonts w:ascii="Times New Roman" w:hAnsi="Times New Roman" w:cs="Times New Roman"/>
                <w:sz w:val="20"/>
                <w:szCs w:val="20"/>
              </w:rPr>
              <w:t xml:space="preserve">dnia </w:t>
            </w:r>
            <w:r w:rsidR="0060300D" w:rsidRPr="0060300D">
              <w:rPr>
                <w:rFonts w:ascii="Times New Roman" w:hAnsi="Times New Roman" w:cs="Times New Roman"/>
                <w:sz w:val="20"/>
                <w:szCs w:val="20"/>
              </w:rPr>
              <w:t>29 listopada 2019</w:t>
            </w:r>
            <w:r w:rsidR="000F5A78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A23C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4904" w:rsidRPr="0060300D" w:rsidRDefault="00AE1E88" w:rsidP="00504904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Natomiast a</w:t>
            </w:r>
            <w:r w:rsidR="00A23CF7">
              <w:rPr>
                <w:rFonts w:ascii="Times New Roman" w:hAnsi="Times New Roman" w:cs="Times New Roman"/>
                <w:sz w:val="20"/>
                <w:szCs w:val="20"/>
              </w:rPr>
              <w:t>ktualność ww. pism</w:t>
            </w:r>
            <w:r w:rsidR="00504904" w:rsidRPr="0060300D">
              <w:rPr>
                <w:rFonts w:ascii="Times New Roman" w:hAnsi="Times New Roman" w:cs="Times New Roman"/>
                <w:sz w:val="20"/>
                <w:szCs w:val="20"/>
              </w:rPr>
              <w:t xml:space="preserve"> Wydział potwierdził pismem </w:t>
            </w:r>
            <w:r w:rsidR="00A23CF7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A23CF7" w:rsidRPr="0060300D">
              <w:rPr>
                <w:rFonts w:ascii="Times New Roman" w:hAnsi="Times New Roman" w:cs="Times New Roman"/>
                <w:sz w:val="20"/>
                <w:szCs w:val="20"/>
              </w:rPr>
              <w:t xml:space="preserve">UA-IV.6724.2227.2019 </w:t>
            </w:r>
            <w:r w:rsidR="00504904" w:rsidRPr="0060300D">
              <w:rPr>
                <w:rFonts w:ascii="Times New Roman" w:hAnsi="Times New Roman" w:cs="Times New Roman"/>
                <w:sz w:val="20"/>
                <w:szCs w:val="20"/>
              </w:rPr>
              <w:t xml:space="preserve">z dnia </w:t>
            </w:r>
            <w:r w:rsidR="0060300D" w:rsidRPr="0060300D">
              <w:rPr>
                <w:rFonts w:ascii="Times New Roman" w:hAnsi="Times New Roman" w:cs="Times New Roman"/>
                <w:sz w:val="20"/>
                <w:szCs w:val="20"/>
              </w:rPr>
              <w:t>9 lutego 2021 r.</w:t>
            </w:r>
          </w:p>
          <w:p w:rsidR="00DA4A0E" w:rsidRDefault="00485356" w:rsidP="00BA2F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Ponadto</w:t>
            </w:r>
            <w:r w:rsidR="00AA1A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nieruchomość znajduje się na terenie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A1A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dla którego opracowywany jest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21BB2"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miejscowy plan z</w:t>
            </w:r>
            <w:r w:rsidR="00FC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agospodarowania przestrzennego „</w:t>
            </w:r>
            <w:r w:rsidR="00E21BB2"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Rejon ulic Szelągowskiej i Wilczak”</w:t>
            </w:r>
            <w:r w:rsidR="00AA1A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Poznaniu, </w:t>
            </w:r>
            <w:r w:rsidR="00E21BB2"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wywo</w:t>
            </w:r>
            <w:r w:rsidR="00CB6F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łany uchwałą </w:t>
            </w:r>
            <w:r w:rsidR="00BA2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Nr </w:t>
            </w:r>
            <w:r w:rsidR="00CB6F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XLVII/809/VII/2017</w:t>
            </w:r>
            <w:r w:rsidR="00BA2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A2F47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Rady Miasta Poznania</w:t>
            </w:r>
            <w:r w:rsidR="00CB6F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dnia 25 kwietnia 2017 r.</w:t>
            </w:r>
            <w:r w:rsidR="00BA2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co potwierdziła</w:t>
            </w:r>
            <w:r w:rsidR="00FC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Miejska Pracownia Urbanistyczna w piśmie nr MPU-Z3/5041-1211</w:t>
            </w:r>
            <w:r w:rsidR="00467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FC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</w:t>
            </w:r>
            <w:proofErr w:type="spellEnd"/>
            <w:r w:rsidR="00FC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/19</w:t>
            </w:r>
            <w:r w:rsidR="007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FC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dnia </w:t>
            </w:r>
            <w:r w:rsidR="00BA2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lutego </w:t>
            </w:r>
            <w:r w:rsidR="00FC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A2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  <w:r w:rsidR="00FC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C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A2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jednocześnie informując, że </w:t>
            </w:r>
            <w:r w:rsidR="00FC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(…) </w:t>
            </w:r>
            <w:r w:rsidR="003C24D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na obecnym etapie prac projektowych </w:t>
            </w:r>
            <w:r w:rsidR="00BA2F47" w:rsidRPr="00BA2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="00BA2F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działka</w:t>
            </w:r>
            <w:r w:rsidR="00FC4AE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14/2 </w:t>
            </w:r>
            <w:r w:rsidR="00BA2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="00FC4AE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znajduje się na terenie oznaczonym symbolem </w:t>
            </w:r>
            <w:r w:rsidR="00FC4AEA" w:rsidRPr="00BA2F4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1MN</w:t>
            </w:r>
            <w:r w:rsidR="00FC4AE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tj. teren zabudowy mieszkaniowej jednorodzinnej.</w:t>
            </w:r>
            <w:r w:rsidR="00B804A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467B58" w:rsidRPr="00467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</w:p>
          <w:p w:rsidR="00BA2F47" w:rsidRDefault="00BA2F47" w:rsidP="00BA2F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40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Ponieważ projekt planu „Rejon ulic Szelągowskiej i Wilczak” nie przeszedł procedury formalno-prawnej jego ustalenia mogą ulec zmianom.</w:t>
            </w:r>
            <w:r w:rsidR="0073340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73340E" w:rsidRPr="007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</w:p>
          <w:p w:rsidR="0073340E" w:rsidRPr="00B11B04" w:rsidRDefault="0073340E" w:rsidP="00BA2F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9D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Projekt  planu znajduje się na etapie przygotowania pro</w:t>
            </w:r>
            <w:r w:rsidR="00A769D3" w:rsidRPr="00A769D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</w:t>
            </w:r>
            <w:r w:rsidRPr="00A769D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</w:t>
            </w:r>
            <w:r w:rsidR="00A769D3" w:rsidRPr="00A769D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</w:t>
            </w:r>
            <w:r w:rsidRPr="00A769D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 do kolejnego etapu procedury planistycznej tj. opiniowanie i uzgadnianie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(…) </w:t>
            </w:r>
            <w:r w:rsidRPr="00A769D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obecnie trudno precyzyjnie określić termin skierowania planu do kolejnego etapu procedury planistycznej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76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(…)</w:t>
            </w:r>
          </w:p>
        </w:tc>
      </w:tr>
      <w:tr w:rsidR="00E945D7" w:rsidRPr="00E945D7" w:rsidTr="005C1716">
        <w:trPr>
          <w:trHeight w:val="381"/>
        </w:trPr>
        <w:tc>
          <w:tcPr>
            <w:tcW w:w="2552" w:type="dxa"/>
          </w:tcPr>
          <w:p w:rsidR="00DA4A0E" w:rsidRPr="00DE2880" w:rsidRDefault="00DA4A0E" w:rsidP="000546D4">
            <w:pPr>
              <w:pStyle w:val="Akapitzlist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 i tryb zbycia</w:t>
            </w:r>
          </w:p>
        </w:tc>
        <w:tc>
          <w:tcPr>
            <w:tcW w:w="7938" w:type="dxa"/>
          </w:tcPr>
          <w:p w:rsidR="00DA4A0E" w:rsidRPr="00DE2880" w:rsidRDefault="00DA4A0E" w:rsidP="005C1716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Sprzedaż w trybie przetargu ustnego nieograniczonego</w:t>
            </w:r>
          </w:p>
        </w:tc>
      </w:tr>
      <w:tr w:rsidR="00E945D7" w:rsidRPr="00E945D7">
        <w:tc>
          <w:tcPr>
            <w:tcW w:w="2552" w:type="dxa"/>
          </w:tcPr>
          <w:p w:rsidR="00DA4A0E" w:rsidRPr="00B11B04" w:rsidRDefault="00DA4A0E" w:rsidP="000546D4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Cena nieruchomości</w:t>
            </w:r>
          </w:p>
        </w:tc>
        <w:tc>
          <w:tcPr>
            <w:tcW w:w="7938" w:type="dxa"/>
          </w:tcPr>
          <w:p w:rsidR="00DA4A0E" w:rsidRPr="00B11B04" w:rsidRDefault="00B11B04" w:rsidP="00B11B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="00CB6F22" w:rsidRPr="00B11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DA4A0E" w:rsidRPr="00B11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000,– zł</w:t>
            </w:r>
            <w:r w:rsidR="00DA4A0E" w:rsidRPr="00B11B04">
              <w:rPr>
                <w:rFonts w:ascii="Times New Roman" w:hAnsi="Times New Roman" w:cs="Times New Roman"/>
                <w:sz w:val="20"/>
                <w:szCs w:val="20"/>
              </w:rPr>
              <w:t xml:space="preserve"> (słownie: </w:t>
            </w:r>
            <w:r w:rsidRPr="00B11B04">
              <w:rPr>
                <w:rFonts w:ascii="Times New Roman" w:hAnsi="Times New Roman" w:cs="Times New Roman"/>
                <w:sz w:val="20"/>
                <w:szCs w:val="20"/>
              </w:rPr>
              <w:t>czterysta osiemdziesiąt</w:t>
            </w:r>
            <w:r w:rsidR="00CB6F22" w:rsidRPr="00B11B04">
              <w:rPr>
                <w:rFonts w:ascii="Times New Roman" w:hAnsi="Times New Roman" w:cs="Times New Roman"/>
                <w:sz w:val="20"/>
                <w:szCs w:val="20"/>
              </w:rPr>
              <w:t xml:space="preserve"> tysięcy złotych</w:t>
            </w:r>
            <w:r w:rsidR="00DA4A0E" w:rsidRPr="00B11B04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 w:rsidR="00CB6F22" w:rsidRPr="00B11B04">
              <w:rPr>
                <w:rFonts w:ascii="Times New Roman" w:hAnsi="Times New Roman" w:cs="Times New Roman"/>
                <w:sz w:val="20"/>
                <w:szCs w:val="20"/>
              </w:rPr>
              <w:t>zwolnienie z</w:t>
            </w:r>
            <w:r w:rsidR="00DA4A0E" w:rsidRPr="00B11B04">
              <w:rPr>
                <w:rFonts w:ascii="Times New Roman" w:hAnsi="Times New Roman" w:cs="Times New Roman"/>
                <w:sz w:val="20"/>
                <w:szCs w:val="20"/>
              </w:rPr>
              <w:t xml:space="preserve"> podatku VAT</w:t>
            </w:r>
          </w:p>
        </w:tc>
      </w:tr>
      <w:tr w:rsidR="00E945D7" w:rsidRPr="00E945D7">
        <w:tc>
          <w:tcPr>
            <w:tcW w:w="2552" w:type="dxa"/>
          </w:tcPr>
          <w:p w:rsidR="00DA4A0E" w:rsidRPr="00DE2880" w:rsidRDefault="00DA4A0E" w:rsidP="000546D4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Termin płatności</w:t>
            </w:r>
          </w:p>
        </w:tc>
        <w:tc>
          <w:tcPr>
            <w:tcW w:w="7938" w:type="dxa"/>
          </w:tcPr>
          <w:p w:rsidR="00DA4A0E" w:rsidRPr="00DE2880" w:rsidRDefault="00DA4A0E" w:rsidP="0055464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E945D7" w:rsidRPr="00E945D7" w:rsidTr="005C1716">
        <w:tc>
          <w:tcPr>
            <w:tcW w:w="2552" w:type="dxa"/>
            <w:tcBorders>
              <w:bottom w:val="double" w:sz="4" w:space="0" w:color="auto"/>
            </w:tcBorders>
          </w:tcPr>
          <w:p w:rsidR="00DA4A0E" w:rsidRPr="00FA5DDB" w:rsidRDefault="00DA4A0E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Informacje dodatkowe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:rsidR="00DA4A0E" w:rsidRPr="00DE2880" w:rsidRDefault="00DA4A0E" w:rsidP="005C17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Nabywca nieruchomości ponosi koszty notarialne i sądowe</w:t>
            </w: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których wysokość określi notariusz.</w:t>
            </w:r>
          </w:p>
          <w:p w:rsidR="00DA4A0E" w:rsidRPr="00DE2880" w:rsidRDefault="00A457F3" w:rsidP="005C1716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</w:t>
            </w:r>
            <w:r w:rsidRPr="00A457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 nabywcy spoczywa obowiązek podatkowy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podatku od nieruchomości wynikający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z ustawy z dnia 12 stycznia 1991 r. o podatkach i opłatach lokalnych (Dz. U. z 2019 r. poz. 1170 ze zm.) </w:t>
            </w:r>
            <w:r w:rsidRPr="00A457F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lub w przypadku użytków rolnych obowiązek podatkowy w podatku rolnym wynikający z ustawy z dnia 15 listopada 1984 r. o podatku rolnym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457F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(Dz. U. z 2020 r. poz. 333 ze zm.).</w:t>
            </w:r>
          </w:p>
          <w:p w:rsidR="00DA4A0E" w:rsidRPr="00DE2880" w:rsidRDefault="00DA4A0E" w:rsidP="000546D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wniosek zainteresowanego inwestora:</w:t>
            </w:r>
          </w:p>
          <w:p w:rsidR="00DA4A0E" w:rsidRPr="00DE2880" w:rsidRDefault="00DA4A0E" w:rsidP="005C17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szczegółowe informacje o zapisach</w:t>
            </w:r>
            <w:r w:rsidR="00B804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 Studium</w:t>
            </w: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formie wypisu i wyrysu można uzyskać w Miejskiej Pracowni Urbanistycznej lub w formie informacji o</w:t>
            </w:r>
            <w:r w:rsidR="00B804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kierunkach zagospodarowania przestrzennego terenu w Studium, </w:t>
            </w: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sporządzonej przez Wydział Urbanistyki i Architektury Urzędu Miasta Poznania;</w:t>
            </w:r>
          </w:p>
          <w:p w:rsidR="00DA4A0E" w:rsidRPr="00DE2880" w:rsidRDefault="00DA4A0E" w:rsidP="005C17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szczegółowe informacje o istniejącym uzbrojeniu i </w:t>
            </w:r>
            <w:r w:rsidR="00B804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możliwości (lub </w:t>
            </w:r>
            <w:r w:rsidR="00A457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jej </w:t>
            </w:r>
            <w:r w:rsidR="00B804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braku</w:t>
            </w: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przyłączenia się do istniejących mediów </w:t>
            </w:r>
            <w:r w:rsid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określają</w:t>
            </w: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poszczególni gestorzy sieci przesyłowych;</w:t>
            </w:r>
          </w:p>
          <w:p w:rsidR="00DA4A0E" w:rsidRPr="00A457F3" w:rsidRDefault="00DA4A0E" w:rsidP="005C1716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573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obsługę komunikacyjną terenu oraz warunki dostępu do drogi publicznej </w:t>
            </w:r>
            <w:r w:rsid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</w:t>
            </w: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Zarząd Dróg Miejskich.</w:t>
            </w:r>
          </w:p>
          <w:p w:rsidR="00DA4A0E" w:rsidRPr="00A457F3" w:rsidRDefault="00DA4A0E" w:rsidP="005C1716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7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Kwestię usunięcia drzew i krzewów z terenu nieruchomości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regulują przepisy ustawy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z dnia 16 kwietnia 2004 r. o </w:t>
            </w:r>
            <w:r w:rsidR="00B804A7"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ochronie przyrody (Dz. U. z 2020 r. poz. 55</w:t>
            </w:r>
            <w:r w:rsidR="00A457F3"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ze zm.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  <w:p w:rsidR="00DA4A0E" w:rsidRPr="00A457F3" w:rsidRDefault="00DA4A0E" w:rsidP="005C1716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7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Kwestię własności urządzeń podziemnych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reguluje art. 49 </w:t>
            </w:r>
            <w:r w:rsidR="00B804A7"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Kodeksu cywilnego (Dz. U.</w:t>
            </w:r>
            <w:r w:rsidR="00B804A7"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2020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poz</w:t>
            </w:r>
            <w:r w:rsidR="00B804A7"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1740</w:t>
            </w:r>
            <w:r w:rsidR="00A457F3"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ze zm.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a kwestię ustanowienia służebności </w:t>
            </w:r>
            <w:proofErr w:type="spellStart"/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przesyłu</w:t>
            </w:r>
            <w:proofErr w:type="spellEnd"/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rzecz gestorów sieci regulują art. 305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-305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  <w:r w:rsidRPr="00A45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Kodeksu cywilnego. </w:t>
            </w:r>
          </w:p>
          <w:p w:rsidR="00A457F3" w:rsidRPr="00A457F3" w:rsidRDefault="00A457F3" w:rsidP="005C1716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457F3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Kwestię</w:t>
            </w:r>
            <w:r w:rsidRPr="00A457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wyłączenia gruntów z produkcji rolniczej lub leśnej </w:t>
            </w:r>
            <w:r w:rsidRPr="00A457F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regulują przepisy ustawy</w:t>
            </w:r>
            <w:r w:rsidRPr="00A457F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z dnia 3 lutego 1995 r. o ochronie gruntów rolnych i leśnych (Dz. U. z 2017 r. poz. 1161 ze zm.).</w:t>
            </w:r>
          </w:p>
          <w:p w:rsidR="00B804A7" w:rsidRPr="000B727E" w:rsidRDefault="00DA4A0E" w:rsidP="005C17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B7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Aquanet</w:t>
            </w:r>
            <w:proofErr w:type="spellEnd"/>
            <w:r w:rsidRPr="000B7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</w:t>
            </w:r>
            <w:r w:rsidR="00853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.A.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pismem nr DW/IBM/</w:t>
            </w:r>
            <w:r w:rsidR="00B804A7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B804A7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1729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</w:t>
            </w:r>
            <w:r w:rsidR="00B804A7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853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dnia </w:t>
            </w:r>
            <w:r w:rsidR="00B804A7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stycznia 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804A7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</w:t>
            </w:r>
            <w:r w:rsidR="00AE5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dotyczącym nieruchomości położonej w rejonie ul. Czap</w:t>
            </w:r>
            <w:r w:rsidR="00853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</w:t>
            </w:r>
            <w:r w:rsidR="00AE5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E5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53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AE5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</w:t>
            </w:r>
            <w:proofErr w:type="spellEnd"/>
            <w:r w:rsidR="00AE5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Winiary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E5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ark. 26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E5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działka 14/2 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poinformowała m.in., że</w:t>
            </w:r>
            <w:r w:rsidR="00B804A7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(…) </w:t>
            </w:r>
          </w:p>
          <w:p w:rsidR="00B804A7" w:rsidRPr="000B727E" w:rsidRDefault="00B804A7" w:rsidP="00B804A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0B727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u w:val="single"/>
              </w:rPr>
              <w:t>Odnośnie zapytania czy na wysokości przedmiotowej działki istnieje sieć wodociągowa:</w:t>
            </w:r>
          </w:p>
          <w:p w:rsidR="002D6F1C" w:rsidRPr="000B727E" w:rsidRDefault="002D6F1C" w:rsidP="00B804A7">
            <w:pPr>
              <w:pStyle w:val="Akapitzlist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 wysokości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przedmiotowej działki nr geod. 14/2, w ul. Czapla brak sieci wodociągowej umożliwiającej zaopatrzenie w wodę planowanej zabudowy na terenie ww. działki.</w:t>
            </w:r>
          </w:p>
          <w:p w:rsidR="002D6F1C" w:rsidRPr="000B727E" w:rsidRDefault="002D6F1C" w:rsidP="00B804A7">
            <w:pPr>
              <w:pStyle w:val="Akapitzlist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Zaopatrzenie w wodę działki nr geod. 14/2 będzie m</w:t>
            </w:r>
            <w:r w:rsidR="00AE52B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ożliwe po wymianie i pobudowaniu</w:t>
            </w:r>
            <w:r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następującego uzbrojenia:</w:t>
            </w:r>
          </w:p>
          <w:p w:rsidR="002D6F1C" w:rsidRPr="000B727E" w:rsidRDefault="00AE52BE" w:rsidP="002D6F1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</w:t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okonaniu wymiany istniejącego wodociągu o średnicy 100 mm w ulicy Ugory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(</w:t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oznaczonej wg „Miejscowego planu zagospodarowania przestrzennego „Wilczak- </w:t>
            </w:r>
            <w:r w:rsidR="00467B5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Czapla” w Poznaniu jako 3-K</w:t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Dd) oraz w ulicy Czap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la (oznaczonej w MPZP jako 2-KD</w:t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d), na wodociąg o średnicy 150 mm, na długości ok. 205 m, na odcinku od istniejącego wodociągu o średnicy 150 mm z rur żeliwnych w ulicy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Ugory na wysokości posesji nr </w:t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</w:t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do krzyżujących się dwóch odcinków ulicy Czapla,</w:t>
            </w:r>
          </w:p>
          <w:p w:rsidR="002D6F1C" w:rsidRPr="000B727E" w:rsidRDefault="00AE52BE" w:rsidP="002D6F1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</w:t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ybudowaniu sieci wodociągowej o średnicy 150 mm, na długości ok. 95 m,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ulicy Czapl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</w:t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na odcinku od projektowanej sieci wodociągowej o średnicy DN 150 mm w ul. Czapla, o której</w:t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jest mowa w pkt a) powyżej do wysokości umożliwiającej prostopadłe podłączenie do działki nr geod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14/2,</w:t>
            </w:r>
          </w:p>
          <w:p w:rsidR="002D6F1C" w:rsidRPr="000B727E" w:rsidRDefault="00AE52BE" w:rsidP="002D6F1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rzyłącza wodociągowego do ww. działki w nawiązaniu do wymienionej w punkcie b) sieci wodociągowej.</w:t>
            </w:r>
          </w:p>
          <w:p w:rsidR="00F33AD7" w:rsidRPr="000B727E" w:rsidRDefault="00AE52BE" w:rsidP="00AE52BE">
            <w:pPr>
              <w:pStyle w:val="Akapitzlist"/>
              <w:spacing w:after="0" w:line="240" w:lineRule="auto"/>
              <w:ind w:left="71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Budowa sieci wodociągowe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 której jest mowa w pkt a) oraz b) powyżej nie jest ujęta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="002D6F1C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obecnie obowiązującym Wieloletnim Planie Rozwoju i Modernizacji Urządzeń</w:t>
            </w:r>
            <w:r w:rsidR="00F33AD7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Wodociągowych i Urządzeń Kanalizacyjnych będący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</w:t>
            </w:r>
            <w:r w:rsidR="00F33AD7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w posiadaniu AQUANET SA na lata 2018-2027.</w:t>
            </w:r>
          </w:p>
          <w:p w:rsidR="00683D90" w:rsidRPr="000B727E" w:rsidRDefault="00683D90" w:rsidP="00F33AD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u w:val="single"/>
              </w:rPr>
              <w:t xml:space="preserve">Odnośnie zapytania czy na wysokości przedmiotowej działki </w:t>
            </w:r>
            <w:r w:rsidR="00060F7F" w:rsidRPr="000B727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u w:val="single"/>
              </w:rPr>
              <w:t>istnieje</w:t>
            </w:r>
            <w:r w:rsidRPr="000B727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u w:val="single"/>
              </w:rPr>
              <w:t xml:space="preserve"> sieć kanalizacji sanitarnej:</w:t>
            </w:r>
          </w:p>
          <w:p w:rsidR="00683D90" w:rsidRPr="000B727E" w:rsidRDefault="00683D90" w:rsidP="00AE52BE">
            <w:pPr>
              <w:pStyle w:val="Akapitzlist"/>
              <w:spacing w:after="0" w:line="240" w:lineRule="auto"/>
              <w:ind w:left="71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 wysokości przedmiotowej działki nr geod. 14/2, w ul. Czapla brak sieci kanalizacji sanitarnej umożliwiającej odprowadzenie ścieków bytowych z planowanej zabudowy na terenie ww. działki.</w:t>
            </w:r>
          </w:p>
          <w:p w:rsidR="00683D90" w:rsidRPr="000B727E" w:rsidRDefault="00683D90" w:rsidP="00AE52BE">
            <w:pPr>
              <w:pStyle w:val="Akapitzlist"/>
              <w:spacing w:after="0" w:line="240" w:lineRule="auto"/>
              <w:ind w:left="71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Odprowadzanie ścieków bytowych z działki nr geod. 14/2 będzie możliwe po wybudowaniu następującego uzbrojenia:</w:t>
            </w:r>
          </w:p>
          <w:p w:rsidR="00683D90" w:rsidRPr="000B727E" w:rsidRDefault="00AE52BE" w:rsidP="00AE52BE">
            <w:pPr>
              <w:pStyle w:val="Akapitzlist"/>
              <w:numPr>
                <w:ilvl w:val="0"/>
                <w:numId w:val="18"/>
              </w:numPr>
              <w:tabs>
                <w:tab w:val="left" w:pos="997"/>
              </w:tabs>
              <w:spacing w:after="0" w:line="240" w:lineRule="auto"/>
              <w:ind w:left="997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</w:t>
            </w:r>
            <w:r w:rsidR="00683D90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ieci kanalizacji sanitarnej o średnicy DN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83D90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 mm w ulicy Czapla (oznaczonej wg „Miejscowego planu zagospodarowania przestrzennego „Wilczak-Czapla”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="00683D90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w Poznaniu jako 2-KDd), na długości ok. 100 m, na odcinku od istniejącej sieci kanalizacji sanitarnej o średnicy 200 mm z rur kamionkowych zlokalizowanej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="00683D90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ulicy Ugory (od studzienki kanalizacyjnej o rzędnej dna 66,48 m n.p.m.) do wysokości krzyżujących się dwóch odcinków ulicy Czapla;</w:t>
            </w:r>
          </w:p>
          <w:p w:rsidR="00683D90" w:rsidRPr="000B727E" w:rsidRDefault="00AE52BE" w:rsidP="00AE52BE">
            <w:pPr>
              <w:pStyle w:val="Akapitzlist"/>
              <w:numPr>
                <w:ilvl w:val="0"/>
                <w:numId w:val="18"/>
              </w:numPr>
              <w:tabs>
                <w:tab w:val="left" w:pos="997"/>
              </w:tabs>
              <w:spacing w:after="0" w:line="240" w:lineRule="auto"/>
              <w:ind w:left="997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</w:t>
            </w:r>
            <w:r w:rsidR="00683D90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ieci kanalizacji sanitarnej o średnicy DN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83D90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83D90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mm w ulicy Czapla na długości ok.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83D90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 m, na odcinku od projektowanej sieci kanalizacyjnej o średnicy DN 200 mm w ulicy Czapl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</w:t>
            </w:r>
            <w:r w:rsidR="00683D90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o której 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jest </w:t>
            </w:r>
            <w:r w:rsidR="00683D90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mowa w pkt a) powyżej do wysokości umożliwiającej po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dłączenie działki nr geod. 14/2;</w:t>
            </w:r>
          </w:p>
          <w:p w:rsidR="00F9274B" w:rsidRPr="000B727E" w:rsidRDefault="00AE52BE" w:rsidP="00AE52BE">
            <w:pPr>
              <w:pStyle w:val="Akapitzlist"/>
              <w:numPr>
                <w:ilvl w:val="0"/>
                <w:numId w:val="18"/>
              </w:numPr>
              <w:tabs>
                <w:tab w:val="left" w:pos="997"/>
              </w:tabs>
              <w:spacing w:after="0" w:line="240" w:lineRule="auto"/>
              <w:ind w:left="997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="00683D90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rzyłącza </w:t>
            </w:r>
            <w:r w:rsidR="00F9274B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kanalizacyjnego do ww. działki w nawiązaniu do wymienionej w punkcie b) sieci kanalizacyjnej.</w:t>
            </w:r>
          </w:p>
          <w:p w:rsidR="00F9274B" w:rsidRPr="000B727E" w:rsidRDefault="00F9274B" w:rsidP="00AE52BE">
            <w:pPr>
              <w:pStyle w:val="Akapitzlist"/>
              <w:spacing w:after="0" w:line="240" w:lineRule="auto"/>
              <w:ind w:left="71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Bud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owa sieci kanalizacji sanitarne</w:t>
            </w:r>
            <w:r w:rsidR="00467B5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 której mowa w pkt a) oraz b) powyżej nie jest ujęta w obecnie obowiązującym Wieloletnim Planie Rozwoju i Modernizacji Urządzeń Wodociągowych i 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</w:t>
            </w:r>
            <w:r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rządzeń Kanalizacyjnych będący</w:t>
            </w:r>
            <w:r w:rsidR="0088676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</w:t>
            </w:r>
            <w:r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w posiadaniu AQUANET SA na lata 2018-2027.</w:t>
            </w:r>
          </w:p>
          <w:p w:rsidR="00F9274B" w:rsidRPr="000B727E" w:rsidRDefault="00F9274B" w:rsidP="00F9274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u w:val="single"/>
              </w:rPr>
              <w:t>Odnośnie zapytania czy na przedmiotowej nieruchomości przebiega infrastruktura będąca własnością AQUANET SA:</w:t>
            </w:r>
          </w:p>
          <w:p w:rsidR="00060F7F" w:rsidRDefault="00060F7F" w:rsidP="00853B5A">
            <w:pPr>
              <w:pStyle w:val="Akapitzlist"/>
              <w:spacing w:after="0" w:line="240" w:lineRule="auto"/>
              <w:ind w:left="71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 terenie przedmiotowej działki nr geod. 14/2 brak sieci wodociągowej i kanalizacji sanitarnej będącej własnością i w eksploatacji AQUANET SA.</w:t>
            </w:r>
          </w:p>
          <w:p w:rsidR="00853B5A" w:rsidRPr="000B727E" w:rsidRDefault="00853B5A" w:rsidP="00853B5A">
            <w:pPr>
              <w:pStyle w:val="Akapitzlist"/>
              <w:spacing w:after="0" w:line="240" w:lineRule="auto"/>
              <w:ind w:left="71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DA4A0E" w:rsidRPr="000B727E" w:rsidRDefault="00060F7F" w:rsidP="00853B5A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Możliwości podłączenia do sieci wodociągowej i kanalizacyjnej zabudowy planowanej na terenie ww. nieruchomości zostaną określone w formie opinii po podaniu przez inwestora zapotrzebowania wody i ilości odprowadzanych ścieków oraz planowanego rodzaju zabudowy.</w:t>
            </w:r>
          </w:p>
          <w:p w:rsidR="00437101" w:rsidRPr="00584A5F" w:rsidRDefault="00437101" w:rsidP="00F9274B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Aktualność ww. pisma Spółk</w:t>
            </w:r>
            <w:r w:rsidR="00CB6F22" w:rsidRPr="00584A5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a potwierdziła pismem nr </w:t>
            </w:r>
            <w:r w:rsidR="00CB6F22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DW/IBM/093/88605/2020 </w:t>
            </w:r>
            <w:r w:rsidR="00CB6F22" w:rsidRPr="00584A5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 dnia</w:t>
            </w:r>
            <w:r w:rsidR="00853B5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br/>
            </w:r>
            <w:r w:rsidR="00CB6F22" w:rsidRPr="00584A5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 listopada 2020</w:t>
            </w:r>
            <w:r w:rsidR="00853B5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CB6F22" w:rsidRPr="00584A5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r.</w:t>
            </w:r>
          </w:p>
          <w:p w:rsidR="00437101" w:rsidRPr="0050221D" w:rsidRDefault="00437101" w:rsidP="00F9274B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DA4A0E" w:rsidRPr="00E945D7" w:rsidRDefault="00DA4A0E" w:rsidP="00E7285A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22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Enea Operator sp. z o.o.</w:t>
            </w:r>
            <w:r w:rsidR="00F07DD9" w:rsidRPr="00502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pismem nr OD5/MU1/K/2019/734 z dnia 19</w:t>
            </w:r>
            <w:r w:rsidR="009E1D62" w:rsidRPr="00502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07DD9" w:rsidRPr="00502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grudnia</w:t>
            </w:r>
            <w:r w:rsidR="009E1D62" w:rsidRPr="00502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07DD9" w:rsidRPr="00502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r.</w:t>
            </w:r>
            <w:r w:rsidRPr="00502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3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dotyczącym nieruchomości położonej w rejonie ul. Czapl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</w:t>
            </w:r>
            <w:r w:rsidR="00863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863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3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863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Winiary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63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ark. 26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638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działka 14/2 </w:t>
            </w:r>
            <w:r w:rsidRPr="00502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poinformowała m.in., że (…) </w:t>
            </w:r>
            <w:r w:rsidR="00F07DD9" w:rsidRPr="005022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 ww. działce gruntu nie znajdują się urządzenia elektroenergetyczne</w:t>
            </w:r>
            <w:r w:rsidR="00F07DD9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będące częścią majątku naszej Spółki. Dodatkowo informujemy, że</w:t>
            </w:r>
            <w:r w:rsidR="008638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="00F07DD9" w:rsidRPr="000B7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w pobliżu ww. działki </w:t>
            </w:r>
            <w:r w:rsidR="00F07DD9" w:rsidRPr="00FA5D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znajduje się linia kablowa nn-0,4kV typu YAKY 4x70mm</w:t>
            </w:r>
            <w:r w:rsidR="00F07DD9" w:rsidRPr="00FA5D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="00F07DD9" w:rsidRPr="00FA5D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która nie ogranicza możliwości </w:t>
            </w:r>
            <w:r w:rsidR="005D4AE1" w:rsidRPr="00FA5D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zabudowy/korzystania z przedmiotowej nieruchomości. </w:t>
            </w:r>
          </w:p>
          <w:p w:rsidR="005D240E" w:rsidRPr="00D35C05" w:rsidRDefault="005D240E" w:rsidP="005D240E">
            <w:pPr>
              <w:spacing w:line="240" w:lineRule="auto"/>
              <w:ind w:left="323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Aktualność ww. pisma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Społka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potwierdziła pismem nr OD5/MU1/K/2019/734 z dnia 29</w:t>
            </w:r>
            <w:r w:rsidR="008916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października 2020 r.</w:t>
            </w:r>
          </w:p>
          <w:p w:rsidR="00D44A16" w:rsidRDefault="009E1D62" w:rsidP="00D44A16">
            <w:pPr>
              <w:spacing w:line="240" w:lineRule="auto"/>
              <w:ind w:left="32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Zgodnie ze stanowiskiem Enea Operator s</w:t>
            </w:r>
            <w:r w:rsidR="00DA4A0E" w:rsidRPr="000B7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 mogłoby wprowadzić w błąd potencjalnego nabywcę.</w:t>
            </w:r>
          </w:p>
          <w:p w:rsidR="00437101" w:rsidRPr="00584A5F" w:rsidRDefault="00437101" w:rsidP="00E7285A">
            <w:pPr>
              <w:numPr>
                <w:ilvl w:val="0"/>
                <w:numId w:val="3"/>
              </w:numPr>
              <w:spacing w:after="80" w:line="240" w:lineRule="auto"/>
              <w:ind w:left="284" w:hanging="28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Enea Oświet</w:t>
            </w:r>
            <w:r w:rsidR="00D35C05" w:rsidRPr="00584A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lenie sp. z o.o. Oddział Poznań</w:t>
            </w:r>
            <w:r w:rsidR="00D35C05" w:rsidRPr="00584A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pismem </w:t>
            </w:r>
            <w:r w:rsidRPr="00584A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  <w:r w:rsidR="00D35C05" w:rsidRPr="00584A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WEA20E6780 z dnia </w:t>
            </w:r>
            <w:r w:rsidR="008916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35C05" w:rsidRPr="00584A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 listopada 2020 r. </w:t>
            </w:r>
            <w:r w:rsidR="004C4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dotyczącym nieruchomości położonej w rejonie ul. Czapl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 –</w:t>
            </w:r>
            <w:r w:rsidR="004C4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4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4C4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C4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Winiary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C4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ark. 26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C4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działka 14/2 </w:t>
            </w:r>
            <w:r w:rsidR="00D35C05" w:rsidRPr="00584A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poinformowała, że: (…) </w:t>
            </w:r>
            <w:r w:rsidR="00D35C05" w:rsidRPr="00584A5F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nie posiada żadnych urządzeń </w:t>
            </w:r>
            <w:r w:rsidR="00D35C05" w:rsidRPr="00584A5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na wskazanej działce.</w:t>
            </w:r>
          </w:p>
          <w:p w:rsidR="00DA4A0E" w:rsidRPr="00FA5DDB" w:rsidRDefault="00DA4A0E" w:rsidP="00C8160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Polska Spółka Gazownictwa sp. z o.o.</w:t>
            </w:r>
            <w:r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4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43B7" w:rsidRPr="00E143B7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Oddział Zakład Gazowniczy w Poznaniu</w:t>
            </w:r>
            <w:r w:rsidR="00E143B7"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pismem nr PSGPO.</w:t>
            </w:r>
            <w:r w:rsidR="00C8160C"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ZMSM.763.6140.106181</w:t>
            </w:r>
            <w:r w:rsidR="00E14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.19 </w:t>
            </w:r>
            <w:r w:rsidR="009E1D62"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dnia </w:t>
            </w:r>
            <w:r w:rsidR="00C8160C"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grudnia</w:t>
            </w:r>
            <w:r w:rsidR="009E1D62"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r.</w:t>
            </w:r>
            <w:r w:rsidR="00E14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dotyczącym nieruchomości położonej w rejonie ul. Czapl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</w:t>
            </w:r>
            <w:r w:rsidR="00E14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14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E14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Winiary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14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ark. 26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143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działka 14/2 </w:t>
            </w:r>
            <w:r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poinformowała m.in., że (…)</w:t>
            </w:r>
            <w:r w:rsidRPr="00FA5D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8160C" w:rsidRPr="00FA5D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obecnie na wysokości przedmiotowej nieruchomości nie posiadamy istniejącej bądź projektowanej sieci gazowej. Przyłączenie nieruchomości związane jest z budową gazociągu</w:t>
            </w:r>
            <w:r w:rsidR="00E143B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 od istniejącej sieci gazowej</w:t>
            </w:r>
            <w:r w:rsidR="00C8160C" w:rsidRPr="00FA5D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niskiego ciśnienia DN 125 stalowej w ul. Czapla do wysokości budynku nr 1. </w:t>
            </w:r>
            <w:r w:rsidR="00467B58" w:rsidRPr="00467B5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(…)</w:t>
            </w:r>
            <w:r w:rsidR="00467B5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8160C" w:rsidRPr="00FA5D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Jednocześnie informujemy, że na działce 14/2 Polska Spółka Gazownictwa sp. z o.o. Oddział Zakład Gazowniczy w Poznaniu nie posiada żadnej infrastruktury gazowej.</w:t>
            </w:r>
          </w:p>
          <w:p w:rsidR="00C8160C" w:rsidRDefault="00C8160C" w:rsidP="00C8160C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71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 sprawie szczegółowych warunków technicznych podłączenia do sieci gazowej należy wystąpić z wnioskiem do PSG sp. z o.o. Oddzi</w:t>
            </w:r>
            <w:r w:rsidR="00E143B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ał Zakład Gazowniczy w Poznaniu, ul. Za Groblą 8, Dział Obsługi Klienta – Sekcja Przyłączania.</w:t>
            </w:r>
          </w:p>
          <w:p w:rsidR="00437101" w:rsidRPr="00584A5F" w:rsidRDefault="00437101" w:rsidP="00C8160C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Aktualność ww. pisma Spółka potwierdziła pismem nr </w:t>
            </w:r>
            <w:r w:rsidR="00D35C05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PSGPO.ZMSM.763.6140.106873.20 </w:t>
            </w: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</w:t>
            </w:r>
            <w:r w:rsidR="00D35C05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dnia 28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października </w:t>
            </w:r>
            <w:r w:rsidR="00D35C05"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r.</w:t>
            </w:r>
          </w:p>
          <w:p w:rsidR="00437101" w:rsidRPr="00437101" w:rsidRDefault="00437101" w:rsidP="00C8160C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4A0E" w:rsidRPr="00DE2880" w:rsidRDefault="00DA4A0E" w:rsidP="005C17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Veolia</w:t>
            </w:r>
            <w:proofErr w:type="spellEnd"/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Energia Poznań S.A</w:t>
            </w:r>
            <w:r w:rsidRPr="00DE288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. pismem nr </w:t>
            </w:r>
            <w:r w:rsidR="002527BA" w:rsidRPr="00DE288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DR/RW/WR/PC_MW_1075/2017</w:t>
            </w:r>
            <w:r w:rsidRPr="00DE288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z dnia </w:t>
            </w:r>
            <w:r w:rsidRPr="00DE288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br/>
            </w:r>
            <w:r w:rsidR="002527BA" w:rsidRPr="00DE288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27</w:t>
            </w:r>
            <w:r w:rsidR="005D240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czerwca </w:t>
            </w:r>
            <w:r w:rsidR="002527BA" w:rsidRPr="00DE288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2017</w:t>
            </w:r>
            <w:r w:rsidRPr="00DE288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r.</w:t>
            </w: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D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dotyczącym nieruchomości położonej w rejonie ul. Czapl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</w:t>
            </w:r>
            <w:r w:rsidR="005D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D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5D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D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Winiary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D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D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ark. 26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D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działka 14/2 </w:t>
            </w: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poinformowała m.in., że (…)</w:t>
            </w:r>
            <w:r w:rsidRPr="00E945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DE28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pobliżu nie przebiega sieć cieplna, do której możliwe byłoby włączenie ww. nieruchomości.</w:t>
            </w:r>
          </w:p>
          <w:p w:rsidR="005D240E" w:rsidRDefault="00DA4A0E" w:rsidP="005C1716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Najbliższa istniejąca sieć cieplna </w:t>
            </w:r>
            <w:r w:rsidR="002527BA" w:rsidRPr="00DE28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zlokalizowana jest na dz. 22/25, ark. 26 </w:t>
            </w:r>
            <w:proofErr w:type="spellStart"/>
            <w:r w:rsidR="002527BA" w:rsidRPr="00DE28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obr</w:t>
            </w:r>
            <w:proofErr w:type="spellEnd"/>
            <w:r w:rsidR="002527BA" w:rsidRPr="00DE28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 Winiary,</w:t>
            </w:r>
            <w:r w:rsidR="005D240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="002527BA" w:rsidRPr="00DE28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w odległości ok. 200 m od rozpatrywanego obiektu. Prowadzenie sieci cieplnej dla ww. nieruchomości byłoby uzasadnione ekonomicznie, gdyby zapotrzebowanie na moc cieplną </w:t>
            </w:r>
            <w:r w:rsidR="005D240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dla </w:t>
            </w:r>
            <w:r w:rsidR="002527BA" w:rsidRPr="00DE28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tej nieruchomości wynosiło więcej niż 0,3 MW oraz pod warunkiem podłączenia jednocześnie całości mocy dla takiej inwestycji. </w:t>
            </w:r>
          </w:p>
          <w:p w:rsidR="00DA4A0E" w:rsidRPr="00DE2880" w:rsidRDefault="002527BA" w:rsidP="005C1716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Ponadto, informujemy, że na przedmiotowej nieruchomości nie znajduje się infrastruktura będąca własnością </w:t>
            </w:r>
            <w:proofErr w:type="spellStart"/>
            <w:r w:rsidRPr="00DE28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Veolia</w:t>
            </w:r>
            <w:proofErr w:type="spellEnd"/>
            <w:r w:rsidRPr="00DE288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Energia Polska S.A.</w:t>
            </w:r>
          </w:p>
          <w:p w:rsidR="002527BA" w:rsidRPr="00DE2880" w:rsidRDefault="002527BA" w:rsidP="005C1716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Powyższe stanowisko </w:t>
            </w:r>
            <w:proofErr w:type="spellStart"/>
            <w:r w:rsidRPr="005D24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Veolia</w:t>
            </w:r>
            <w:proofErr w:type="spellEnd"/>
            <w:r w:rsidRPr="005D24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Energia Poznań S.A</w:t>
            </w:r>
            <w:r w:rsidRPr="005D240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.</w:t>
            </w:r>
            <w:r w:rsidRPr="00DE288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="0043710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podtrzymała </w:t>
            </w:r>
            <w:r w:rsidRPr="00DE288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pismem nr TI/T</w:t>
            </w:r>
            <w:r w:rsidR="005D240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/SŁ</w:t>
            </w:r>
            <w:r w:rsidRPr="00DE288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-2.6-</w:t>
            </w:r>
            <w:r w:rsidR="005D240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3129</w:t>
            </w:r>
            <w:r w:rsidRPr="00DE288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/20</w:t>
            </w:r>
            <w:r w:rsidR="005D240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20</w:t>
            </w:r>
            <w:r w:rsidRPr="00DE288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z dnia </w:t>
            </w:r>
            <w:r w:rsidR="005D240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9 listopada 2020 r.</w:t>
            </w: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D6B90" w:rsidRPr="000B727E" w:rsidRDefault="00DA4A0E" w:rsidP="003D6B90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Zarząd Dróg Miejskich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pismem nr I</w:t>
            </w:r>
            <w:r w:rsidR="009E1D62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T.I.</w:t>
            </w:r>
            <w:r w:rsidR="00FB1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D6B90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  <w:r w:rsidR="009E1D62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="003D6B90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dnia 2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3D6B90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stycznia</w:t>
            </w:r>
            <w:r w:rsidR="009E1D62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3D6B90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D6B90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poinformował</w:t>
            </w:r>
            <w:r w:rsidR="005D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m.in.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że</w:t>
            </w:r>
            <w:r w:rsidR="003D6B90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(…)</w:t>
            </w:r>
            <w:r w:rsidR="003D6B90"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D6B90" w:rsidRPr="000B727E" w:rsidRDefault="003D6B90" w:rsidP="004D67E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73" w:hanging="284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działka nr 14/2, obręb Winiary, </w:t>
            </w:r>
            <w:r w:rsidR="005D240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ark. m</w:t>
            </w:r>
            <w:r w:rsidRPr="000B72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apy 26 nie ma bezpośredniego dostępu do drogi publicznej, dostęp do drogi publicznej – ul. Czapli – powinien być zapewniony poprzez działkę nr 22/12, obręb Winiary, arkusz mapy 26, która stanowi własność Miasta Poznania</w:t>
            </w:r>
            <w:r w:rsidR="004D67E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i </w:t>
            </w:r>
            <w:r w:rsidR="004D67E0" w:rsidRPr="003E308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znajduje się w administracji ZDM</w:t>
            </w:r>
            <w:r w:rsidR="004D67E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D67E0" w:rsidRPr="004D67E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(…)</w:t>
            </w:r>
            <w:r w:rsidR="004D67E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</w:p>
          <w:p w:rsidR="003D6B90" w:rsidRPr="000B727E" w:rsidRDefault="00CB6F22" w:rsidP="004D67E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73" w:hanging="284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dz. 14/2, obręb Winiary, ark. m</w:t>
            </w:r>
            <w:r w:rsidR="003D6B90" w:rsidRPr="000B72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apy 26 nie jest w administracji Zarządu Dróg Miejskich, ani nie jest przeznaczona w </w:t>
            </w:r>
            <w:proofErr w:type="spellStart"/>
            <w:r w:rsidR="003D6B90" w:rsidRPr="000B72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mpzp</w:t>
            </w:r>
            <w:proofErr w:type="spellEnd"/>
            <w:r w:rsidR="003D6B90" w:rsidRPr="000B72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pod drogę publiczną, w związku z czym jest zbędna na cele drogowe</w:t>
            </w:r>
            <w:r w:rsidR="004D67E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</w:p>
          <w:p w:rsidR="003D6B90" w:rsidRPr="000B727E" w:rsidRDefault="003D6B90" w:rsidP="004D67E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73" w:hanging="284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żadne elementy infrastruktury będące w administracji ZDM nie znajdują się na ww. działce ani w bezpośrednim sąsiedztwie</w:t>
            </w:r>
            <w:r w:rsidR="004D67E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</w:p>
          <w:p w:rsidR="00DA4A0E" w:rsidRPr="000B727E" w:rsidRDefault="003D6B90" w:rsidP="004D67E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73" w:hanging="28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dla ww. działki aktualnie nie wydano żadnych decyzji </w:t>
            </w:r>
            <w:proofErr w:type="spellStart"/>
            <w:r w:rsidRPr="000B72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zrid</w:t>
            </w:r>
            <w:proofErr w:type="spellEnd"/>
            <w:r w:rsidRPr="000B72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lub innych dotyczących realizacji inwestycji drogowych, ani nie prowadzi się postępowania w celu wydania takich decyzji.</w:t>
            </w:r>
          </w:p>
          <w:p w:rsidR="00DA4A0E" w:rsidRPr="003D6B90" w:rsidRDefault="00DA4A0E" w:rsidP="005C171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  <w:p w:rsidR="00A5025C" w:rsidRPr="004D67E0" w:rsidRDefault="00A5025C" w:rsidP="004D67E0">
            <w:pPr>
              <w:numPr>
                <w:ilvl w:val="0"/>
                <w:numId w:val="3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Netia S.A. </w:t>
            </w:r>
            <w:r w:rsidR="00771C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pismem z dnia 28 grudnia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2020 r.</w:t>
            </w:r>
            <w:r w:rsidR="004D67E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dotyczącym nieruchomości położonej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rejonie ul. Czapl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Winiary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ark. 26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działka 14/2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poinformowała, że: (…)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Netia S.A. nie posiada swojej sieci na w/w nieruchomości</w:t>
            </w:r>
            <w:r w:rsidR="004D67E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4D67E0" w:rsidRPr="004D67E0" w:rsidRDefault="00A5025C" w:rsidP="004D67E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INEA S.A.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pismem nr WTINEA </w:t>
            </w:r>
            <w:r w:rsidR="004D67E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4882 </w:t>
            </w:r>
            <w:r w:rsidR="00771C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z dnia 21 stycznia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2021</w:t>
            </w:r>
            <w:r w:rsidR="004D67E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r.</w:t>
            </w:r>
            <w:r w:rsidR="004D67E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dotyczącym nieruchomości położonej w rejonie ul. Czapl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Winiary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ark. 26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działka 14/2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poinformowała, że: (…)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 dzień 21.01.2021 r. na projektowanym obszarze nie posiada infrastruktury technicznej.</w:t>
            </w:r>
          </w:p>
          <w:p w:rsidR="00A5025C" w:rsidRPr="00A5025C" w:rsidRDefault="00A5025C" w:rsidP="004D67E0">
            <w:pPr>
              <w:spacing w:after="120" w:line="240" w:lineRule="auto"/>
              <w:ind w:left="357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Przy natrafieniu w trakcie wizji lokalnej dokonywanej przez projektanta lub podczas robót ziemnych, na urządzenia INEA S.A. nie naniesione na podkład mapowy, należy</w:t>
            </w:r>
            <w:r w:rsidR="008A129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je zabezpieczyć i powiadomić INEA S.A </w:t>
            </w:r>
            <w:r w:rsidRPr="004D67E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(…)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w celu ustalenia trybu dalszego </w:t>
            </w:r>
            <w:r w:rsidR="004D67E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postępowania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4D67E0" w:rsidRPr="004D67E0" w:rsidRDefault="00A5025C" w:rsidP="00A502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Netia S.A. działająca w imieniu firmy POLKOMTEL Infrastruktura sp. z o. o. </w:t>
            </w:r>
            <w:r w:rsidR="00771CC8" w:rsidRPr="00771C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pismem nr NTTG</w:t>
            </w:r>
            <w:r w:rsidR="00771C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-508-0265/21 z dnia 21 stycznia </w:t>
            </w:r>
            <w:r w:rsidR="00771CC8" w:rsidRPr="00771C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2021</w:t>
            </w:r>
            <w:r w:rsidR="004D67E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71CC8" w:rsidRPr="00771C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r.</w:t>
            </w:r>
            <w:r w:rsidR="00771CC8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dotyczącym nieruchomości położonej w rejonie ul. Czapl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Winiary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ark. 26</w:t>
            </w:r>
            <w:r w:rsidR="00891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D6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działka 14/2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poinformowała, że: (…) </w:t>
            </w:r>
            <w:r w:rsidRPr="00771C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infrastruktura teletechniczna Polkomtel Infrastruktura sp. z o. o. znajduje się poza zakresem działek przewidzianych do sprzedaży. </w:t>
            </w:r>
          </w:p>
          <w:p w:rsidR="00A5025C" w:rsidRDefault="00771CC8" w:rsidP="008A129B">
            <w:pPr>
              <w:spacing w:after="120" w:line="240" w:lineRule="auto"/>
              <w:ind w:left="357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71C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Powyższe</w:t>
            </w:r>
            <w:r w:rsidR="00A5025C" w:rsidRPr="00771C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uzgodnienie podlega aktualizacji po 12 miesiącach od daty</w:t>
            </w:r>
            <w:r w:rsidRPr="00771C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jego wydania.</w:t>
            </w:r>
            <w:r w:rsidR="004D67E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771C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związku z dynamicznym rozwojem świadczonych usług i rozbudową własnej infrastruktury teletechnicznej</w:t>
            </w:r>
            <w:r w:rsidR="004D67E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 w:rsidRPr="00771C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Polkomtel Infrastruktura zastrzega sobie prawo zmiany w/w postanowień.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  <w:p w:rsidR="00771CC8" w:rsidRPr="000B727E" w:rsidRDefault="00771CC8" w:rsidP="008A129B">
            <w:pPr>
              <w:numPr>
                <w:ilvl w:val="0"/>
                <w:numId w:val="3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Orange Polska </w:t>
            </w:r>
            <w:r w:rsidR="008A129B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S.A.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pismem nr TTISILU/JM.215-55239/20 z dnia 21 stycznia 2021 r. poinformowała, że: (…)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 nieruchomości przy ul. Czapla obręb Winiary, ark. 26, działka 14/2 brak jest zaewidencjonowanej i eksploatowanej sieci własności Orange Polska S.A.</w:t>
            </w:r>
          </w:p>
        </w:tc>
      </w:tr>
    </w:tbl>
    <w:p w:rsidR="00DA4A0E" w:rsidRPr="00E945D7" w:rsidRDefault="00DA4A0E" w:rsidP="000546D4">
      <w:pPr>
        <w:jc w:val="both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</w:p>
    <w:p w:rsidR="00DA4A0E" w:rsidRPr="00E945D7" w:rsidRDefault="00DA4A0E" w:rsidP="000546D4">
      <w:pPr>
        <w:rPr>
          <w:color w:val="FF0000"/>
        </w:rPr>
      </w:pPr>
    </w:p>
    <w:sectPr w:rsidR="00DA4A0E" w:rsidRPr="00E945D7" w:rsidSect="00304CBA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960" w:rsidRDefault="007D0960" w:rsidP="004F15AF">
      <w:pPr>
        <w:spacing w:after="0" w:line="240" w:lineRule="auto"/>
      </w:pPr>
      <w:r>
        <w:separator/>
      </w:r>
    </w:p>
  </w:endnote>
  <w:endnote w:type="continuationSeparator" w:id="0">
    <w:p w:rsidR="007D0960" w:rsidRDefault="007D0960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0E" w:rsidRDefault="003E069B">
    <w:pPr>
      <w:pStyle w:val="Stopka"/>
      <w:jc w:val="center"/>
    </w:pPr>
    <w:r w:rsidRPr="00707D70">
      <w:rPr>
        <w:rFonts w:ascii="Times New Roman" w:hAnsi="Times New Roman" w:cs="Times New Roman"/>
        <w:sz w:val="20"/>
        <w:szCs w:val="20"/>
      </w:rPr>
      <w:fldChar w:fldCharType="begin"/>
    </w:r>
    <w:r w:rsidR="00DA4A0E" w:rsidRPr="00707D70">
      <w:rPr>
        <w:rFonts w:ascii="Times New Roman" w:hAnsi="Times New Roman" w:cs="Times New Roman"/>
        <w:sz w:val="20"/>
        <w:szCs w:val="20"/>
      </w:rPr>
      <w:instrText>PAGE   \* MERGEFORMAT</w:instrText>
    </w:r>
    <w:r w:rsidRPr="00707D70">
      <w:rPr>
        <w:rFonts w:ascii="Times New Roman" w:hAnsi="Times New Roman" w:cs="Times New Roman"/>
        <w:sz w:val="20"/>
        <w:szCs w:val="20"/>
      </w:rPr>
      <w:fldChar w:fldCharType="separate"/>
    </w:r>
    <w:r w:rsidR="00256D72">
      <w:rPr>
        <w:rFonts w:ascii="Times New Roman" w:hAnsi="Times New Roman" w:cs="Times New Roman"/>
        <w:noProof/>
        <w:sz w:val="20"/>
        <w:szCs w:val="20"/>
      </w:rPr>
      <w:t>4</w:t>
    </w:r>
    <w:r w:rsidRPr="00707D70">
      <w:rPr>
        <w:rFonts w:ascii="Times New Roman" w:hAnsi="Times New Roman" w:cs="Times New Roman"/>
        <w:sz w:val="20"/>
        <w:szCs w:val="20"/>
      </w:rPr>
      <w:fldChar w:fldCharType="end"/>
    </w:r>
    <w:r w:rsidR="00467B58">
      <w:rPr>
        <w:rFonts w:ascii="Times New Roman" w:hAnsi="Times New Roman" w:cs="Times New Roman"/>
        <w:sz w:val="20"/>
        <w:szCs w:val="20"/>
      </w:rPr>
      <w:t>/4</w:t>
    </w:r>
  </w:p>
  <w:p w:rsidR="00DA4A0E" w:rsidRDefault="00DA4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960" w:rsidRDefault="007D0960" w:rsidP="004F15AF">
      <w:pPr>
        <w:spacing w:after="0" w:line="240" w:lineRule="auto"/>
      </w:pPr>
      <w:r>
        <w:separator/>
      </w:r>
    </w:p>
  </w:footnote>
  <w:footnote w:type="continuationSeparator" w:id="0">
    <w:p w:rsidR="007D0960" w:rsidRDefault="007D0960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038"/>
    <w:multiLevelType w:val="hybridMultilevel"/>
    <w:tmpl w:val="56F44792"/>
    <w:lvl w:ilvl="0" w:tplc="CED68EB0">
      <w:start w:val="1"/>
      <w:numFmt w:val="lowerLetter"/>
      <w:lvlText w:val="%1)"/>
      <w:lvlJc w:val="left"/>
      <w:pPr>
        <w:ind w:left="67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532F2D"/>
    <w:multiLevelType w:val="hybridMultilevel"/>
    <w:tmpl w:val="965A89A6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9F4FEF"/>
    <w:multiLevelType w:val="singleLevel"/>
    <w:tmpl w:val="C54C82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F015AAF"/>
    <w:multiLevelType w:val="hybridMultilevel"/>
    <w:tmpl w:val="E29AB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B32F8"/>
    <w:multiLevelType w:val="hybridMultilevel"/>
    <w:tmpl w:val="5C86F890"/>
    <w:lvl w:ilvl="0" w:tplc="5D1678F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 w15:restartNumberingAfterBreak="0">
    <w:nsid w:val="7271275F"/>
    <w:multiLevelType w:val="hybridMultilevel"/>
    <w:tmpl w:val="9E3279B6"/>
    <w:lvl w:ilvl="0" w:tplc="55C4D17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0676D7"/>
    <w:multiLevelType w:val="hybridMultilevel"/>
    <w:tmpl w:val="F566D43A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 w15:restartNumberingAfterBreak="0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BC6B85"/>
    <w:multiLevelType w:val="hybridMultilevel"/>
    <w:tmpl w:val="2A64CD6C"/>
    <w:lvl w:ilvl="0" w:tplc="3208BC9E">
      <w:start w:val="1"/>
      <w:numFmt w:val="decimal"/>
      <w:lvlText w:val="%1)"/>
      <w:lvlJc w:val="left"/>
      <w:pPr>
        <w:ind w:left="6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7E3209BB"/>
    <w:multiLevelType w:val="hybridMultilevel"/>
    <w:tmpl w:val="FEE657BA"/>
    <w:lvl w:ilvl="0" w:tplc="0D2CD5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14"/>
  </w:num>
  <w:num w:numId="6">
    <w:abstractNumId w:val="8"/>
  </w:num>
  <w:num w:numId="7">
    <w:abstractNumId w:val="2"/>
  </w:num>
  <w:num w:numId="8">
    <w:abstractNumId w:val="18"/>
  </w:num>
  <w:num w:numId="9">
    <w:abstractNumId w:val="3"/>
  </w:num>
  <w:num w:numId="10">
    <w:abstractNumId w:val="5"/>
  </w:num>
  <w:num w:numId="11">
    <w:abstractNumId w:val="1"/>
  </w:num>
  <w:num w:numId="12">
    <w:abstractNumId w:val="12"/>
  </w:num>
  <w:num w:numId="13">
    <w:abstractNumId w:val="10"/>
  </w:num>
  <w:num w:numId="14">
    <w:abstractNumId w:val="13"/>
  </w:num>
  <w:num w:numId="15">
    <w:abstractNumId w:val="16"/>
  </w:num>
  <w:num w:numId="16">
    <w:abstractNumId w:val="19"/>
  </w:num>
  <w:num w:numId="17">
    <w:abstractNumId w:val="0"/>
  </w:num>
  <w:num w:numId="18">
    <w:abstractNumId w:val="20"/>
  </w:num>
  <w:num w:numId="19">
    <w:abstractNumId w:val="15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06"/>
    <w:rsid w:val="00003BA5"/>
    <w:rsid w:val="00030DCB"/>
    <w:rsid w:val="00035877"/>
    <w:rsid w:val="000367AC"/>
    <w:rsid w:val="00036CFA"/>
    <w:rsid w:val="00046AA9"/>
    <w:rsid w:val="00052D32"/>
    <w:rsid w:val="000546D4"/>
    <w:rsid w:val="000549E0"/>
    <w:rsid w:val="000551D3"/>
    <w:rsid w:val="00060A71"/>
    <w:rsid w:val="00060F7F"/>
    <w:rsid w:val="000631C2"/>
    <w:rsid w:val="000668BA"/>
    <w:rsid w:val="00071A53"/>
    <w:rsid w:val="00082049"/>
    <w:rsid w:val="000847CF"/>
    <w:rsid w:val="000B52B6"/>
    <w:rsid w:val="000B727E"/>
    <w:rsid w:val="000D75F1"/>
    <w:rsid w:val="000E0CA4"/>
    <w:rsid w:val="000F5A78"/>
    <w:rsid w:val="00122FC6"/>
    <w:rsid w:val="00142A12"/>
    <w:rsid w:val="001749CF"/>
    <w:rsid w:val="0018414F"/>
    <w:rsid w:val="001B4BBA"/>
    <w:rsid w:val="001C7B50"/>
    <w:rsid w:val="001E185F"/>
    <w:rsid w:val="002132EC"/>
    <w:rsid w:val="0021627C"/>
    <w:rsid w:val="002239C5"/>
    <w:rsid w:val="002246F7"/>
    <w:rsid w:val="002527BA"/>
    <w:rsid w:val="002537D9"/>
    <w:rsid w:val="00256D72"/>
    <w:rsid w:val="0025760D"/>
    <w:rsid w:val="002651F5"/>
    <w:rsid w:val="00270EA0"/>
    <w:rsid w:val="00291A27"/>
    <w:rsid w:val="002B34BA"/>
    <w:rsid w:val="002D6F1C"/>
    <w:rsid w:val="002E6D38"/>
    <w:rsid w:val="00304CBA"/>
    <w:rsid w:val="00307068"/>
    <w:rsid w:val="0039724C"/>
    <w:rsid w:val="003A4C69"/>
    <w:rsid w:val="003C24D0"/>
    <w:rsid w:val="003D6B90"/>
    <w:rsid w:val="003E069B"/>
    <w:rsid w:val="003E1D09"/>
    <w:rsid w:val="003E308B"/>
    <w:rsid w:val="00402055"/>
    <w:rsid w:val="00406976"/>
    <w:rsid w:val="00413F03"/>
    <w:rsid w:val="00437101"/>
    <w:rsid w:val="0044756B"/>
    <w:rsid w:val="004601BE"/>
    <w:rsid w:val="00464A23"/>
    <w:rsid w:val="00467B58"/>
    <w:rsid w:val="00485356"/>
    <w:rsid w:val="004A46D9"/>
    <w:rsid w:val="004A4B5D"/>
    <w:rsid w:val="004C417D"/>
    <w:rsid w:val="004D67E0"/>
    <w:rsid w:val="004F0C3C"/>
    <w:rsid w:val="004F15AF"/>
    <w:rsid w:val="004F732A"/>
    <w:rsid w:val="0050221D"/>
    <w:rsid w:val="00504857"/>
    <w:rsid w:val="00504904"/>
    <w:rsid w:val="00521263"/>
    <w:rsid w:val="005418D3"/>
    <w:rsid w:val="00554647"/>
    <w:rsid w:val="00555046"/>
    <w:rsid w:val="005558A2"/>
    <w:rsid w:val="00584A5F"/>
    <w:rsid w:val="0058543A"/>
    <w:rsid w:val="005C1716"/>
    <w:rsid w:val="005D240E"/>
    <w:rsid w:val="005D4AE1"/>
    <w:rsid w:val="0060300D"/>
    <w:rsid w:val="00613717"/>
    <w:rsid w:val="006236FF"/>
    <w:rsid w:val="00633527"/>
    <w:rsid w:val="00683D90"/>
    <w:rsid w:val="00693BF5"/>
    <w:rsid w:val="00694501"/>
    <w:rsid w:val="006B51C3"/>
    <w:rsid w:val="006E16F4"/>
    <w:rsid w:val="006F02D6"/>
    <w:rsid w:val="006F1962"/>
    <w:rsid w:val="006F366E"/>
    <w:rsid w:val="00707D70"/>
    <w:rsid w:val="007300CB"/>
    <w:rsid w:val="0073340E"/>
    <w:rsid w:val="007422B6"/>
    <w:rsid w:val="007553D7"/>
    <w:rsid w:val="007655BF"/>
    <w:rsid w:val="007676DF"/>
    <w:rsid w:val="00771CC8"/>
    <w:rsid w:val="00797A7F"/>
    <w:rsid w:val="00797E16"/>
    <w:rsid w:val="007C2A8B"/>
    <w:rsid w:val="007D0960"/>
    <w:rsid w:val="007F3126"/>
    <w:rsid w:val="00806B81"/>
    <w:rsid w:val="00811238"/>
    <w:rsid w:val="008221B5"/>
    <w:rsid w:val="00841997"/>
    <w:rsid w:val="00853B5A"/>
    <w:rsid w:val="00863887"/>
    <w:rsid w:val="00863EC5"/>
    <w:rsid w:val="00886767"/>
    <w:rsid w:val="008916C3"/>
    <w:rsid w:val="008A129B"/>
    <w:rsid w:val="008C3983"/>
    <w:rsid w:val="008D5BFC"/>
    <w:rsid w:val="008E652F"/>
    <w:rsid w:val="008F0B7C"/>
    <w:rsid w:val="008F4EB9"/>
    <w:rsid w:val="00900E4D"/>
    <w:rsid w:val="00942701"/>
    <w:rsid w:val="00944119"/>
    <w:rsid w:val="00944FB2"/>
    <w:rsid w:val="00946940"/>
    <w:rsid w:val="00977BB3"/>
    <w:rsid w:val="009D5368"/>
    <w:rsid w:val="009E1D62"/>
    <w:rsid w:val="009F0C87"/>
    <w:rsid w:val="009F76D1"/>
    <w:rsid w:val="00A0213F"/>
    <w:rsid w:val="00A06541"/>
    <w:rsid w:val="00A15416"/>
    <w:rsid w:val="00A156F3"/>
    <w:rsid w:val="00A23CF7"/>
    <w:rsid w:val="00A4365D"/>
    <w:rsid w:val="00A457F3"/>
    <w:rsid w:val="00A5025C"/>
    <w:rsid w:val="00A50945"/>
    <w:rsid w:val="00A676CE"/>
    <w:rsid w:val="00A71486"/>
    <w:rsid w:val="00A719C1"/>
    <w:rsid w:val="00A769D3"/>
    <w:rsid w:val="00A91EEE"/>
    <w:rsid w:val="00AA1AE1"/>
    <w:rsid w:val="00AB0AE9"/>
    <w:rsid w:val="00AB12AB"/>
    <w:rsid w:val="00AB2632"/>
    <w:rsid w:val="00AB4348"/>
    <w:rsid w:val="00AC5EF0"/>
    <w:rsid w:val="00AE1E88"/>
    <w:rsid w:val="00AE52BE"/>
    <w:rsid w:val="00AF55EB"/>
    <w:rsid w:val="00B11B04"/>
    <w:rsid w:val="00B46DD6"/>
    <w:rsid w:val="00B555B6"/>
    <w:rsid w:val="00B628C3"/>
    <w:rsid w:val="00B664D7"/>
    <w:rsid w:val="00B74075"/>
    <w:rsid w:val="00B804A7"/>
    <w:rsid w:val="00B81216"/>
    <w:rsid w:val="00B921E0"/>
    <w:rsid w:val="00BA2F47"/>
    <w:rsid w:val="00BC04A9"/>
    <w:rsid w:val="00BC1770"/>
    <w:rsid w:val="00BC57A5"/>
    <w:rsid w:val="00C22306"/>
    <w:rsid w:val="00C26DB7"/>
    <w:rsid w:val="00C658DD"/>
    <w:rsid w:val="00C8160C"/>
    <w:rsid w:val="00C8449C"/>
    <w:rsid w:val="00C877D4"/>
    <w:rsid w:val="00C941EF"/>
    <w:rsid w:val="00CB0F48"/>
    <w:rsid w:val="00CB6F22"/>
    <w:rsid w:val="00CC0A17"/>
    <w:rsid w:val="00CD00AE"/>
    <w:rsid w:val="00CE725C"/>
    <w:rsid w:val="00CF2707"/>
    <w:rsid w:val="00CF2EE3"/>
    <w:rsid w:val="00D10FF7"/>
    <w:rsid w:val="00D149BE"/>
    <w:rsid w:val="00D30506"/>
    <w:rsid w:val="00D35C05"/>
    <w:rsid w:val="00D43DD8"/>
    <w:rsid w:val="00D44A16"/>
    <w:rsid w:val="00D57FE2"/>
    <w:rsid w:val="00D60F78"/>
    <w:rsid w:val="00D92C26"/>
    <w:rsid w:val="00D966B0"/>
    <w:rsid w:val="00D97CC7"/>
    <w:rsid w:val="00DA0F25"/>
    <w:rsid w:val="00DA4A0E"/>
    <w:rsid w:val="00DD6C5A"/>
    <w:rsid w:val="00DE2880"/>
    <w:rsid w:val="00DE5067"/>
    <w:rsid w:val="00DE53B6"/>
    <w:rsid w:val="00DE77F8"/>
    <w:rsid w:val="00DF0E6B"/>
    <w:rsid w:val="00E04E26"/>
    <w:rsid w:val="00E143B7"/>
    <w:rsid w:val="00E21BB2"/>
    <w:rsid w:val="00E43053"/>
    <w:rsid w:val="00E44E12"/>
    <w:rsid w:val="00E62CFF"/>
    <w:rsid w:val="00E7285A"/>
    <w:rsid w:val="00E92907"/>
    <w:rsid w:val="00E945D7"/>
    <w:rsid w:val="00EA343E"/>
    <w:rsid w:val="00EA7B60"/>
    <w:rsid w:val="00EB7886"/>
    <w:rsid w:val="00EE0895"/>
    <w:rsid w:val="00EF0A51"/>
    <w:rsid w:val="00F07BB3"/>
    <w:rsid w:val="00F07DD9"/>
    <w:rsid w:val="00F26BF2"/>
    <w:rsid w:val="00F33AD7"/>
    <w:rsid w:val="00F36C6D"/>
    <w:rsid w:val="00F43C6E"/>
    <w:rsid w:val="00F5660F"/>
    <w:rsid w:val="00F702A8"/>
    <w:rsid w:val="00F9274B"/>
    <w:rsid w:val="00FA5DDB"/>
    <w:rsid w:val="00FB1A7B"/>
    <w:rsid w:val="00FB6555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E3400"/>
  <w15:docId w15:val="{1BF64ACD-AB74-40B9-A382-D96FAC56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Times New Roman"/>
      <w:snapToGrid w:val="0"/>
      <w:color w:val="000000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96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651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651F5"/>
    <w:rPr>
      <w:rFonts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2189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Wilk</dc:creator>
  <cp:keywords/>
  <dc:description/>
  <cp:lastModifiedBy>Joanna Przybylska</cp:lastModifiedBy>
  <cp:revision>4</cp:revision>
  <cp:lastPrinted>2021-02-24T11:58:00Z</cp:lastPrinted>
  <dcterms:created xsi:type="dcterms:W3CDTF">2021-03-09T07:48:00Z</dcterms:created>
  <dcterms:modified xsi:type="dcterms:W3CDTF">2021-03-09T07:49:00Z</dcterms:modified>
</cp:coreProperties>
</file>