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82992">
          <w:t>285/2021/P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82992">
        <w:rPr>
          <w:b/>
          <w:sz w:val="28"/>
        </w:rPr>
        <w:fldChar w:fldCharType="separate"/>
      </w:r>
      <w:r w:rsidR="00482992">
        <w:rPr>
          <w:b/>
          <w:sz w:val="28"/>
        </w:rPr>
        <w:t>25 marca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82992">
              <w:rPr>
                <w:b/>
                <w:sz w:val="24"/>
                <w:szCs w:val="24"/>
              </w:rPr>
              <w:fldChar w:fldCharType="separate"/>
            </w:r>
            <w:r w:rsidR="00482992">
              <w:rPr>
                <w:b/>
                <w:sz w:val="24"/>
                <w:szCs w:val="24"/>
              </w:rPr>
              <w:t>konkursu ofert na prowadzenie działalności w formie mobilnych punktów gastronomicznych w wybranych lokalizacjach przestrzeni miejskiej nad Wartą w Poznaniu.</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82992" w:rsidP="00482992">
      <w:pPr>
        <w:spacing w:line="360" w:lineRule="auto"/>
        <w:jc w:val="both"/>
        <w:rPr>
          <w:color w:val="000000"/>
          <w:sz w:val="24"/>
        </w:rPr>
      </w:pPr>
      <w:bookmarkStart w:id="2" w:name="p0"/>
      <w:bookmarkEnd w:id="2"/>
      <w:r w:rsidRPr="00482992">
        <w:rPr>
          <w:color w:val="000000"/>
          <w:sz w:val="24"/>
          <w:szCs w:val="24"/>
        </w:rPr>
        <w:t>Na podstawie art. 23 ust. 1 pkt 7a ustawy z dnia 21 sierpnia 1997 r. o gospodarce nieruchomościami (Dz. U. z 2020 r. poz. 1990), w związku z art. 11a ust. 3 ustawy z dnia 8</w:t>
      </w:r>
      <w:r w:rsidR="00314341">
        <w:rPr>
          <w:color w:val="000000"/>
          <w:sz w:val="24"/>
          <w:szCs w:val="24"/>
        </w:rPr>
        <w:t> </w:t>
      </w:r>
      <w:r w:rsidRPr="00482992">
        <w:rPr>
          <w:color w:val="000000"/>
          <w:sz w:val="24"/>
          <w:szCs w:val="24"/>
        </w:rPr>
        <w:t>marca 1990 r. o samorządzie gminnym (Dz. U. z 2020r., poz 713), § 12 ust. 1 pkt 2</w:t>
      </w:r>
      <w:r w:rsidR="00314341">
        <w:rPr>
          <w:color w:val="000000"/>
          <w:sz w:val="24"/>
          <w:szCs w:val="24"/>
        </w:rPr>
        <w:t> </w:t>
      </w:r>
      <w:r w:rsidRPr="00482992">
        <w:rPr>
          <w:color w:val="000000"/>
          <w:sz w:val="24"/>
          <w:szCs w:val="24"/>
        </w:rPr>
        <w:t>zarządzenia Nr 745/2013/P Prezydenta Miasta Poznania z dnia 21 listopada 2013 r. (ze zm.) w sprawie wydzierżawiania i wynajmowania nieruchomości gruntowych stanowiących własność Miasta Poznania lub ich części, oraz rozporządzenia Rady Ministrów z dnia 26 lutego 2021 r. w sprawie ustanowienia określonych ograniczeń, nakazów i zakazów w</w:t>
      </w:r>
      <w:r w:rsidR="00314341">
        <w:rPr>
          <w:color w:val="000000"/>
          <w:sz w:val="24"/>
          <w:szCs w:val="24"/>
        </w:rPr>
        <w:t> </w:t>
      </w:r>
      <w:r w:rsidRPr="00482992">
        <w:rPr>
          <w:color w:val="000000"/>
          <w:sz w:val="24"/>
          <w:szCs w:val="24"/>
        </w:rPr>
        <w:t>związku z wystąpieniem stanu epidemii (Dz. U. z 2021 r. poz. 367) zarządza się, co następuje</w:t>
      </w:r>
      <w:r w:rsidRPr="00482992">
        <w:rPr>
          <w:color w:val="000000"/>
          <w:sz w:val="24"/>
        </w:rPr>
        <w:t>:</w:t>
      </w:r>
    </w:p>
    <w:p w:rsidR="00482992" w:rsidRDefault="00482992" w:rsidP="00482992">
      <w:pPr>
        <w:spacing w:line="360" w:lineRule="auto"/>
        <w:jc w:val="both"/>
        <w:rPr>
          <w:sz w:val="24"/>
        </w:rPr>
      </w:pPr>
    </w:p>
    <w:p w:rsidR="00482992" w:rsidRDefault="00482992" w:rsidP="00482992">
      <w:pPr>
        <w:keepNext/>
        <w:spacing w:line="360" w:lineRule="auto"/>
        <w:jc w:val="center"/>
        <w:rPr>
          <w:b/>
          <w:color w:val="000000"/>
          <w:sz w:val="24"/>
        </w:rPr>
      </w:pPr>
      <w:r>
        <w:rPr>
          <w:b/>
          <w:color w:val="000000"/>
          <w:sz w:val="24"/>
        </w:rPr>
        <w:t>§ 1</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3" w:name="z1"/>
      <w:bookmarkEnd w:id="3"/>
      <w:r w:rsidRPr="00482992">
        <w:rPr>
          <w:b/>
          <w:bCs/>
          <w:color w:val="000000"/>
          <w:sz w:val="24"/>
          <w:szCs w:val="24"/>
        </w:rPr>
        <w:t>Postanowienia ogólne</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Organizatorem konkursu jest Dyrektor Wydziału Gospodarki Nieruchomościami Urzędu Miasta Poznania działający w imieniu Prezydenta Miasta Poznania w zakresie nieruchomości stanowiących własność Miasta Poznania.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Konkurs zostanie przeprowadzony w siedzibie Wydziału Gospodarki Nieruchomościami przy ul. Gronowej 20 w Poznaniu, 61-655 Poznań. Informacja o konkursie, podana zostanie do publicznej wiadomości poprzez:</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umieszczenie na tablicy ogłoszeń w siedzibie WGN oraz w siedzibie Urzędu Miasta Poznania, pl. Kolegiacki 17 w Poznaniu;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lastRenderedPageBreak/>
        <w:t>2) na stronie internetowej rzekawartapoznania.pl oraz na stronie BIP Miasta Poznania.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Przedmiotem konkursu jest zawarcie umowy najmu: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części nieruchomości niezabudowanej nr 1 oznaczonej geodezyjnie obręb Winiary (52), arkusz 27, działka 1;</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części nieruchomości niezabudowanej nr 2 oznaczonej geodezyjnie obręb Śródka (04), arkusz 16, działka 93/11;</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części nieruchomości niezabudowanej nr 3 oznaczonej geodezyjnie obręb Poznań (51), arkusz 33, działka 14/3;</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części nieruchomości niezabudowanej nr 4 oznaczonej geodezyjnie obręb Wilda (61), arkusz 08, działka 22/2;</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części nieruchomości niezabudowanej nr 5 oznaczonej geodezyjnie obręb Wilda (61), arkusz 16, działka 7/3;</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6) części nieruchomości niezabudowanej nr 6 oznaczonej geodezyjnie obręb Główna (01), arkusz 08, działka 2;</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7) części nieruchomości niezabudowanej nr 7 oznaczonej geodezyjnie obręb Śródka (04), arkusz 10, działka 1/14;</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8) części nieruchomości niezabudowanej nr 8 oznaczonej geodezyjnie obręb Rataje (05), arkusz 21, działka 3.</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4. Ilekroć w zarządzeniu jest mowa o:</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WGN – należy przez to rozumieć organizatora konkursu, czyli Wydział Gospodarki Nieruchomościami w Poznaniu;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ZDM - należy przez to rozumieć Zarząd Dróg Miejskich w Poznaniu;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Regulaminie – należy przez to rozumieć niniejszy dokument;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Konkursie – należy przez to rozumieć konkurs na umieszczenie w wybranych lokalizacjach przestrzeni nad Wartą w Poznaniu mobilnych punktów gastronomicznych w formie roweru;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Komisji konkursowej – należy przez to rozumieć zespół osób powołany niniejszym zarządzeniem Prezydenta Miasta Poznania;</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6) ofercie – należy przez to rozumieć wniosek i załączniki do wniosku;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7) Oferencie – należy przez to rozumieć podmiot, który złożył ofertę w konkursie;</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8) mobilnym punkcie gastronomicznym – należy przez to rozumieć mobilny punkt gastronomiczny w formie pojazdu usługowego funkcjonującego na bazie roweru, niewielkich rozmiarów, tj. ogółem zajmujący do 4 m</w:t>
      </w:r>
      <w:r w:rsidRPr="00482992">
        <w:rPr>
          <w:color w:val="000000"/>
          <w:sz w:val="24"/>
          <w:szCs w:val="24"/>
          <w:vertAlign w:val="superscript"/>
        </w:rPr>
        <w:t>2</w:t>
      </w:r>
      <w:r w:rsidRPr="00482992">
        <w:rPr>
          <w:color w:val="000000"/>
          <w:sz w:val="24"/>
          <w:szCs w:val="24"/>
        </w:rPr>
        <w:t xml:space="preserve"> powierzchni. Wyklucza się foodtrucki i wszelkie inne pojazdy silnikowe (np. typu trójkołowe Paggio), różnego </w:t>
      </w:r>
      <w:r w:rsidRPr="00482992">
        <w:rPr>
          <w:color w:val="000000"/>
          <w:sz w:val="24"/>
          <w:szCs w:val="24"/>
        </w:rPr>
        <w:lastRenderedPageBreak/>
        <w:t>rodzaju wózki gastronomiczne, stacjonarne stanowiska. Dopuszcza się rowery napędzane silnikiem elektrycznym;</w:t>
      </w:r>
    </w:p>
    <w:p w:rsidR="00482992" w:rsidRDefault="00482992" w:rsidP="00482992">
      <w:pPr>
        <w:spacing w:line="360" w:lineRule="auto"/>
        <w:ind w:left="680" w:hanging="340"/>
        <w:jc w:val="both"/>
        <w:rPr>
          <w:color w:val="000000"/>
          <w:sz w:val="24"/>
          <w:szCs w:val="24"/>
        </w:rPr>
      </w:pPr>
      <w:r w:rsidRPr="00482992">
        <w:rPr>
          <w:color w:val="000000"/>
          <w:sz w:val="24"/>
          <w:szCs w:val="24"/>
        </w:rPr>
        <w:t>9) lokalizacji – rozumie się przez to powierzchnię gruntu określoną w załączniku nr 1 do Regulaminu, na której może zostać umieszczony mobilny punkt gastronomiczny.</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2</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4" w:name="z2"/>
      <w:bookmarkEnd w:id="4"/>
      <w:r w:rsidRPr="00482992">
        <w:rPr>
          <w:b/>
          <w:bCs/>
          <w:color w:val="000000"/>
          <w:sz w:val="24"/>
          <w:szCs w:val="24"/>
        </w:rPr>
        <w:t>Zasady Konkursu</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Celem Konkursu jest wyłonienie ze złożonych ofert mobilnych punktów gastronomicznych mogących prowadzić działalność w wyznaczonych lokalizacjach w celu ożywienia terenów nadwarciańskich pod względem funkcjonalnym, społecznym i turystycznym.</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Rozpoczęcie procedury konkursowej nastąpi poprzez wywieszenie ogłoszenia o konkursie w siedzibach Urzędu Miasta Poznania, pl. Kolegiacki 17 (parter) oraz ul. Gronowa 20 (piętro XII), oraz zamieszczenie go na stronach internetowych Urzędu Miasta Poznania: bip.poznan.pl i rzekawartapoznania.pl. Ponadto informacja o zamieszczeniu ogłoszenia podana zostanie do publicznej wiadomości przez ogłoszenie w prasie lokalnej o zasięgu obejmującym co najmniej powiat, na terenie którego położona jest nieruchomość. Wywieszenie ogłoszenia nastąpi w dniu wywieszenia komunikatu o wykazie nieruchomości Miasta Poznania przeznaczonych do dzierżawy / najmu oraz zamieszczenia go na stronie bip.poznan.pl na okres 21 dni.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Lokalizacje określa załącznik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4. Okres udostępnienia lokalizacji następuje na czas oznaczony 33 miesięcy, liczony od dnia zawarcia umowy, przy czym zakończenie umowy nastąpi nie później niż 31 grudnia 2023 r. – dla każdej umowy z osobna. Udział w Konkursie mogą wziąć podmioty prowadzące działalność gospodarczą lub planujące prowadzić działalność gospodarczą od dnia podpisania umowy o udostępnienie lokalizacji z WGN, zgodnie z § 6 niniejszego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5. Jeden Oferent może ubiegać się maksymalnie o 2 lokalizacje ze wszystkich lokalizacji wymienionych w załączniku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6. Otwieranie ofert nastąpi według kolejności wymienionych nieruchomości w załączniku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7. Oferent zobowiązuje się do spełnienia następujących wymogów:</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mobilny punkt gastronomiczny powinien zajmować teren o powierzchni do 4 m</w:t>
      </w:r>
      <w:r w:rsidRPr="00482992">
        <w:rPr>
          <w:color w:val="000000"/>
          <w:sz w:val="24"/>
          <w:szCs w:val="24"/>
          <w:vertAlign w:val="superscript"/>
        </w:rPr>
        <w:t>2</w:t>
      </w:r>
      <w:r w:rsidRPr="00482992">
        <w:rPr>
          <w:color w:val="000000"/>
          <w:sz w:val="24"/>
          <w:szCs w:val="24"/>
        </w:rPr>
        <w: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lastRenderedPageBreak/>
        <w:t>2) mobilny punkt gastronomiczny powinien charakteryzować się wysokimi walorami estetycznymi i harmonijnie dostosowywać się do otoczenia;</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profil mobilnego punktu gastronomicznego powinien obejmować: napoje nalewane i</w:t>
      </w:r>
      <w:r w:rsidR="00314341">
        <w:rPr>
          <w:color w:val="000000"/>
          <w:sz w:val="24"/>
          <w:szCs w:val="24"/>
        </w:rPr>
        <w:t> </w:t>
      </w:r>
      <w:r w:rsidRPr="00482992">
        <w:rPr>
          <w:color w:val="000000"/>
          <w:sz w:val="24"/>
          <w:szCs w:val="24"/>
        </w:rPr>
        <w:t>podawane na miejscu, zimne lub ciepłe, lody nakładane i podawane na miejscu. Preferowane są wyroby wysokiej jakości, oryginalne, wytwarzane na niemasową skalę. Wyklucza się sprzedaż wszelkiego rodzaju napojów alkoholowych oraz produktów grillowanych, smażonych na miejscu oraz potraw określanych jako fast food.</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8. Oferent musi spełniać następujące wymogi formalne:</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nie zalegać z opłatami do ZUS i US (oryginały zaświadczeń lub kopie potwierdzone za zgodność z oryginałem powinny zostać dołączone do wniosku);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złożona oferta musi być kompletna i zawierać wniosek ze wszystkimi załącznikami wymaganymi w § 3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9. Oferta powinna być złożona w języku polskim.</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10. W konkursie mogą brać udział Oferenci, którzy okażą dowód stwierdzający tożsamość i</w:t>
      </w:r>
      <w:r w:rsidR="00314341">
        <w:rPr>
          <w:color w:val="000000"/>
          <w:sz w:val="24"/>
          <w:szCs w:val="24"/>
        </w:rPr>
        <w:t> </w:t>
      </w:r>
      <w:r w:rsidRPr="00482992">
        <w:rPr>
          <w:color w:val="000000"/>
          <w:sz w:val="24"/>
          <w:szCs w:val="24"/>
        </w:rPr>
        <w:t>dokumenty rejestrowe podmiotu (w przypadku podmiotu gospodarczego), złożą oświadczenie o zamiarze podjęcia działalności gospodarczej od dnia podpisania umowy, o</w:t>
      </w:r>
      <w:r w:rsidR="00314341">
        <w:rPr>
          <w:color w:val="000000"/>
          <w:sz w:val="24"/>
          <w:szCs w:val="24"/>
        </w:rPr>
        <w:t> </w:t>
      </w:r>
      <w:r w:rsidRPr="00482992">
        <w:rPr>
          <w:color w:val="000000"/>
          <w:sz w:val="24"/>
          <w:szCs w:val="24"/>
        </w:rPr>
        <w:t>której mowa w § 6 Regulaminu oraz inne stosowne dokumenty wymienione w</w:t>
      </w:r>
      <w:r w:rsidR="00314341">
        <w:rPr>
          <w:color w:val="000000"/>
          <w:sz w:val="24"/>
          <w:szCs w:val="24"/>
        </w:rPr>
        <w:t> </w:t>
      </w:r>
      <w:r w:rsidRPr="00482992">
        <w:rPr>
          <w:color w:val="000000"/>
          <w:sz w:val="24"/>
          <w:szCs w:val="24"/>
        </w:rPr>
        <w:t>Regulaminie.</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11. Przystąpienie do Konkursu jest jednoznaczne z akceptacją przez Oferenta Regulaminu. Oferent zobowiązuje się do przestrzegania określonych w nim zasad, jak również potwierdza, iż spełnia wszystkie warunki, które uprawniają go do udziału w Konkursie.</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12. Konkurs jest ważny bez względu na liczbę uczestników.</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13. Minimalną opłatę (czynsz) za udostępnienie lokalizacji ustala się zgodnie z tabelą stawek czynszu netto za dzierżawę/najem komunalnych nieruchomości gruntowych lub ich części na terenie miasta Poznania stanowiącą załącznik nr 1 do zarządzenia nr 865/2020/P z dnia 19 listopada 2020 r. Stawka netto na cel handlowy – stragany i inne przenośne punkty sprzedaży dla lokalizacji: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nr 1 i nr 6 znajdujących się w strefie pośredniej wynosi 21,50 zł netto/m</w:t>
      </w:r>
      <w:r w:rsidRPr="00482992">
        <w:rPr>
          <w:color w:val="000000"/>
          <w:sz w:val="24"/>
          <w:szCs w:val="24"/>
          <w:vertAlign w:val="superscript"/>
        </w:rPr>
        <w:t>2</w:t>
      </w:r>
      <w:r w:rsidRPr="00482992">
        <w:rPr>
          <w:color w:val="000000"/>
          <w:sz w:val="24"/>
          <w:szCs w:val="24"/>
        </w:rPr>
        <w:t xml:space="preserve"> za miesiąc;</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nr 2, nr 3, nr 4, nr 5, nr 7 i nr 8 znajdujących się w strefie śródmiejskiej wynosi 31,50 zł netto/m</w:t>
      </w:r>
      <w:r w:rsidRPr="00482992">
        <w:rPr>
          <w:color w:val="000000"/>
          <w:sz w:val="24"/>
          <w:szCs w:val="24"/>
          <w:vertAlign w:val="superscript"/>
        </w:rPr>
        <w:t>2</w:t>
      </w:r>
      <w:r w:rsidRPr="00482992">
        <w:rPr>
          <w:color w:val="000000"/>
          <w:sz w:val="24"/>
          <w:szCs w:val="24"/>
        </w:rPr>
        <w:t>.</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14. W ramach Konkursu Oferenci podają oferowaną miesięczną stawkę opłaty (czynszu) netto za 1 m</w:t>
      </w:r>
      <w:r w:rsidRPr="00482992">
        <w:rPr>
          <w:color w:val="000000"/>
          <w:sz w:val="24"/>
          <w:szCs w:val="24"/>
          <w:vertAlign w:val="superscript"/>
        </w:rPr>
        <w:t>2</w:t>
      </w:r>
      <w:r w:rsidRPr="00482992">
        <w:rPr>
          <w:color w:val="000000"/>
          <w:sz w:val="24"/>
          <w:szCs w:val="24"/>
        </w:rPr>
        <w:t xml:space="preserve">/miesiąc. Kwota ta musi być równa lub wyższa niż minimalna opłata określona w ust. 16 niniejszego paragrafu. Następnie Komisja konkursowa dokona </w:t>
      </w:r>
      <w:r w:rsidRPr="00482992">
        <w:rPr>
          <w:color w:val="000000"/>
          <w:sz w:val="24"/>
          <w:szCs w:val="24"/>
        </w:rPr>
        <w:lastRenderedPageBreak/>
        <w:t>wyboru oferty, która w sposób najpełniejszy spełnia kryteria podane w Regulaminie oraz uzyska najwyższą ocenę Komisji.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15. Łączna wysokość opłaty za udostępnienie lokalizacji stanowić będzie iloczyn powierzchni, jaką Oferent wygrywający Konkurs wskaże w ofercie oraz wskazanej tam stawki opłaty za 1 m</w:t>
      </w:r>
      <w:r w:rsidRPr="00482992">
        <w:rPr>
          <w:color w:val="000000"/>
          <w:sz w:val="24"/>
          <w:szCs w:val="24"/>
          <w:vertAlign w:val="superscript"/>
        </w:rPr>
        <w:t>2</w:t>
      </w:r>
      <w:r w:rsidRPr="00482992">
        <w:rPr>
          <w:color w:val="000000"/>
          <w:sz w:val="24"/>
          <w:szCs w:val="24"/>
        </w:rPr>
        <w:t>/miesiąc, do czego zostanie dodany podatek VAT wg obowiązujących stawek.</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16. Oferenci w ramach składanej oferty przedstawiają do oceny Komisji konkursowej projekt lub wizualizację czy zdjęcie mobilnego punktu gastronomicznego w jego docelowym kształcie (tj. modelu, kolorystyce, oznakowaniu) wraz z określeniem wymiarów mobilnego punktu gastronomicznego.</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17. Oferent przyjmuje do wiadomości i wyraża zgodę na ewentualną zmianę lokalizacji mobilnego punktu gastronomicznego w związku z odbywającymi się okresowymi ewentualnymi imprezami w tym miejscu. W tym przypadku WGN wskaże alternatywną lokalizację w obrębie nieruchomości, na której mieści się lokalizacja, którą Oferent użytkuje.</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18. Otwieranie ofert nastąpi według kolejności wymienionych nieruchomości w załączniku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19. WGN podpisze z wybranym Oferentem umowę, o której mowa w § 6, uprawniającą do umieszczenia mobilnego punktu gastronomicznego w lokalizacjach wskazanych w</w:t>
      </w:r>
      <w:r w:rsidR="00314341">
        <w:rPr>
          <w:color w:val="000000"/>
          <w:sz w:val="24"/>
          <w:szCs w:val="24"/>
        </w:rPr>
        <w:t> </w:t>
      </w:r>
      <w:r w:rsidRPr="00482992">
        <w:rPr>
          <w:color w:val="000000"/>
          <w:sz w:val="24"/>
          <w:szCs w:val="24"/>
        </w:rPr>
        <w:t>załączniku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20. Oferent po podpisaniu umowy na lokalizację mobilnego punktu gastronomicznego zobowiązuje się do:</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dbania o czystość otoczenia w promieniu 3 m od wyznaczonej lokalizacji;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udostępnienia ciągów komunikacyjnych na terenie zajmowanym i w jego otoczeniu, nie blokując ścieżek i dróg;</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niestawiania dodatkowych elementów w pobliżu obiektu, takich jak agregaty prądotwórcze;</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prowadzenia działalności na terenie wydzierżawionym maksymalnie do godz. 22.00;</w:t>
      </w:r>
    </w:p>
    <w:p w:rsidR="00482992" w:rsidRDefault="00482992" w:rsidP="00482992">
      <w:pPr>
        <w:spacing w:line="360" w:lineRule="auto"/>
        <w:ind w:left="680" w:hanging="340"/>
        <w:jc w:val="both"/>
        <w:rPr>
          <w:color w:val="000000"/>
          <w:sz w:val="24"/>
          <w:szCs w:val="24"/>
        </w:rPr>
      </w:pPr>
      <w:r w:rsidRPr="00482992">
        <w:rPr>
          <w:color w:val="000000"/>
          <w:sz w:val="24"/>
          <w:szCs w:val="24"/>
        </w:rPr>
        <w:t>5) wywożenia mobilnego punktu gastronomicznego z danej lokalizacji każdego dnia po zakończeniu sprzedaży.</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3</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5" w:name="z3"/>
      <w:bookmarkEnd w:id="5"/>
      <w:r w:rsidRPr="00482992">
        <w:rPr>
          <w:b/>
          <w:bCs/>
          <w:color w:val="000000"/>
          <w:sz w:val="24"/>
          <w:szCs w:val="24"/>
        </w:rPr>
        <w:t>Tryb złożenia oferty</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Oferta powinna zawierać:</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wniosek – zgodnie ze wzorem stanowiącym załącznik nr 2 do Regulaminu, który Oferent wypełnia i przedstawia w nim:</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a) nazwę i adres Oferenta, jego dane kontaktowe (telefon, adres e-mail),</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b) oferowaną stawkę czynszu dzierżawnego netto za 1 m</w:t>
      </w:r>
      <w:r w:rsidRPr="00482992">
        <w:rPr>
          <w:color w:val="000000"/>
          <w:sz w:val="24"/>
          <w:szCs w:val="24"/>
          <w:vertAlign w:val="superscript"/>
        </w:rPr>
        <w:t>2</w:t>
      </w:r>
      <w:r w:rsidRPr="00482992">
        <w:rPr>
          <w:color w:val="000000"/>
          <w:sz w:val="24"/>
          <w:szCs w:val="24"/>
        </w:rPr>
        <w:t>/miesiąc,</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c) profil sprzedaży,</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d) informację o posiadanym doświadczeniu w prowadzeniu tego typu działalności lub podobnej;</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załączniki:</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a) opis mobilnego punktu gastronomicznego z projektem lub wizualizacją czy zdjęciem mobilnego punktu gastronomicznego w jego docelowym kształcie (tj. modelu, kolorystyce, oznakowaniu) wraz z określeniem jego wymiarów;</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b) informację o produktach sprzedawanych w mobilnym punkcie gastronomicznym wraz z dokumentacją (np. certyfikat, jeżeli istnieje, wydany przez stosowne instytucje). Inne informacje: np. czy produkty będą podawane w pojemnikach, które ulegają biodegradacji, czy np. będą sprzedawane produkty zdrowej żywności;</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c) oświadczenie, że wnioskodawca dysponuje odpowiednimi zasobami ludzkimi i</w:t>
      </w:r>
      <w:r w:rsidR="00314341">
        <w:rPr>
          <w:color w:val="000000"/>
          <w:sz w:val="24"/>
          <w:szCs w:val="24"/>
        </w:rPr>
        <w:t> </w:t>
      </w:r>
      <w:r w:rsidRPr="00482992">
        <w:rPr>
          <w:color w:val="000000"/>
          <w:sz w:val="24"/>
          <w:szCs w:val="24"/>
        </w:rPr>
        <w:t>finansowymi do prowadzenia mobilnego punktu gastronomicznego;</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d) oryginały zaświadczeń lub kopie potwierdzone za zgodność z oryginałem o</w:t>
      </w:r>
      <w:r w:rsidR="00314341">
        <w:rPr>
          <w:color w:val="000000"/>
          <w:sz w:val="24"/>
          <w:szCs w:val="24"/>
        </w:rPr>
        <w:t> </w:t>
      </w:r>
      <w:r w:rsidRPr="00482992">
        <w:rPr>
          <w:color w:val="000000"/>
          <w:sz w:val="24"/>
          <w:szCs w:val="24"/>
        </w:rPr>
        <w:t>niezaleganiu z opatami do ZUS i US;</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e) aktualny odpis z KRS (spółki prawa handlowego lub innej osoby prawnej) wraz z</w:t>
      </w:r>
      <w:r w:rsidR="00314341">
        <w:rPr>
          <w:color w:val="000000"/>
          <w:sz w:val="24"/>
          <w:szCs w:val="24"/>
        </w:rPr>
        <w:t> </w:t>
      </w:r>
      <w:r w:rsidRPr="00482992">
        <w:rPr>
          <w:color w:val="000000"/>
          <w:sz w:val="24"/>
          <w:szCs w:val="24"/>
        </w:rPr>
        <w:t>oświadczeniem osób uprawnionych do reprezentacji oferenta, że od daty wydania odpisu z rejestru do dnia złożenia oferty w ramach konkursu dane zawarte w</w:t>
      </w:r>
      <w:r w:rsidR="00314341">
        <w:rPr>
          <w:color w:val="000000"/>
          <w:sz w:val="24"/>
          <w:szCs w:val="24"/>
        </w:rPr>
        <w:t> </w:t>
      </w:r>
      <w:r w:rsidRPr="00482992">
        <w:rPr>
          <w:color w:val="000000"/>
          <w:sz w:val="24"/>
          <w:szCs w:val="24"/>
        </w:rPr>
        <w:t>odpisie z rejestru nie uległy zmianie,</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f) w przypadku osób fizycznych rozliczających się w formie spółki cywilnej – kopia potwierdzona przez notariusza za zgodność z oryginałem aktualnej umowy spółki cywilnej, dane NIP i REGON,</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g) dla każdej osoby prowadzącej działalność gospodarczą wydruk z CEIDG, dane NIP i REGON.</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Oferty należy składać w siedzibie WGN Urzędu Miasta Poznania przy ul. Gronowej 20, w</w:t>
      </w:r>
      <w:r w:rsidR="00314341">
        <w:rPr>
          <w:color w:val="000000"/>
          <w:sz w:val="24"/>
          <w:szCs w:val="24"/>
        </w:rPr>
        <w:t> </w:t>
      </w:r>
      <w:r w:rsidRPr="00482992">
        <w:rPr>
          <w:color w:val="000000"/>
          <w:sz w:val="24"/>
          <w:szCs w:val="24"/>
        </w:rPr>
        <w:t xml:space="preserve">sali obsługi klienta na I piętrze, lub przesłać e-mailowo na adres gn@um.poznan.pl. Oferty składane w zaklejonej kopercie opisanej „Konkurs ofert na prowadzenie działalności w formie mobilnych punktów gastronomicznych na terenach nadwarciańskich </w:t>
      </w:r>
      <w:r w:rsidRPr="00482992">
        <w:rPr>
          <w:color w:val="000000"/>
          <w:sz w:val="24"/>
          <w:szCs w:val="24"/>
        </w:rPr>
        <w:lastRenderedPageBreak/>
        <w:t>w Poznaniu – lokalizacja nr ………”, w przypadku drogi e-mailowej treść ta powinna zostać wpisana do tytułu e-maila. W miejscu wykropkowanym należy wpisać nr lokalizacji, o którą wnioskodawca chce się ubiegać zgodnie z załącznikiem nr 1 do Regulaminu.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Termin składania ofert zostanie przedstawiony w Ogłoszeniu o konkursie. Liczy się data wpływu do WGN.</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4. Po upływie terminu przyjmowania ofert zostaną one przekazane wraz z kompletem dokumentów do przewodniczącego Komisji Konkursowej.</w:t>
      </w:r>
    </w:p>
    <w:p w:rsidR="00482992" w:rsidRDefault="00482992" w:rsidP="00482992">
      <w:pPr>
        <w:spacing w:line="360" w:lineRule="auto"/>
        <w:ind w:left="340" w:hanging="340"/>
        <w:jc w:val="both"/>
        <w:rPr>
          <w:color w:val="000000"/>
          <w:sz w:val="24"/>
          <w:szCs w:val="24"/>
        </w:rPr>
      </w:pPr>
      <w:r w:rsidRPr="00482992">
        <w:rPr>
          <w:color w:val="000000"/>
          <w:sz w:val="24"/>
          <w:szCs w:val="24"/>
        </w:rPr>
        <w:t>5. Oferty spóźnione lub wskazujące stawkę czynszu poniżej określonej w § 2 ust. 13, niekompletne lub błędnie wypełnione zostaną odrzucone.</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4</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6" w:name="z4"/>
      <w:bookmarkEnd w:id="6"/>
      <w:r w:rsidRPr="00482992">
        <w:rPr>
          <w:b/>
          <w:bCs/>
          <w:color w:val="000000"/>
          <w:sz w:val="24"/>
          <w:szCs w:val="24"/>
        </w:rPr>
        <w:t>Komisja konkursowa oraz część jawna konkursu</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Komisja konkursowa działa w następującym składzie:</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 xml:space="preserve">1) przewodniczący Komisji – Katarzyna Przybysz – WGN; </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 xml:space="preserve">2) zastępca przewodniczącego – Małgorzata Szukalska – WGN; </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 xml:space="preserve">3) sekretarz – Mateusz Rzemyszkiewicz – WGN; </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 xml:space="preserve">4) członek – Daria Gralińska – WGN; </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członek – Beata Przybylak –</w:t>
      </w:r>
      <w:r w:rsidRPr="00482992">
        <w:rPr>
          <w:color w:val="0000FF"/>
          <w:sz w:val="24"/>
          <w:szCs w:val="24"/>
        </w:rPr>
        <w:t xml:space="preserve"> </w:t>
      </w:r>
      <w:r w:rsidRPr="00482992">
        <w:rPr>
          <w:color w:val="000000"/>
          <w:sz w:val="24"/>
          <w:szCs w:val="24"/>
        </w:rPr>
        <w:t>ZDM;</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6) członek – Bartosz Wein – WGN.</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Część jawna konkursu odbywa się w miejscu i terminie wskazanym w ogłoszeniu o</w:t>
      </w:r>
      <w:r w:rsidR="00314341">
        <w:rPr>
          <w:color w:val="000000"/>
          <w:sz w:val="24"/>
          <w:szCs w:val="24"/>
        </w:rPr>
        <w:t> </w:t>
      </w:r>
      <w:r w:rsidRPr="00482992">
        <w:rPr>
          <w:color w:val="000000"/>
          <w:sz w:val="24"/>
          <w:szCs w:val="24"/>
        </w:rPr>
        <w:t>konkursie. W przypadku utrzymujących się obostrzeń w związku z trwającą epidemią COVID-19, część jawna może odbyć się wirtualnie w formie wideokonferencji.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Komisja konkursowa wykonuje  następujące czynności: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stwierdza prawidłowość ogłoszenia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ustala liczbę otrzymanych ofert;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kwalifikuje oferty do części niejawnej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zawiadamia oferentów drogą elektroniczną, na adres wskazany w ofercie, o</w:t>
      </w:r>
      <w:r w:rsidR="00314341">
        <w:rPr>
          <w:color w:val="000000"/>
          <w:sz w:val="24"/>
          <w:szCs w:val="24"/>
        </w:rPr>
        <w:t> </w:t>
      </w:r>
      <w:r w:rsidRPr="00482992">
        <w:rPr>
          <w:color w:val="000000"/>
          <w:sz w:val="24"/>
          <w:szCs w:val="24"/>
        </w:rPr>
        <w:t>przewidywanym terminie i miejscu części niejawnej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zamyka część jawną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lastRenderedPageBreak/>
        <w:t>4. Komisja konkursowa informuje uczestnika drogą elektroniczną w terminie 2 dni po zamknięciu części jawnej o niezakwalifikowaniu jego oferty do części niejawnej konkursu. Zawiadomienie zawierać będzie pisemne uzasadnienie.</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5. W toku konkursu, w pierwszej kolejności wykonywane są następujące czynności kwalifikujące oferty do części niejawnej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Komisja stwierdza prawidłowość ogłoszenia konkursu, ustala liczbę złożonych ofert oraz odrzuca oferty złożone po terminie lub z niepełnymi danymi adresowymi;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po stwierdzeniu prawidłowego terminu złożenia ofert Komisja dokonuje ich otwarcia oraz:</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a) sprawdza, czy oferta spełnia wymogi formalne określone w § 3 ust. 1,</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b) kwalifikuje oferty do części niejawnej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6. Komisja odmawia zakwalifikowania oferty do części niejawnej konkursu, jeżeli: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oferowana stawka czynszu jest niższa od stawki wywoławczej;</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nie została podpisana przez osoby upoważnione;</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nie spełnia wymogów formalnych określonych w § 3 ust. 1.</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7. Po zakończeniu części jawnej konkursu Komisja sporządza protokół, który zawiera informacje o:</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terminie, miejscu i rodzaju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podmiotach dopuszczonych i niedopuszczonych do uczestnictwa w konkursie, wraz z</w:t>
      </w:r>
      <w:r w:rsidR="00314341">
        <w:rPr>
          <w:color w:val="000000"/>
          <w:sz w:val="24"/>
          <w:szCs w:val="24"/>
        </w:rPr>
        <w:t> </w:t>
      </w:r>
      <w:r w:rsidRPr="00482992">
        <w:rPr>
          <w:color w:val="000000"/>
          <w:sz w:val="24"/>
          <w:szCs w:val="24"/>
        </w:rPr>
        <w:t>uzasadnieniem;</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imionach i nazwiskach przewodniczącego oraz członków Komisji konkursowej;</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dacie sporządzenia protokołu;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uwagach zgłoszonych przez uczestników części jawnej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6) terminie części niejawnej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8. Protokół podpisują członkowie Komisji.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9. Po zakończeniu części jawnej konkursu protokół może zostać udostępniony do wglądu uczestnikom biorącym w nim udział.</w:t>
      </w:r>
    </w:p>
    <w:p w:rsidR="00482992" w:rsidRDefault="00482992" w:rsidP="00482992">
      <w:pPr>
        <w:spacing w:line="360" w:lineRule="auto"/>
        <w:ind w:left="340" w:hanging="340"/>
        <w:jc w:val="both"/>
        <w:rPr>
          <w:color w:val="000000"/>
          <w:sz w:val="24"/>
          <w:szCs w:val="24"/>
        </w:rPr>
      </w:pPr>
      <w:r w:rsidRPr="00482992">
        <w:rPr>
          <w:color w:val="000000"/>
          <w:sz w:val="24"/>
          <w:szCs w:val="24"/>
        </w:rPr>
        <w:t>10. Rozpoczęcie części niejawnej konkursu winno nastąpić nie później niż w ciągu 14 dni od dnia zakończenia części jawnej. Przewodniczący Komisji powiadomi członków o miejscu, w którym odbędzie się część niejawna konkursu.</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5</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7" w:name="z5"/>
      <w:bookmarkEnd w:id="7"/>
      <w:r w:rsidRPr="00482992">
        <w:rPr>
          <w:b/>
          <w:bCs/>
          <w:color w:val="000000"/>
          <w:sz w:val="24"/>
          <w:szCs w:val="24"/>
        </w:rPr>
        <w:t>Tryb pracy Komisji konkursowej w części niejawnej</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Po przeprowadzeniu części jawnej przewodniczący Komisji w ramach części niejawnej zwołuje posiedzenie Komisji konkursowej w celu przeprowadzenia oceny ofert .</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Komisja konkursowa, oceniając oferty, stosuje gradację złożonych ofert (tj. wyznacza ofertę nr 1, 2, 3, itd., gdzie 1 oznacza najlepszą ofertę). W przypadku gdy z jakichkolwiek względów nie dojdzie do podpisania umowy na udostępnienie lokalizacji pod prowadzenie mobilnego punktu gastronomicznego z wybranym Oferentem, WGN podpisze umowę z</w:t>
      </w:r>
      <w:r w:rsidR="00314341">
        <w:rPr>
          <w:color w:val="000000"/>
          <w:sz w:val="24"/>
          <w:szCs w:val="24"/>
        </w:rPr>
        <w:t> </w:t>
      </w:r>
      <w:r w:rsidRPr="00482992">
        <w:rPr>
          <w:color w:val="000000"/>
          <w:sz w:val="24"/>
          <w:szCs w:val="24"/>
        </w:rPr>
        <w:t>kolejnym Oferentem, zgodnie z przydzieloną punktacją.</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Maksymalna ocena punktowa wynosi 100 pkt, Komisja ocenia oferty według następujących kryteriów, przyznając punkty w ramach skali wskazanej poniżej:</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najwyższa cena stawki czynszu netto za 1 m</w:t>
      </w:r>
      <w:r w:rsidRPr="00482992">
        <w:rPr>
          <w:color w:val="000000"/>
          <w:sz w:val="24"/>
          <w:szCs w:val="24"/>
          <w:vertAlign w:val="superscript"/>
        </w:rPr>
        <w:t>2</w:t>
      </w:r>
      <w:r w:rsidRPr="00482992">
        <w:rPr>
          <w:color w:val="000000"/>
          <w:sz w:val="24"/>
          <w:szCs w:val="24"/>
        </w:rPr>
        <w:t>/miesiąc – 40 pkt;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walory estetyczne mobilnego punktu gastronomicznego – 40 pkt;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walory gastronomiczne – 20 pkt:</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a) wysoka jakość sprzedawanych produktów, np. certyfikaty wydane przez stosowne instytucje,</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b) oryginalność, np. produkt podawany w pojemnikach, kubkach itp., które ulegają biodegradacji i został wyprodukowany z poszanowaniem środowiska naturalnego,</w:t>
      </w:r>
    </w:p>
    <w:p w:rsidR="00482992" w:rsidRPr="00482992" w:rsidRDefault="00482992" w:rsidP="00482992">
      <w:pPr>
        <w:autoSpaceDE w:val="0"/>
        <w:autoSpaceDN w:val="0"/>
        <w:adjustRightInd w:val="0"/>
        <w:spacing w:line="360" w:lineRule="auto"/>
        <w:ind w:left="1020" w:hanging="340"/>
        <w:jc w:val="both"/>
        <w:rPr>
          <w:color w:val="000000"/>
          <w:sz w:val="24"/>
          <w:szCs w:val="24"/>
        </w:rPr>
      </w:pPr>
      <w:r w:rsidRPr="00482992">
        <w:rPr>
          <w:color w:val="000000"/>
          <w:sz w:val="24"/>
          <w:szCs w:val="24"/>
        </w:rPr>
        <w:t>c) produkty zdrowej żywności.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4. Członkowie Komisji dokonują oceny każdej oferty oddzielnie według kryteriów, o których mowa w ust. 3, w następujący sposób (przy rozbieżności pomiędzy kwotami w liczbach i</w:t>
      </w:r>
      <w:r w:rsidR="00314341">
        <w:rPr>
          <w:color w:val="000000"/>
          <w:sz w:val="24"/>
          <w:szCs w:val="24"/>
        </w:rPr>
        <w:t> </w:t>
      </w:r>
      <w:r w:rsidRPr="00482992">
        <w:rPr>
          <w:color w:val="000000"/>
          <w:sz w:val="24"/>
          <w:szCs w:val="24"/>
        </w:rPr>
        <w:t>słowach – za właściwą uznaje się wartość słowną):</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ocena punktowa kryterium wskazanego w ust. 3 pkt 1 dla każdej z ofert wyliczana jest przez Sekretarza Komisji, według następującego wzoru:</w:t>
      </w:r>
    </w:p>
    <w:p w:rsidR="00482992" w:rsidRPr="00482992" w:rsidRDefault="00482992" w:rsidP="00482992">
      <w:pPr>
        <w:autoSpaceDE w:val="0"/>
        <w:autoSpaceDN w:val="0"/>
        <w:adjustRightInd w:val="0"/>
        <w:spacing w:line="360" w:lineRule="auto"/>
        <w:jc w:val="both"/>
        <w:rPr>
          <w:b/>
          <w:bCs/>
          <w:i/>
          <w:iCs/>
          <w:color w:val="000000"/>
          <w:sz w:val="24"/>
          <w:szCs w:val="24"/>
        </w:rPr>
      </w:pPr>
      <w:r w:rsidRPr="00482992">
        <w:rPr>
          <w:b/>
          <w:bCs/>
          <w:i/>
          <w:iCs/>
          <w:color w:val="000000"/>
          <w:sz w:val="24"/>
          <w:szCs w:val="24"/>
        </w:rPr>
        <w:t>C</w:t>
      </w:r>
      <w:r w:rsidRPr="00482992">
        <w:rPr>
          <w:b/>
          <w:bCs/>
          <w:i/>
          <w:iCs/>
          <w:color w:val="000000"/>
          <w:sz w:val="24"/>
          <w:szCs w:val="24"/>
          <w:vertAlign w:val="subscript"/>
        </w:rPr>
        <w:t>k</w:t>
      </w:r>
      <w:r w:rsidRPr="00482992">
        <w:rPr>
          <w:b/>
          <w:bCs/>
          <w:i/>
          <w:iCs/>
          <w:color w:val="000000"/>
          <w:sz w:val="24"/>
          <w:szCs w:val="24"/>
        </w:rPr>
        <w:t xml:space="preserve"> = (C</w:t>
      </w:r>
      <w:r w:rsidRPr="00482992">
        <w:rPr>
          <w:b/>
          <w:bCs/>
          <w:i/>
          <w:iCs/>
          <w:color w:val="000000"/>
          <w:sz w:val="24"/>
          <w:szCs w:val="24"/>
          <w:vertAlign w:val="subscript"/>
        </w:rPr>
        <w:t>of</w:t>
      </w:r>
      <w:r w:rsidRPr="00482992">
        <w:rPr>
          <w:b/>
          <w:bCs/>
          <w:i/>
          <w:iCs/>
          <w:color w:val="000000"/>
          <w:sz w:val="24"/>
          <w:szCs w:val="24"/>
        </w:rPr>
        <w:t>-C</w:t>
      </w:r>
      <w:r w:rsidRPr="00482992">
        <w:rPr>
          <w:b/>
          <w:bCs/>
          <w:i/>
          <w:iCs/>
          <w:color w:val="000000"/>
          <w:sz w:val="24"/>
          <w:szCs w:val="24"/>
          <w:vertAlign w:val="subscript"/>
        </w:rPr>
        <w:t>min</w:t>
      </w:r>
      <w:r w:rsidRPr="00482992">
        <w:rPr>
          <w:b/>
          <w:bCs/>
          <w:i/>
          <w:iCs/>
          <w:color w:val="000000"/>
          <w:sz w:val="24"/>
          <w:szCs w:val="24"/>
        </w:rPr>
        <w:t>)/(C</w:t>
      </w:r>
      <w:r w:rsidRPr="00482992">
        <w:rPr>
          <w:b/>
          <w:bCs/>
          <w:i/>
          <w:iCs/>
          <w:color w:val="000000"/>
          <w:sz w:val="24"/>
          <w:szCs w:val="24"/>
          <w:vertAlign w:val="subscript"/>
        </w:rPr>
        <w:t>max</w:t>
      </w:r>
      <w:r w:rsidRPr="00482992">
        <w:rPr>
          <w:b/>
          <w:bCs/>
          <w:i/>
          <w:iCs/>
          <w:color w:val="000000"/>
          <w:sz w:val="24"/>
          <w:szCs w:val="24"/>
        </w:rPr>
        <w:t>-C</w:t>
      </w:r>
      <w:r w:rsidRPr="00482992">
        <w:rPr>
          <w:b/>
          <w:bCs/>
          <w:i/>
          <w:iCs/>
          <w:color w:val="000000"/>
          <w:sz w:val="24"/>
          <w:szCs w:val="24"/>
          <w:vertAlign w:val="subscript"/>
        </w:rPr>
        <w:t>min</w:t>
      </w:r>
      <w:r w:rsidRPr="00482992">
        <w:rPr>
          <w:b/>
          <w:bCs/>
          <w:i/>
          <w:iCs/>
          <w:color w:val="000000"/>
          <w:sz w:val="24"/>
          <w:szCs w:val="24"/>
        </w:rPr>
        <w:t>) × waga przypisana kryterium stawki czynszu</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i/>
          <w:iCs/>
          <w:color w:val="000000"/>
          <w:sz w:val="24"/>
          <w:szCs w:val="24"/>
        </w:rPr>
        <w:t>gdzie:</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i/>
          <w:iCs/>
          <w:color w:val="000000"/>
          <w:sz w:val="24"/>
          <w:szCs w:val="24"/>
        </w:rPr>
        <w:t xml:space="preserve"> </w:t>
      </w:r>
      <w:r w:rsidRPr="00482992">
        <w:rPr>
          <w:b/>
          <w:bCs/>
          <w:i/>
          <w:iCs/>
          <w:color w:val="000000"/>
          <w:sz w:val="24"/>
          <w:szCs w:val="24"/>
        </w:rPr>
        <w:t>C</w:t>
      </w:r>
      <w:r w:rsidRPr="00482992">
        <w:rPr>
          <w:b/>
          <w:bCs/>
          <w:i/>
          <w:iCs/>
          <w:color w:val="000000"/>
          <w:sz w:val="24"/>
          <w:szCs w:val="24"/>
          <w:vertAlign w:val="subscript"/>
        </w:rPr>
        <w:t>k</w:t>
      </w:r>
      <w:r w:rsidRPr="00482992">
        <w:rPr>
          <w:i/>
          <w:iCs/>
          <w:color w:val="000000"/>
          <w:sz w:val="24"/>
          <w:szCs w:val="24"/>
          <w:vertAlign w:val="subscript"/>
        </w:rPr>
        <w:t xml:space="preserve"> </w:t>
      </w:r>
      <w:r w:rsidRPr="00482992">
        <w:rPr>
          <w:i/>
          <w:iCs/>
          <w:color w:val="000000"/>
          <w:sz w:val="24"/>
          <w:szCs w:val="24"/>
        </w:rPr>
        <w:t xml:space="preserve"> – ostateczna liczba punktów przyznana ofercie </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b/>
          <w:bCs/>
          <w:i/>
          <w:iCs/>
          <w:color w:val="000000"/>
          <w:sz w:val="24"/>
          <w:szCs w:val="24"/>
        </w:rPr>
        <w:t>C</w:t>
      </w:r>
      <w:r w:rsidRPr="00482992">
        <w:rPr>
          <w:b/>
          <w:bCs/>
          <w:i/>
          <w:iCs/>
          <w:color w:val="000000"/>
          <w:sz w:val="24"/>
          <w:szCs w:val="24"/>
          <w:vertAlign w:val="subscript"/>
        </w:rPr>
        <w:t xml:space="preserve">of </w:t>
      </w:r>
      <w:r w:rsidRPr="00482992">
        <w:rPr>
          <w:i/>
          <w:iCs/>
          <w:color w:val="000000"/>
          <w:sz w:val="24"/>
          <w:szCs w:val="24"/>
        </w:rPr>
        <w:t xml:space="preserve"> – stawka czynszu oferowana przez oferenta</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i/>
          <w:iCs/>
          <w:color w:val="000000"/>
          <w:sz w:val="24"/>
          <w:szCs w:val="24"/>
        </w:rPr>
        <w:t xml:space="preserve"> </w:t>
      </w:r>
      <w:r w:rsidRPr="00482992">
        <w:rPr>
          <w:b/>
          <w:bCs/>
          <w:i/>
          <w:iCs/>
          <w:color w:val="000000"/>
          <w:sz w:val="24"/>
          <w:szCs w:val="24"/>
        </w:rPr>
        <w:t>C</w:t>
      </w:r>
      <w:r w:rsidRPr="00482992">
        <w:rPr>
          <w:b/>
          <w:bCs/>
          <w:i/>
          <w:iCs/>
          <w:color w:val="000000"/>
          <w:sz w:val="24"/>
          <w:szCs w:val="24"/>
          <w:vertAlign w:val="subscript"/>
        </w:rPr>
        <w:t xml:space="preserve">max </w:t>
      </w:r>
      <w:r w:rsidRPr="00482992">
        <w:rPr>
          <w:i/>
          <w:iCs/>
          <w:color w:val="000000"/>
          <w:sz w:val="24"/>
          <w:szCs w:val="24"/>
        </w:rPr>
        <w:t xml:space="preserve">– najwyższa stawka czynszu oferowana w konkursie </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b/>
          <w:bCs/>
          <w:i/>
          <w:iCs/>
          <w:color w:val="000000"/>
          <w:sz w:val="24"/>
          <w:szCs w:val="24"/>
        </w:rPr>
        <w:t>C</w:t>
      </w:r>
      <w:r w:rsidRPr="00482992">
        <w:rPr>
          <w:b/>
          <w:bCs/>
          <w:i/>
          <w:iCs/>
          <w:color w:val="000000"/>
          <w:sz w:val="24"/>
          <w:szCs w:val="24"/>
          <w:vertAlign w:val="subscript"/>
        </w:rPr>
        <w:t>min</w:t>
      </w:r>
      <w:r w:rsidRPr="00482992">
        <w:rPr>
          <w:i/>
          <w:iCs/>
          <w:color w:val="000000"/>
          <w:sz w:val="24"/>
          <w:szCs w:val="24"/>
        </w:rPr>
        <w:t xml:space="preserve"> – stawka minimalna </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ocena punktowa kryterium drugiego wskazanego w ust. 3 pkt 2 – 0-40 pkt według oceny członków Komisji, pod kątem atrakcyjności aspektów wizualnych.</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ocena punktowa kryterium trzeciego wskazanego w ust. 3 pkt 3 – 0-20 pkt według oceny członków Komisji, pod kątem walorów gastronomicznych.</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lastRenderedPageBreak/>
        <w:t>5. Ostateczną ocenę punktową każdej z ofert w kryteriach 1-3, o których mowa w ust. 3, ustala się na podstawie średniej z sumy punktów przyznanych tej ofercie przez wszystkich członków Komisji biorących udział w posiedzeniu, wyliczanej wg następującego wzoru:</w:t>
      </w:r>
    </w:p>
    <w:p w:rsidR="00482992" w:rsidRPr="00482992" w:rsidRDefault="00482992" w:rsidP="00482992">
      <w:pPr>
        <w:autoSpaceDE w:val="0"/>
        <w:autoSpaceDN w:val="0"/>
        <w:adjustRightInd w:val="0"/>
        <w:spacing w:line="360" w:lineRule="auto"/>
        <w:jc w:val="both"/>
        <w:rPr>
          <w:b/>
          <w:bCs/>
          <w:i/>
          <w:iCs/>
          <w:color w:val="000000"/>
          <w:sz w:val="24"/>
          <w:szCs w:val="24"/>
        </w:rPr>
      </w:pPr>
      <w:r w:rsidRPr="00482992">
        <w:rPr>
          <w:b/>
          <w:bCs/>
          <w:i/>
          <w:iCs/>
          <w:color w:val="000000"/>
          <w:sz w:val="24"/>
          <w:szCs w:val="24"/>
        </w:rPr>
        <w:t xml:space="preserve"> O</w:t>
      </w:r>
      <w:r w:rsidRPr="00482992">
        <w:rPr>
          <w:b/>
          <w:bCs/>
          <w:i/>
          <w:iCs/>
          <w:color w:val="000000"/>
          <w:sz w:val="24"/>
          <w:szCs w:val="24"/>
          <w:vertAlign w:val="subscript"/>
        </w:rPr>
        <w:t>k</w:t>
      </w:r>
      <w:r w:rsidRPr="00482992">
        <w:rPr>
          <w:b/>
          <w:bCs/>
          <w:i/>
          <w:iCs/>
          <w:color w:val="000000"/>
          <w:sz w:val="24"/>
          <w:szCs w:val="24"/>
        </w:rPr>
        <w:t xml:space="preserve"> = (suma O</w:t>
      </w:r>
      <w:r w:rsidRPr="00482992">
        <w:rPr>
          <w:b/>
          <w:bCs/>
          <w:i/>
          <w:iCs/>
          <w:color w:val="000000"/>
          <w:sz w:val="24"/>
          <w:szCs w:val="24"/>
          <w:vertAlign w:val="subscript"/>
        </w:rPr>
        <w:t>ck</w:t>
      </w:r>
      <w:r w:rsidRPr="00482992">
        <w:rPr>
          <w:b/>
          <w:bCs/>
          <w:i/>
          <w:iCs/>
          <w:color w:val="000000"/>
          <w:sz w:val="24"/>
          <w:szCs w:val="24"/>
        </w:rPr>
        <w:t>)/n</w:t>
      </w:r>
    </w:p>
    <w:p w:rsidR="00482992" w:rsidRPr="00482992" w:rsidRDefault="00482992" w:rsidP="00482992">
      <w:pPr>
        <w:autoSpaceDE w:val="0"/>
        <w:autoSpaceDN w:val="0"/>
        <w:adjustRightInd w:val="0"/>
        <w:spacing w:line="360" w:lineRule="auto"/>
        <w:jc w:val="both"/>
        <w:rPr>
          <w:b/>
          <w:bCs/>
          <w:i/>
          <w:iCs/>
          <w:color w:val="000000"/>
          <w:sz w:val="24"/>
          <w:szCs w:val="24"/>
        </w:rPr>
      </w:pPr>
    </w:p>
    <w:p w:rsidR="00482992" w:rsidRPr="00482992" w:rsidRDefault="00482992" w:rsidP="00482992">
      <w:pPr>
        <w:autoSpaceDE w:val="0"/>
        <w:autoSpaceDN w:val="0"/>
        <w:adjustRightInd w:val="0"/>
        <w:spacing w:line="360" w:lineRule="auto"/>
        <w:jc w:val="both"/>
        <w:rPr>
          <w:b/>
          <w:bCs/>
          <w:i/>
          <w:iCs/>
          <w:color w:val="000000"/>
          <w:sz w:val="24"/>
          <w:szCs w:val="24"/>
        </w:rPr>
      </w:pPr>
      <w:r w:rsidRPr="00482992">
        <w:rPr>
          <w:i/>
          <w:iCs/>
          <w:color w:val="000000"/>
          <w:sz w:val="24"/>
          <w:szCs w:val="24"/>
        </w:rPr>
        <w:t>gdzie:</w:t>
      </w:r>
      <w:r w:rsidRPr="00482992">
        <w:rPr>
          <w:b/>
          <w:bCs/>
          <w:i/>
          <w:iCs/>
          <w:color w:val="000000"/>
          <w:sz w:val="24"/>
          <w:szCs w:val="24"/>
        </w:rPr>
        <w:t xml:space="preserve"> </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b/>
          <w:bCs/>
          <w:i/>
          <w:iCs/>
          <w:color w:val="000000"/>
          <w:sz w:val="24"/>
          <w:szCs w:val="24"/>
        </w:rPr>
        <w:t>O</w:t>
      </w:r>
      <w:r w:rsidRPr="00482992">
        <w:rPr>
          <w:b/>
          <w:bCs/>
          <w:i/>
          <w:iCs/>
          <w:color w:val="000000"/>
          <w:sz w:val="24"/>
          <w:szCs w:val="24"/>
          <w:vertAlign w:val="subscript"/>
        </w:rPr>
        <w:t>k</w:t>
      </w:r>
      <w:r w:rsidRPr="00482992">
        <w:rPr>
          <w:i/>
          <w:iCs/>
          <w:color w:val="000000"/>
          <w:sz w:val="24"/>
          <w:szCs w:val="24"/>
        </w:rPr>
        <w:t xml:space="preserve"> – ostateczna ocena punktowa oferty </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b/>
          <w:bCs/>
          <w:i/>
          <w:iCs/>
          <w:color w:val="000000"/>
          <w:sz w:val="24"/>
          <w:szCs w:val="24"/>
        </w:rPr>
        <w:t>O</w:t>
      </w:r>
      <w:r w:rsidRPr="00482992">
        <w:rPr>
          <w:b/>
          <w:bCs/>
          <w:i/>
          <w:iCs/>
          <w:color w:val="000000"/>
          <w:sz w:val="24"/>
          <w:szCs w:val="24"/>
          <w:vertAlign w:val="subscript"/>
        </w:rPr>
        <w:t>ck</w:t>
      </w:r>
      <w:r w:rsidRPr="00482992">
        <w:rPr>
          <w:i/>
          <w:iCs/>
          <w:color w:val="000000"/>
          <w:sz w:val="24"/>
          <w:szCs w:val="24"/>
        </w:rPr>
        <w:t xml:space="preserve"> – oceny uzyskane u poszczególnych członków Komisji </w:t>
      </w:r>
    </w:p>
    <w:p w:rsidR="00482992" w:rsidRPr="00482992" w:rsidRDefault="00482992" w:rsidP="00482992">
      <w:pPr>
        <w:autoSpaceDE w:val="0"/>
        <w:autoSpaceDN w:val="0"/>
        <w:adjustRightInd w:val="0"/>
        <w:spacing w:line="360" w:lineRule="auto"/>
        <w:jc w:val="both"/>
        <w:rPr>
          <w:i/>
          <w:iCs/>
          <w:color w:val="000000"/>
          <w:sz w:val="24"/>
          <w:szCs w:val="24"/>
        </w:rPr>
      </w:pPr>
      <w:r w:rsidRPr="00482992">
        <w:rPr>
          <w:b/>
          <w:bCs/>
          <w:i/>
          <w:iCs/>
          <w:color w:val="000000"/>
          <w:sz w:val="24"/>
          <w:szCs w:val="24"/>
        </w:rPr>
        <w:t xml:space="preserve">n </w:t>
      </w:r>
      <w:r w:rsidRPr="00482992">
        <w:rPr>
          <w:i/>
          <w:iCs/>
          <w:color w:val="000000"/>
          <w:sz w:val="24"/>
          <w:szCs w:val="24"/>
        </w:rPr>
        <w:t xml:space="preserve">–  liczba głosujących członków Komisji </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6. O wyborze oferty decyduje łączna liczba uzyskanych punktów. Decyzja Komisji jest ostateczna, Oferentom nie przysługuje odwołanie od decyzji Komisji.</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7. W przypadku uzyskania tej samej liczby punktów, o miejscu w hierarchii ofert decyduje suma punktów otrzymana za kryteria opisane w § 5 ust. 3 pkt 2 i 3, a w przypadku dalszego występowania równorzędności – decyduje głosowanie członków Komisji konkursowej.</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8. Wybór oferty nie stanowi podstawy do występowania przez Oferenta z jakimikolwiek roszczeniami, w tym finansowymi wobec WGN. Prowadzenie mobilnego punktu gastronomicznego może nastąpić wyłącznie po wyborze oferty, na podstawie umowy, zawartej w formie pisemnej, pod rygorem nieważności, pomiędzy WGN a wybranym Oferentem.</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9. Komisja konkursowa zastrzega sobie prawo do niewybrania żadnej oferty.</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10. Po zakończeniu części niejawnej konkursu Komisja sporządza protokół, który zawiera m.in. informacje o:</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terminie, miejscu i rodzaju konkursu;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wywoławczej stawce czynszu oraz najwyższej stawce czynszu osiągniętej w konkursie albo informacje o złożonych ofertach wraz z uzasadnieniem wyboru najkorzystniejszej z nich bądź o niewybraniu żadnej z ofert;</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3) uzasadnieniu rozstrzygnięć podjętych przez Komisję konkursową;</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4) nazwie oraz siedzibie podmiotu wyłonionego w konkursie, jako najemcy nieruchomości;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5) imionach i nazwiskach przewodniczącego oraz członków Komisji konkursowej;</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6) dacie sporządzenia protokołu;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7) terminach zawarcia umów najmu i przyczynach zmian tych terminów;</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8) zakończeniu, unieważnieniu, odwołaniu w części lub w całości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lastRenderedPageBreak/>
        <w:t>11. Do protokołu z części niejawnej załącza się protokół z części jawnej oraz wszystkie oferty złożone w konkursie oraz inne dokumenty sporządzane w trakcie trwania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12. Protokół podpisują członkowie Komisji. Każdy członek Komisji ma prawo do wpisania do protokołu swego zdania odrębnego co do ostatecznego rozstrzygnięcia.</w:t>
      </w:r>
    </w:p>
    <w:p w:rsidR="00482992" w:rsidRDefault="00482992" w:rsidP="00482992">
      <w:pPr>
        <w:spacing w:line="360" w:lineRule="auto"/>
        <w:ind w:left="340" w:hanging="340"/>
        <w:jc w:val="both"/>
        <w:rPr>
          <w:color w:val="000000"/>
          <w:sz w:val="24"/>
          <w:szCs w:val="24"/>
        </w:rPr>
      </w:pPr>
      <w:r w:rsidRPr="00482992">
        <w:rPr>
          <w:color w:val="000000"/>
          <w:sz w:val="24"/>
          <w:szCs w:val="24"/>
        </w:rPr>
        <w:t>13. Po zamknięciu postępowania konkursowego protokół może zostać udostępniony do wglądu oferentom biorącym w nim udział.</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6</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8" w:name="z6"/>
      <w:bookmarkEnd w:id="8"/>
      <w:r w:rsidRPr="00482992">
        <w:rPr>
          <w:b/>
          <w:bCs/>
          <w:color w:val="000000"/>
          <w:sz w:val="24"/>
          <w:szCs w:val="24"/>
        </w:rPr>
        <w:t>Umowa</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Po dokonaniu wyboru oferty WGN przystąpi do podpisania umowy o udostępnienie lokalizacji, o której mowa w załączniku nr 1 do Regulaminu, z przeznaczeniem na prowadzenie mobilnego punktu gastronomicznego.</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Od dnia wyboru oferty Oferent jest zobowiązany do podpisania umowy w terminie najpóźniej 14 dni roboczych. W przypadku niepodpisania umowy w tym terminie WGN będzie miał prawo zawrzeć umowę z podmiotem nr 2 w zestawieniu ofert, wybranym zgodnie z postanowieniami § 5 ust. 3 Regulaminu.</w:t>
      </w:r>
    </w:p>
    <w:p w:rsidR="00482992" w:rsidRDefault="00482992" w:rsidP="00482992">
      <w:pPr>
        <w:spacing w:line="360" w:lineRule="auto"/>
        <w:ind w:left="340" w:hanging="340"/>
        <w:jc w:val="both"/>
        <w:rPr>
          <w:color w:val="000000"/>
          <w:sz w:val="24"/>
          <w:szCs w:val="24"/>
        </w:rPr>
      </w:pPr>
      <w:r w:rsidRPr="00482992">
        <w:rPr>
          <w:color w:val="000000"/>
          <w:sz w:val="24"/>
          <w:szCs w:val="24"/>
        </w:rPr>
        <w:t>3. W przypadku niepodpisania umowy z podmiotem nr 2 WGN ma prawo podpisać umowę z</w:t>
      </w:r>
      <w:r w:rsidR="00314341">
        <w:rPr>
          <w:color w:val="000000"/>
          <w:sz w:val="24"/>
          <w:szCs w:val="24"/>
        </w:rPr>
        <w:t> </w:t>
      </w:r>
      <w:r w:rsidRPr="00482992">
        <w:rPr>
          <w:color w:val="000000"/>
          <w:sz w:val="24"/>
          <w:szCs w:val="24"/>
        </w:rPr>
        <w:t>kolejnym wnioskodawcą znajdującym się na zestawieniu ofert.</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7</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9" w:name="z7"/>
      <w:bookmarkEnd w:id="9"/>
      <w:r w:rsidRPr="00482992">
        <w:rPr>
          <w:b/>
          <w:bCs/>
          <w:color w:val="000000"/>
          <w:sz w:val="24"/>
          <w:szCs w:val="24"/>
        </w:rPr>
        <w:t>Informacja o przetwarzaniu danych osobowych</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WGN jest administratorem danych osobowych Oferentów.</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WGN będzie przetwarzać dane osobowe Oferentów na potrzeby związane z</w:t>
      </w:r>
      <w:r w:rsidR="00314341">
        <w:rPr>
          <w:color w:val="000000"/>
          <w:sz w:val="24"/>
          <w:szCs w:val="24"/>
        </w:rPr>
        <w:t> </w:t>
      </w:r>
      <w:r w:rsidRPr="00482992">
        <w:rPr>
          <w:color w:val="000000"/>
          <w:sz w:val="24"/>
          <w:szCs w:val="24"/>
        </w:rPr>
        <w:t>przeprowadzeniem i rozstrzygnięciem Konkursu.</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Podanie danych osobowych i wyrażenie zgody na ich przetwarzanie ma charakter dobrowolny.</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4. Oferentowi przysługuje prawo wglądu do swoich danych osobowych oraz prawo ich poprawiania.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lastRenderedPageBreak/>
        <w:t>5. Podanie danych osobowych jest niezbędne do realizacji usługi polegającej na przetwarzaniu danych niezbędnych do przeprowadzenia Konkursu oraz późniejszego zawarcia i wykonania umowy przez Oferenta wygrywającego Konkurs.</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6. Dane osobowe wskazane w umowie będą przetwarzane w celu jej zawarcia i wykonania.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7. Informacje na temat przetwarzania danych osobowych znajdują się pod adresem: https://www.um.poznan.pl/klauzulainformacyjna/.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8. Kontakt z Inspektorem Ochrony Danych jest możliwy za pomocą adresu e-mail: iod@um.poznan.pl lub pisemnie na adres: plac Kolegiacki 17, 61-841 Poznań.</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9. Dane osobowe przetwarzane są na podstawie zgody użytkownika.</w:t>
      </w:r>
    </w:p>
    <w:p w:rsidR="00482992" w:rsidRDefault="00482992" w:rsidP="00482992">
      <w:pPr>
        <w:spacing w:line="360" w:lineRule="auto"/>
        <w:ind w:left="340" w:hanging="340"/>
        <w:jc w:val="both"/>
        <w:rPr>
          <w:color w:val="000000"/>
          <w:sz w:val="24"/>
          <w:szCs w:val="24"/>
        </w:rPr>
      </w:pPr>
      <w:r w:rsidRPr="00482992">
        <w:rPr>
          <w:color w:val="000000"/>
          <w:sz w:val="24"/>
          <w:szCs w:val="24"/>
        </w:rPr>
        <w:t>10. Przetwarzane są kategorie Pani/Pana danych osobowych podane w ofercie.</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8</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10" w:name="z8"/>
      <w:bookmarkEnd w:id="10"/>
      <w:r w:rsidRPr="00482992">
        <w:rPr>
          <w:b/>
          <w:bCs/>
          <w:color w:val="000000"/>
          <w:sz w:val="24"/>
          <w:szCs w:val="24"/>
        </w:rPr>
        <w:t>Unieważnienie i zamknięcie konkursu</w:t>
      </w:r>
    </w:p>
    <w:p w:rsidR="00482992" w:rsidRPr="00482992" w:rsidRDefault="00482992" w:rsidP="00482992">
      <w:pPr>
        <w:autoSpaceDE w:val="0"/>
        <w:autoSpaceDN w:val="0"/>
        <w:adjustRightInd w:val="0"/>
        <w:spacing w:line="360" w:lineRule="auto"/>
        <w:jc w:val="both"/>
        <w:rPr>
          <w:b/>
          <w:bCs/>
          <w:color w:val="000000"/>
          <w:sz w:val="24"/>
          <w:szCs w:val="24"/>
        </w:rPr>
      </w:pP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1. Konkurs unieważnia się w części lub całości, jeżeli: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nie wpłynęła żadna oferta;</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Komisja konkursowa odrzuciła wszystkie oferty lub nie wybrała żadnej oferty.</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2. Dyrektor WGN Urzędu Miasta Poznania może odwołać rozpisany konkurs w części lub całości, informując o tym niezwłocznie w formie właściwej dla ogłoszenia o konkursie, bez pokrycia jakichkolwiek kosztów jego uczestników związanych z przygotowaniem oferty oraz ewentualnych utraconych korzyści spowodowanych odwołaniem konkursu. Powyższe stosuje się odpowiednio do unieważnienia albo zakończenia konkursu i</w:t>
      </w:r>
      <w:r w:rsidR="00314341">
        <w:rPr>
          <w:color w:val="000000"/>
          <w:sz w:val="24"/>
          <w:szCs w:val="24"/>
        </w:rPr>
        <w:t> </w:t>
      </w:r>
      <w:r w:rsidRPr="00482992">
        <w:rPr>
          <w:color w:val="000000"/>
          <w:sz w:val="24"/>
          <w:szCs w:val="24"/>
        </w:rPr>
        <w:t>niewybrania żadnej z ofert.</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t>3. Konkurs uznaje się za zamknięty w części lub w całości:</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1) w przypadku zawarcia umowy najmu;</w:t>
      </w:r>
    </w:p>
    <w:p w:rsidR="00482992" w:rsidRPr="00482992" w:rsidRDefault="00482992" w:rsidP="00482992">
      <w:pPr>
        <w:autoSpaceDE w:val="0"/>
        <w:autoSpaceDN w:val="0"/>
        <w:adjustRightInd w:val="0"/>
        <w:spacing w:line="360" w:lineRule="auto"/>
        <w:ind w:left="680" w:hanging="340"/>
        <w:jc w:val="both"/>
        <w:rPr>
          <w:color w:val="000000"/>
          <w:sz w:val="24"/>
          <w:szCs w:val="24"/>
        </w:rPr>
      </w:pPr>
      <w:r w:rsidRPr="00482992">
        <w:rPr>
          <w:color w:val="000000"/>
          <w:sz w:val="24"/>
          <w:szCs w:val="24"/>
        </w:rPr>
        <w:t>2) po upływie 3 dni od terminu zawarcia umowy z drugim oferentem;</w:t>
      </w:r>
    </w:p>
    <w:p w:rsidR="00482992" w:rsidRDefault="00482992" w:rsidP="00482992">
      <w:pPr>
        <w:spacing w:line="360" w:lineRule="auto"/>
        <w:ind w:left="680" w:hanging="340"/>
        <w:jc w:val="both"/>
        <w:rPr>
          <w:color w:val="000000"/>
          <w:sz w:val="24"/>
          <w:szCs w:val="24"/>
        </w:rPr>
      </w:pPr>
      <w:r w:rsidRPr="00482992">
        <w:rPr>
          <w:color w:val="000000"/>
          <w:sz w:val="24"/>
          <w:szCs w:val="24"/>
        </w:rPr>
        <w:t>3) po upływie 6 dni w przypadku braku uzasadnionej nieobecności drugiego oferenta w</w:t>
      </w:r>
      <w:r w:rsidR="00314341">
        <w:rPr>
          <w:color w:val="000000"/>
          <w:sz w:val="24"/>
          <w:szCs w:val="24"/>
        </w:rPr>
        <w:t> </w:t>
      </w:r>
      <w:r w:rsidRPr="00482992">
        <w:rPr>
          <w:color w:val="000000"/>
          <w:sz w:val="24"/>
          <w:szCs w:val="24"/>
        </w:rPr>
        <w:t>wyznaczonym terminie lub nieprzystąpienia do zawarcia umowy najmu w kolejno wyznaczonym terminie.</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b/>
          <w:color w:val="000000"/>
          <w:sz w:val="24"/>
        </w:rPr>
      </w:pPr>
      <w:r>
        <w:rPr>
          <w:b/>
          <w:color w:val="000000"/>
          <w:sz w:val="24"/>
        </w:rPr>
        <w:t>§ 9</w:t>
      </w:r>
    </w:p>
    <w:p w:rsidR="00482992" w:rsidRDefault="00482992" w:rsidP="00482992">
      <w:pPr>
        <w:keepNext/>
        <w:spacing w:line="360" w:lineRule="auto"/>
        <w:rPr>
          <w:color w:val="000000"/>
          <w:sz w:val="24"/>
        </w:rPr>
      </w:pPr>
    </w:p>
    <w:p w:rsidR="00482992" w:rsidRPr="00482992" w:rsidRDefault="00482992" w:rsidP="00482992">
      <w:pPr>
        <w:autoSpaceDE w:val="0"/>
        <w:autoSpaceDN w:val="0"/>
        <w:adjustRightInd w:val="0"/>
        <w:spacing w:line="360" w:lineRule="auto"/>
        <w:jc w:val="both"/>
        <w:rPr>
          <w:b/>
          <w:bCs/>
          <w:color w:val="000000"/>
          <w:sz w:val="24"/>
          <w:szCs w:val="24"/>
        </w:rPr>
      </w:pPr>
      <w:bookmarkStart w:id="11" w:name="z9"/>
      <w:bookmarkEnd w:id="11"/>
      <w:r w:rsidRPr="00482992">
        <w:rPr>
          <w:b/>
          <w:bCs/>
          <w:color w:val="000000"/>
          <w:sz w:val="24"/>
          <w:szCs w:val="24"/>
        </w:rPr>
        <w:t>Wykonanie zarządzenia</w:t>
      </w:r>
    </w:p>
    <w:p w:rsidR="00482992" w:rsidRPr="00482992" w:rsidRDefault="00482992" w:rsidP="00482992">
      <w:pPr>
        <w:autoSpaceDE w:val="0"/>
        <w:autoSpaceDN w:val="0"/>
        <w:adjustRightInd w:val="0"/>
        <w:spacing w:line="360" w:lineRule="auto"/>
        <w:ind w:left="340" w:hanging="340"/>
        <w:jc w:val="both"/>
        <w:rPr>
          <w:color w:val="000000"/>
          <w:sz w:val="24"/>
          <w:szCs w:val="24"/>
        </w:rPr>
      </w:pPr>
      <w:r w:rsidRPr="00482992">
        <w:rPr>
          <w:color w:val="000000"/>
          <w:sz w:val="24"/>
          <w:szCs w:val="24"/>
        </w:rPr>
        <w:lastRenderedPageBreak/>
        <w:t>1. Wykonanie zarządzenia powierza się Dyrektorowi Wydziału Gospodarki Nieruchomościami Urzędu Miasta Poznania.</w:t>
      </w:r>
    </w:p>
    <w:p w:rsidR="00482992" w:rsidRDefault="00482992" w:rsidP="00482992">
      <w:pPr>
        <w:spacing w:line="360" w:lineRule="auto"/>
        <w:ind w:left="340" w:hanging="340"/>
        <w:jc w:val="both"/>
        <w:rPr>
          <w:color w:val="000000"/>
          <w:sz w:val="24"/>
          <w:szCs w:val="24"/>
        </w:rPr>
      </w:pPr>
      <w:r w:rsidRPr="00482992">
        <w:rPr>
          <w:color w:val="000000"/>
          <w:sz w:val="24"/>
          <w:szCs w:val="24"/>
        </w:rPr>
        <w:t>2. Zarządzenie wchodzi w życie z dniem podpisania.</w:t>
      </w:r>
    </w:p>
    <w:p w:rsidR="00482992" w:rsidRDefault="00482992" w:rsidP="00482992">
      <w:pPr>
        <w:spacing w:line="360" w:lineRule="auto"/>
        <w:jc w:val="both"/>
        <w:rPr>
          <w:color w:val="000000"/>
          <w:sz w:val="24"/>
        </w:rPr>
      </w:pPr>
    </w:p>
    <w:p w:rsidR="00482992" w:rsidRDefault="00482992" w:rsidP="00482992">
      <w:pPr>
        <w:keepNext/>
        <w:spacing w:line="360" w:lineRule="auto"/>
        <w:jc w:val="center"/>
        <w:rPr>
          <w:color w:val="000000"/>
          <w:sz w:val="24"/>
        </w:rPr>
      </w:pPr>
      <w:r>
        <w:rPr>
          <w:color w:val="000000"/>
          <w:sz w:val="24"/>
        </w:rPr>
        <w:t>Z up. PREZYDENTA MIASTA</w:t>
      </w:r>
    </w:p>
    <w:p w:rsidR="00482992" w:rsidRDefault="00482992" w:rsidP="00482992">
      <w:pPr>
        <w:keepNext/>
        <w:spacing w:line="360" w:lineRule="auto"/>
        <w:jc w:val="center"/>
        <w:rPr>
          <w:color w:val="000000"/>
          <w:sz w:val="24"/>
        </w:rPr>
      </w:pPr>
      <w:r>
        <w:rPr>
          <w:color w:val="000000"/>
          <w:sz w:val="24"/>
        </w:rPr>
        <w:t>(-) Bartosz Guss</w:t>
      </w:r>
    </w:p>
    <w:p w:rsidR="00482992" w:rsidRPr="00482992" w:rsidRDefault="00482992" w:rsidP="00482992">
      <w:pPr>
        <w:keepNext/>
        <w:spacing w:line="360" w:lineRule="auto"/>
        <w:jc w:val="center"/>
        <w:rPr>
          <w:color w:val="000000"/>
          <w:sz w:val="24"/>
        </w:rPr>
      </w:pPr>
      <w:r>
        <w:rPr>
          <w:color w:val="000000"/>
          <w:sz w:val="24"/>
        </w:rPr>
        <w:t>Z-CA PREZYDENTA MIASTA POZNANIA</w:t>
      </w:r>
    </w:p>
    <w:sectPr w:rsidR="00482992" w:rsidRPr="00482992" w:rsidSect="00482992">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92" w:rsidRDefault="00482992">
      <w:r>
        <w:separator/>
      </w:r>
    </w:p>
  </w:endnote>
  <w:endnote w:type="continuationSeparator" w:id="0">
    <w:p w:rsidR="00482992" w:rsidRDefault="0048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92" w:rsidRDefault="00482992">
      <w:r>
        <w:separator/>
      </w:r>
    </w:p>
  </w:footnote>
  <w:footnote w:type="continuationSeparator" w:id="0">
    <w:p w:rsidR="00482992" w:rsidRDefault="00482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5 marca 2021r."/>
    <w:docVar w:name="AktNr" w:val="285/2021/P"/>
    <w:docVar w:name="Sprawa" w:val="konkursu ofert na prowadzenie działalności w formie mobilnych punktów gastronomicznych w wybranych lokalizacjach przestrzeni miejskiej nad Wartą w Poznaniu."/>
  </w:docVars>
  <w:rsids>
    <w:rsidRoot w:val="00482992"/>
    <w:rsid w:val="00072485"/>
    <w:rsid w:val="000C07FF"/>
    <w:rsid w:val="000E2E12"/>
    <w:rsid w:val="00167A3B"/>
    <w:rsid w:val="002C4925"/>
    <w:rsid w:val="00314341"/>
    <w:rsid w:val="003679C6"/>
    <w:rsid w:val="00373368"/>
    <w:rsid w:val="00451FF2"/>
    <w:rsid w:val="0048299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B5E80-3E69-450D-801A-3C0B533F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13</Pages>
  <Words>3209</Words>
  <Characters>19928</Characters>
  <Application>Microsoft Office Word</Application>
  <DocSecurity>0</DocSecurity>
  <Lines>415</Lines>
  <Paragraphs>231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2021-03-26T09:32:00Z</dcterms:created>
  <dcterms:modified xsi:type="dcterms:W3CDTF">2021-03-26T09:32:00Z</dcterms:modified>
</cp:coreProperties>
</file>