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0B44">
          <w:t>556/2021/P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D0B44">
        <w:rPr>
          <w:b/>
          <w:sz w:val="28"/>
        </w:rPr>
        <w:fldChar w:fldCharType="separate"/>
      </w:r>
      <w:r w:rsidR="009D0B44">
        <w:rPr>
          <w:b/>
          <w:sz w:val="28"/>
        </w:rPr>
        <w:t>1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D0B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0B44">
              <w:rPr>
                <w:b/>
                <w:sz w:val="24"/>
                <w:szCs w:val="24"/>
              </w:rPr>
              <w:fldChar w:fldCharType="separate"/>
            </w:r>
            <w:r w:rsidR="009D0B44">
              <w:rPr>
                <w:b/>
                <w:sz w:val="24"/>
                <w:szCs w:val="24"/>
              </w:rPr>
              <w:t>zarządzenie w sprawie określenia zasad lokalizacji sezonowych ogródków gastronomicznych lub stoisk promocyjnych na gruntach stanowiących własność Miasta Poznania lub zarządzanych przez Miasto Poznań i miejskie jednostki organizacyjne, w tym w pasie drogowym dróg publicznych zarządzanych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D0B44" w:rsidP="009D0B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0B44">
        <w:rPr>
          <w:color w:val="000000"/>
          <w:sz w:val="24"/>
        </w:rPr>
        <w:t xml:space="preserve">Na podstawie </w:t>
      </w:r>
      <w:r w:rsidRPr="009D0B44">
        <w:rPr>
          <w:color w:val="000000"/>
          <w:sz w:val="24"/>
          <w:szCs w:val="24"/>
        </w:rPr>
        <w:t>art. 30 ust. 2 pkt 3 ustawy z dnia 8 marca 1990 r. o samorządzie gminnym (t.j. Dz. U. z 2020 r. poz. 713</w:t>
      </w:r>
      <w:r w:rsidRPr="009D0B44">
        <w:rPr>
          <w:color w:val="000000"/>
          <w:sz w:val="24"/>
        </w:rPr>
        <w:t xml:space="preserve"> zarządza się, co następuje:</w:t>
      </w:r>
    </w:p>
    <w:p w:rsidR="009D0B44" w:rsidRDefault="009D0B44" w:rsidP="009D0B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0B44" w:rsidRDefault="009D0B44" w:rsidP="009D0B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0B44">
        <w:rPr>
          <w:color w:val="000000"/>
          <w:sz w:val="24"/>
          <w:szCs w:val="24"/>
        </w:rPr>
        <w:t>W zarządzeniu Nr 158/2020/P Prezydenta Miasta Poznania z dnia 26 lutego 2020 r.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zmienionym zarządzeniami: Nr 274/2020/P z dnia 1 kwietnia 2020 r., Nr 334/2020/P z dnia 6 maja 2020 r., Nr 381/2020/P z dnia 25 maja 2020 r., Nr 786/2020/P z dnia 22 października 2021 r., Nr 910/2020/P z dnia 27 listopada 2020 r., Nr 292/2021/P z dnia 29 marca 2021 r., uchyla się § 8 ust. 5.</w:t>
      </w:r>
    </w:p>
    <w:p w:rsidR="009D0B44" w:rsidRDefault="009D0B44" w:rsidP="009D0B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0B44" w:rsidRDefault="009D0B44" w:rsidP="009D0B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0B44">
        <w:rPr>
          <w:color w:val="000000"/>
          <w:sz w:val="24"/>
          <w:szCs w:val="24"/>
        </w:rPr>
        <w:t>Wykonanie zarządzenia powierza się właściwym Zarządcom.</w:t>
      </w:r>
    </w:p>
    <w:p w:rsidR="009D0B44" w:rsidRDefault="009D0B44" w:rsidP="009D0B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D0B44" w:rsidRDefault="009D0B44" w:rsidP="009D0B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0B44">
        <w:rPr>
          <w:color w:val="000000"/>
          <w:sz w:val="24"/>
          <w:szCs w:val="24"/>
        </w:rPr>
        <w:t>Zarządzenie wchodzi w życie z dniem podpisania.</w:t>
      </w:r>
    </w:p>
    <w:p w:rsidR="009D0B44" w:rsidRDefault="009D0B44" w:rsidP="009D0B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D0B44" w:rsidRPr="009D0B44" w:rsidRDefault="009D0B44" w:rsidP="009D0B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0B44" w:rsidRPr="009D0B44" w:rsidSect="009D0B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44" w:rsidRDefault="009D0B44">
      <w:r>
        <w:separator/>
      </w:r>
    </w:p>
  </w:endnote>
  <w:endnote w:type="continuationSeparator" w:id="0">
    <w:p w:rsidR="009D0B44" w:rsidRDefault="009D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44" w:rsidRDefault="009D0B44">
      <w:r>
        <w:separator/>
      </w:r>
    </w:p>
  </w:footnote>
  <w:footnote w:type="continuationSeparator" w:id="0">
    <w:p w:rsidR="009D0B44" w:rsidRDefault="009D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1r."/>
    <w:docVar w:name="AktNr" w:val="556/2021/P"/>
    <w:docVar w:name="Sprawa" w:val="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"/>
  </w:docVars>
  <w:rsids>
    <w:rsidRoot w:val="009D0B4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0B4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33FF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69D92-F545-4E63-8CDF-0212E0B2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216</Words>
  <Characters>1191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2021-07-01T11:50:00Z</dcterms:created>
  <dcterms:modified xsi:type="dcterms:W3CDTF">2021-07-01T11:50:00Z</dcterms:modified>
</cp:coreProperties>
</file>