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2B6B59">
        <w:tc>
          <w:tcPr>
            <w:tcW w:w="1368" w:type="dxa"/>
            <w:shd w:val="clear" w:color="auto" w:fill="auto"/>
          </w:tcPr>
          <w:p w:rsidR="00FA63B5" w:rsidRDefault="00FA63B5" w:rsidP="002B6B5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2B6B59">
            <w:pPr>
              <w:spacing w:line="360" w:lineRule="auto"/>
              <w:jc w:val="both"/>
            </w:pPr>
            <w:r w:rsidRPr="002B6B59">
              <w:rPr>
                <w:b/>
              </w:rPr>
              <w:fldChar w:fldCharType="begin"/>
            </w:r>
            <w:r w:rsidRPr="002B6B59">
              <w:rPr>
                <w:b/>
              </w:rPr>
              <w:instrText xml:space="preserve"> DOCVARIABLE  Sprawa  \* MERGEFORMAT </w:instrText>
            </w:r>
            <w:r w:rsidRPr="002B6B59">
              <w:rPr>
                <w:b/>
              </w:rPr>
              <w:fldChar w:fldCharType="separate"/>
            </w:r>
            <w:r w:rsidR="006B0EB3" w:rsidRPr="002B6B59">
              <w:rPr>
                <w:b/>
              </w:rPr>
              <w:t xml:space="preserve">nabycia przez Miasto Poznań własności nieruchomości położonych w Poznaniu przy ulicy Braniewskiej - Myśliborskiej - Tczewskiej, oznaczonych w ewidencji gruntów jako działki nr 108/10, 108/31, 108/35 z arkusza mapy 12 obr. Krzyżowniki, zapisanych w księdze wieczystej </w:t>
            </w:r>
            <w:r w:rsidR="003A15CE" w:rsidRPr="002B6B59">
              <w:rPr>
                <w:b/>
              </w:rPr>
              <w:t>……………..</w:t>
            </w:r>
            <w:r w:rsidR="006B0EB3" w:rsidRPr="002B6B59">
              <w:rPr>
                <w:b/>
              </w:rPr>
              <w:t xml:space="preserve"> oraz działki nr 108/32 z arkusza mapy 12 obr. Krzyżowniki, zapisanej w księdze wieczystej </w:t>
            </w:r>
            <w:r w:rsidR="003A15CE" w:rsidRPr="002B6B59">
              <w:rPr>
                <w:b/>
              </w:rPr>
              <w:t>…………….</w:t>
            </w:r>
            <w:r w:rsidR="006B0EB3" w:rsidRPr="002B6B59">
              <w:rPr>
                <w:b/>
              </w:rPr>
              <w:t xml:space="preserve">. </w:t>
            </w:r>
            <w:r w:rsidRPr="002B6B59">
              <w:rPr>
                <w:b/>
              </w:rPr>
              <w:fldChar w:fldCharType="end"/>
            </w:r>
          </w:p>
        </w:tc>
      </w:tr>
    </w:tbl>
    <w:p w:rsidR="00FA63B5" w:rsidRPr="006B0EB3" w:rsidRDefault="00FA63B5" w:rsidP="006B0EB3">
      <w:pPr>
        <w:spacing w:line="360" w:lineRule="auto"/>
        <w:jc w:val="both"/>
      </w:pPr>
      <w:bookmarkStart w:id="1" w:name="z1"/>
      <w:bookmarkEnd w:id="1"/>
    </w:p>
    <w:p w:rsidR="006B0EB3" w:rsidRPr="006B0EB3" w:rsidRDefault="006B0EB3" w:rsidP="006B0EB3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6B0EB3" w:rsidRPr="006B0EB3" w:rsidRDefault="006B0EB3" w:rsidP="006B0EB3">
      <w:pPr>
        <w:tabs>
          <w:tab w:val="left" w:pos="360"/>
          <w:tab w:val="left" w:pos="72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B0EB3">
        <w:rPr>
          <w:color w:val="000000"/>
        </w:rPr>
        <w:t>Nieruchomość opisana w § 1 pkt 2</w:t>
      </w:r>
      <w:r w:rsidRPr="006B0EB3">
        <w:rPr>
          <w:b/>
          <w:bCs/>
          <w:color w:val="000000"/>
          <w:szCs w:val="22"/>
        </w:rPr>
        <w:t xml:space="preserve"> </w:t>
      </w:r>
      <w:r w:rsidRPr="006B0EB3">
        <w:rPr>
          <w:color w:val="000000"/>
          <w:szCs w:val="22"/>
        </w:rPr>
        <w:t>zlokalizowana jest w zachodniej części miasta Poznania, w</w:t>
      </w:r>
      <w:r w:rsidR="002A0BAD">
        <w:rPr>
          <w:color w:val="000000"/>
          <w:szCs w:val="22"/>
        </w:rPr>
        <w:t> </w:t>
      </w:r>
      <w:r w:rsidRPr="006B0EB3">
        <w:rPr>
          <w:color w:val="000000"/>
          <w:szCs w:val="22"/>
        </w:rPr>
        <w:t>obrębie Krzyżowniki, przy skrzyżowaniu ulic Tczewskiej i Myśliborskiej. W najbliższym jej otoczeniu znajduje się: zabudowa mieszkaniowa jednorodzinna o zróżnicowanym stopniu utrzymania, zabudowa usługowo-handlowa, szkoła podstawowa, kompleks boisk sportowych oraz cmentarz. Działki tworzą kompleks w kształcie prostokąta, ukształtowanie terenu jest płaskie. Nieruchomość zabudowana jest budynkiem przedszkola i budynkiem gospodarczo-garażowym. Budynek przedszkola w zabudowie wolno stojącej, powstał w 1988 roku. Powierzchnia użytkowa przedszkola wynosi 1012,9 m</w:t>
      </w:r>
      <w:r w:rsidRPr="006B0EB3">
        <w:rPr>
          <w:color w:val="000000"/>
          <w:szCs w:val="22"/>
          <w:vertAlign w:val="superscript"/>
        </w:rPr>
        <w:t>2</w:t>
      </w:r>
      <w:r w:rsidRPr="006B0EB3">
        <w:rPr>
          <w:color w:val="000000"/>
          <w:szCs w:val="22"/>
        </w:rPr>
        <w:t>, powierzchnia zabudowy wynosi 759,9 m</w:t>
      </w:r>
      <w:r w:rsidRPr="006B0EB3">
        <w:rPr>
          <w:color w:val="000000"/>
          <w:szCs w:val="22"/>
          <w:vertAlign w:val="superscript"/>
        </w:rPr>
        <w:t>2</w:t>
      </w:r>
      <w:r w:rsidRPr="006B0EB3">
        <w:rPr>
          <w:color w:val="000000"/>
          <w:szCs w:val="22"/>
        </w:rPr>
        <w:t>, kubatura wynosi 3854,0 m</w:t>
      </w:r>
      <w:r w:rsidRPr="006B0EB3">
        <w:rPr>
          <w:color w:val="000000"/>
          <w:szCs w:val="22"/>
          <w:vertAlign w:val="superscript"/>
        </w:rPr>
        <w:t>3</w:t>
      </w:r>
      <w:r w:rsidRPr="006B0EB3">
        <w:rPr>
          <w:color w:val="000000"/>
          <w:szCs w:val="22"/>
        </w:rPr>
        <w:t>. Budynek wyposażony jest we wszystkie instalacje techniczno-sanitarne, centralne ogrzewanie. Budynek gospodarczo-garażowy w zabudowie wolno stojącej ma powierzchni</w:t>
      </w:r>
      <w:r w:rsidRPr="006B0EB3">
        <w:rPr>
          <w:strike/>
          <w:color w:val="000000"/>
          <w:szCs w:val="22"/>
        </w:rPr>
        <w:t>ę</w:t>
      </w:r>
      <w:r w:rsidRPr="006B0EB3">
        <w:rPr>
          <w:color w:val="000000"/>
          <w:szCs w:val="22"/>
        </w:rPr>
        <w:t xml:space="preserve"> zabudowy 32,7 m</w:t>
      </w:r>
      <w:r w:rsidRPr="006B0EB3">
        <w:rPr>
          <w:color w:val="000000"/>
          <w:szCs w:val="22"/>
          <w:vertAlign w:val="superscript"/>
        </w:rPr>
        <w:t>2</w:t>
      </w:r>
      <w:r w:rsidRPr="006B0EB3">
        <w:rPr>
          <w:color w:val="000000"/>
          <w:szCs w:val="22"/>
        </w:rPr>
        <w:t xml:space="preserve">. Teren całej nieruchomości jest ogrodzony, zagospodarowany z utwardzeniami, nasadzeniami ozdobnymi, murowanym ogrodzeniem śmietnika, wiatą stalową, lampami oświetleniowymi oraz placem zabaw. Nieruchomość posiada dostęp do następujących sieci infrastruktury technicznej: wodociągowej, kanalizacyjnej, gazowej, elektroenergetycznej, telekomunikacyjnej. Dojazd do nieruchomości realizowany jest oświetlonymi drogami o nawierzchni utwardzonej, o niskim natężeniu ruchu. Nieruchomość wskazana w </w:t>
      </w:r>
      <w:r w:rsidRPr="006B0EB3">
        <w:rPr>
          <w:color w:val="000000"/>
        </w:rPr>
        <w:t xml:space="preserve">§ 1 pkt </w:t>
      </w:r>
      <w:r w:rsidRPr="006B0EB3">
        <w:rPr>
          <w:color w:val="000000"/>
          <w:szCs w:val="22"/>
        </w:rPr>
        <w:t xml:space="preserve">1 zarządzenia również zlokalizowana jest w zachodniej części miasta Poznania, przy skrzyżowaniu ulic Tczewskiej i Myśliborskiej. </w:t>
      </w:r>
      <w:r w:rsidRPr="006B0EB3">
        <w:rPr>
          <w:color w:val="000000"/>
          <w:szCs w:val="22"/>
        </w:rPr>
        <w:lastRenderedPageBreak/>
        <w:t>Zabudowana jest stacją transformatorową zasilającą</w:t>
      </w:r>
      <w:r w:rsidRPr="006B0EB3">
        <w:rPr>
          <w:strike/>
          <w:color w:val="000000"/>
          <w:szCs w:val="22"/>
        </w:rPr>
        <w:t xml:space="preserve"> </w:t>
      </w:r>
      <w:r w:rsidRPr="006B0EB3">
        <w:rPr>
          <w:color w:val="000000"/>
          <w:szCs w:val="22"/>
        </w:rPr>
        <w:t xml:space="preserve">obiekt przedszkola (zlokalizowanego na nieruchomości wskazanej w </w:t>
      </w:r>
      <w:r w:rsidRPr="006B0EB3">
        <w:rPr>
          <w:color w:val="000000"/>
        </w:rPr>
        <w:t>§ 1 pkt 2) oraz fragmentem chodnika.</w:t>
      </w:r>
    </w:p>
    <w:p w:rsidR="006B0EB3" w:rsidRPr="006B0EB3" w:rsidRDefault="006B0EB3" w:rsidP="006B0EB3">
      <w:pPr>
        <w:tabs>
          <w:tab w:val="left" w:pos="360"/>
          <w:tab w:val="left" w:pos="72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6B0EB3">
        <w:rPr>
          <w:color w:val="000000"/>
          <w:szCs w:val="22"/>
        </w:rPr>
        <w:t xml:space="preserve">Powyższe nieruchomości znajdują się na terenie, dla którego obowiązuje miejscowy plan zagospodarowania przestrzennego „W rejonie ulicy Gajewskiej” w Poznaniu (uchwała Nr XIX/242/VI/2011 Rady Miasta Poznania z dnia 18 października 2011 r.), w którym to: nieruchomość wskazana w </w:t>
      </w:r>
      <w:r w:rsidRPr="006B0EB3">
        <w:rPr>
          <w:color w:val="000000"/>
        </w:rPr>
        <w:t xml:space="preserve">§ 1 pkt </w:t>
      </w:r>
      <w:r w:rsidRPr="006B0EB3">
        <w:rPr>
          <w:color w:val="000000"/>
          <w:szCs w:val="22"/>
        </w:rPr>
        <w:t>1 (zwana również Nieruchomością 1) oznaczona jest symbolem 2E – tereny infrastruktury technicznej – elektroenergetyki (81,64%) oraz symbolem 2KD-D – tereny dróg publicznych (18,36%), natomiast nieruchomość określona w</w:t>
      </w:r>
      <w:r w:rsidR="002A0BAD">
        <w:rPr>
          <w:color w:val="000000"/>
          <w:szCs w:val="22"/>
        </w:rPr>
        <w:t> </w:t>
      </w:r>
      <w:r w:rsidRPr="006B0EB3">
        <w:rPr>
          <w:color w:val="000000"/>
        </w:rPr>
        <w:t>§ 1 pkt 2</w:t>
      </w:r>
      <w:r w:rsidRPr="006B0EB3">
        <w:rPr>
          <w:color w:val="000000"/>
          <w:szCs w:val="22"/>
        </w:rPr>
        <w:t xml:space="preserve"> (zwana również Nieruchomością 2) oznaczona jest symbolem Uo – tereny zabudowy usługowej – usługi oświaty. Nieruchomość 1 i Nieruchomość 2 w dalszej części mogą być również zwane łącznie Nieruchomościami.</w:t>
      </w:r>
    </w:p>
    <w:p w:rsidR="006B0EB3" w:rsidRPr="006B0EB3" w:rsidRDefault="006B0EB3" w:rsidP="006B0EB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6B0EB3">
        <w:rPr>
          <w:color w:val="000000"/>
          <w:szCs w:val="22"/>
        </w:rPr>
        <w:t>Nieruchomość 2 stanowi własność Miasta Poznania na podstawie decyzji Wojewody Poznańskiego z dnia 08.08.1996 r., nr GG-VIIA 7252/03/7271/95 i przekazana została w</w:t>
      </w:r>
      <w:r w:rsidR="002A0BAD">
        <w:rPr>
          <w:color w:val="000000"/>
          <w:szCs w:val="22"/>
        </w:rPr>
        <w:t> </w:t>
      </w:r>
      <w:r w:rsidRPr="006B0EB3">
        <w:rPr>
          <w:color w:val="000000"/>
          <w:szCs w:val="22"/>
        </w:rPr>
        <w:t xml:space="preserve">trwały zarząd Przedszkolu nr 14 „Polne Kwiaty”.  </w:t>
      </w:r>
    </w:p>
    <w:p w:rsidR="006B0EB3" w:rsidRPr="006B0EB3" w:rsidRDefault="006B0EB3" w:rsidP="006B0EB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6B0EB3">
        <w:rPr>
          <w:color w:val="000000"/>
          <w:szCs w:val="22"/>
        </w:rPr>
        <w:t>Nieruchomość 1 stanowi własność Miasta Poznania na podstawie decyzji Wojewody Poznańskiego z dnia 20.02.1997 r., nr GG-CII-A/7252/03/1785/96/5149.</w:t>
      </w:r>
    </w:p>
    <w:p w:rsidR="006B0EB3" w:rsidRPr="006B0EB3" w:rsidRDefault="006B0EB3" w:rsidP="006B0EB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6B0EB3">
        <w:rPr>
          <w:color w:val="000000"/>
          <w:szCs w:val="22"/>
        </w:rPr>
        <w:t>Nieruchomości zostały przejęte na rzecz Skarbu Państwa aktem notarialnym z dnia 14.04.1959 r., na podstawie ustawy o podziale nieruchomości na obszarze miast i osiedli. Umowa zawierała określenie celu przejęcia nieruchomości pod ulice i zieleń publiczną. Obecnie na Nieruchomości 1 znajduje się Przedszkole nr 14 „Polne Kwiaty” wraz z</w:t>
      </w:r>
      <w:r w:rsidR="002A0BAD">
        <w:rPr>
          <w:color w:val="000000"/>
          <w:szCs w:val="22"/>
        </w:rPr>
        <w:t> </w:t>
      </w:r>
      <w:r w:rsidRPr="006B0EB3">
        <w:rPr>
          <w:color w:val="000000"/>
          <w:szCs w:val="22"/>
        </w:rPr>
        <w:t xml:space="preserve">infrastrukturą, a na Nieruchomości 2 znajduje się stacja transformatorowa zasilająca obiekt przedszkola. </w:t>
      </w:r>
    </w:p>
    <w:p w:rsidR="006B0EB3" w:rsidRPr="006B0EB3" w:rsidRDefault="006B0EB3" w:rsidP="006B0EB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6B0EB3">
        <w:rPr>
          <w:color w:val="000000"/>
          <w:szCs w:val="22"/>
        </w:rPr>
        <w:t xml:space="preserve">Zgodnie z planem zagospodarowania przestrzennego teren przeznaczony jest pod usługi oświaty. W 2002 r. wpłynął wniosek byłych właścicieli nieruchomości o ich zwrot. </w:t>
      </w:r>
    </w:p>
    <w:p w:rsidR="006B0EB3" w:rsidRPr="006B0EB3" w:rsidRDefault="006B0EB3" w:rsidP="006B0E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6B0EB3">
        <w:rPr>
          <w:color w:val="000000"/>
          <w:szCs w:val="22"/>
        </w:rPr>
        <w:t>Decyzją z dnia 08.02.2017 r. nr GN.7221-2-00134/05 Starosta Poznański odmówił zwrotu przedmiotowych nieruchomości. Następnie Wojewoda Wielkopolski decyzją z dnia 28.11.2017 r. nr SN-III.7515.1.20.2017.15 utrzymał w mocy decyzję Starosty Poznańskiego o</w:t>
      </w:r>
      <w:r w:rsidR="002A0BAD">
        <w:rPr>
          <w:color w:val="000000"/>
          <w:szCs w:val="22"/>
        </w:rPr>
        <w:t> </w:t>
      </w:r>
      <w:r w:rsidRPr="006B0EB3">
        <w:rPr>
          <w:color w:val="000000"/>
          <w:szCs w:val="22"/>
        </w:rPr>
        <w:t xml:space="preserve">odmowie zwrotu. Wyrokiem z dnia 19.09.2018 r. sygn. akt IV SA/Po 141/18 Wojewódzki Sąd Administracyjny w Poznaniu uchylił korzystne dla Miasta Poznania decyzje. W związku z tym Miasto Poznań dnia 07.11.2018 r. wniosło skargę kasacyjną do Naczelnego Sądu Administracyjnego. Zakładając, że Naczelny Sąd Administracyjny oddali skargę kasacyjną </w:t>
      </w:r>
      <w:r w:rsidRPr="006B0EB3">
        <w:rPr>
          <w:color w:val="000000"/>
          <w:szCs w:val="22"/>
        </w:rPr>
        <w:lastRenderedPageBreak/>
        <w:t>Miasta Poznania, postępowanie o zwrot wróci do organu I instancji, który zgodnie z</w:t>
      </w:r>
      <w:r w:rsidR="002A0BAD">
        <w:rPr>
          <w:color w:val="000000"/>
          <w:szCs w:val="22"/>
        </w:rPr>
        <w:t> </w:t>
      </w:r>
      <w:r w:rsidRPr="006B0EB3">
        <w:rPr>
          <w:color w:val="000000"/>
          <w:szCs w:val="22"/>
        </w:rPr>
        <w:t>wytycznymi sądu wyda kolejne orzeczenie w tej sprawie.</w:t>
      </w:r>
    </w:p>
    <w:p w:rsidR="006B0EB3" w:rsidRPr="006B0EB3" w:rsidRDefault="006B0EB3" w:rsidP="006B0E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6B0EB3" w:rsidRPr="006B0EB3" w:rsidRDefault="006B0EB3" w:rsidP="006B0EB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6B0EB3">
        <w:rPr>
          <w:color w:val="000000"/>
          <w:szCs w:val="22"/>
        </w:rPr>
        <w:t xml:space="preserve">Oprócz wyżej wspomnianego postępowania prowadzone są również inne postępowania: </w:t>
      </w:r>
    </w:p>
    <w:p w:rsidR="006B0EB3" w:rsidRPr="006B0EB3" w:rsidRDefault="006B0EB3" w:rsidP="006B0EB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6B0EB3">
        <w:rPr>
          <w:color w:val="000000"/>
          <w:szCs w:val="22"/>
        </w:rPr>
        <w:t xml:space="preserve">- w odniesieniu do działek </w:t>
      </w:r>
      <w:r w:rsidRPr="006B0EB3">
        <w:rPr>
          <w:b/>
          <w:bCs/>
          <w:color w:val="000000"/>
          <w:szCs w:val="22"/>
        </w:rPr>
        <w:t>108/27 i 106/2</w:t>
      </w:r>
      <w:r w:rsidRPr="006B0EB3">
        <w:rPr>
          <w:color w:val="000000"/>
          <w:szCs w:val="22"/>
        </w:rPr>
        <w:t xml:space="preserve"> z arkusza mapy 12, obrębu Krzyżowniki Starosta Poznański wydał decyzję nr GN.7221-2-00134/05 13.03.2017 r. o zwrocie nieruchomości na rzecz wcześniejszych właścicieli, z uwagi na brak realizacji celu ich przejęcia. Następnie Wojewoda Wielopolski decyzją z dnia 30.11.2017 r. nr SN-III.7515.1.26.2017.15 utrzymał w</w:t>
      </w:r>
      <w:r w:rsidR="002A0BAD">
        <w:rPr>
          <w:color w:val="000000"/>
          <w:szCs w:val="22"/>
        </w:rPr>
        <w:t> </w:t>
      </w:r>
      <w:r w:rsidRPr="006B0EB3">
        <w:rPr>
          <w:color w:val="000000"/>
          <w:szCs w:val="22"/>
        </w:rPr>
        <w:t>macy decyzję Starosty Poznańskiego w zakresie zwrotu działki nr 106/2, natomiast w</w:t>
      </w:r>
      <w:r w:rsidR="002A0BAD">
        <w:rPr>
          <w:color w:val="000000"/>
          <w:szCs w:val="22"/>
        </w:rPr>
        <w:t> </w:t>
      </w:r>
      <w:r w:rsidRPr="006B0EB3">
        <w:rPr>
          <w:color w:val="000000"/>
          <w:szCs w:val="22"/>
        </w:rPr>
        <w:t>zakresie działki nr 108/27, uchylił decyzję i orzekł o odmowie zwrotu. Wyrokiem z dnia 19 lipca 2018 r. sygn. akt II SA/Po 115/18, Wojewódzki Sąd Administracyjny oddalił skargę Miasta Poznania w zakresie zwrotu działki nr 106/2 oraz uchylił decyzję Wojewody w</w:t>
      </w:r>
      <w:r w:rsidR="002A0BAD">
        <w:rPr>
          <w:color w:val="000000"/>
          <w:szCs w:val="22"/>
        </w:rPr>
        <w:t> </w:t>
      </w:r>
      <w:r w:rsidRPr="006B0EB3">
        <w:rPr>
          <w:color w:val="000000"/>
          <w:szCs w:val="22"/>
        </w:rPr>
        <w:t xml:space="preserve">zakresie odmowy zwrotu działki nr 108/27. </w:t>
      </w:r>
      <w:r w:rsidRPr="003A15CE">
        <w:rPr>
          <w:color w:val="000000"/>
          <w:szCs w:val="22"/>
        </w:rPr>
        <w:t>Ze skargi kasacyjnej złożonej przez Miasto Poznań prowadzona była sprawa przed NSA. Wyrokiem z dnia 20.07.2021 r., sygn. II SA/Po 115/187 NSA oddalił skargę kasacyjną Miasta Poznania, w związku z tym postępowanie zwrotowe w zakresie dz. 108/27 wróci do organu II instancji, który zgodnie z wytycznymi sądu wyda kolejne orzeczenie w sprawie. Natomiast w zakresie działki nr 106/2, postępowanie zwrotowe zakończyło się.</w:t>
      </w:r>
      <w:r w:rsidRPr="006B0EB3">
        <w:rPr>
          <w:color w:val="000000"/>
          <w:szCs w:val="22"/>
        </w:rPr>
        <w:t xml:space="preserve"> Istnieje realne ryzyko zwrotu przedmiotowych nieruchomości na rzecz poprzednich właścicieli.</w:t>
      </w:r>
    </w:p>
    <w:p w:rsidR="006B0EB3" w:rsidRPr="006B0EB3" w:rsidRDefault="006B0EB3" w:rsidP="006B0EB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6B0EB3">
        <w:rPr>
          <w:color w:val="000000"/>
          <w:szCs w:val="22"/>
        </w:rPr>
        <w:t xml:space="preserve">- w odniesieniu do działek nr </w:t>
      </w:r>
      <w:r w:rsidRPr="006B0EB3">
        <w:rPr>
          <w:b/>
          <w:bCs/>
          <w:color w:val="000000"/>
          <w:szCs w:val="22"/>
        </w:rPr>
        <w:t>108/29, 108/23 i 108/24</w:t>
      </w:r>
      <w:r w:rsidRPr="006B0EB3">
        <w:rPr>
          <w:color w:val="000000"/>
          <w:szCs w:val="22"/>
        </w:rPr>
        <w:t xml:space="preserve"> z arkusza mapy 12, obr. Krzyżowniki, Starosta Poznański decyzją z dnia 17.04.2015 r. , nr GN.7221-2-00134/05 orzekł o zwrocie ww. działek na rzecz wcześniejszych właś</w:t>
      </w:r>
      <w:bookmarkStart w:id="2" w:name="_GoBack"/>
      <w:bookmarkEnd w:id="2"/>
      <w:r w:rsidRPr="006B0EB3">
        <w:rPr>
          <w:color w:val="000000"/>
          <w:szCs w:val="22"/>
        </w:rPr>
        <w:t xml:space="preserve">cicieli. Następnie Wojewoda Wielkopolski decyzją z dnia 30.09.2015 r. nr SN-III.7515.1.38.2015.2 uchylił przedmiotową decyzję i przekazał sprawę do ponownego rozpatrzenia organu I instancji. Skargę do Wojewódzkiego Sądu Administracyjnego w Poznaniu złożyli wnioskodawcy. Wyrokiem z dnia 06.04.2016 r. sygn. akt IV SA/Po 1023/15, Wojewódzki Sąd Administracyjny w Poznaniu, oddalił skargę, tym samym sprawa zwrotu wróciła do Starosty Poznańskiego. </w:t>
      </w:r>
    </w:p>
    <w:p w:rsidR="006B0EB3" w:rsidRPr="006B0EB3" w:rsidRDefault="006B0EB3" w:rsidP="006B0EB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6B0EB3">
        <w:rPr>
          <w:color w:val="000000"/>
          <w:szCs w:val="22"/>
        </w:rPr>
        <w:t xml:space="preserve">Z uwagi na niekorzystne orzeczenia WSA zachodzi realne ryzyko utraty przez Miasto Poznań własności działek </w:t>
      </w:r>
      <w:r w:rsidRPr="006B0EB3">
        <w:rPr>
          <w:b/>
          <w:bCs/>
          <w:color w:val="000000"/>
          <w:szCs w:val="22"/>
        </w:rPr>
        <w:t>108/10, 108/31, 108/35, 108/32</w:t>
      </w:r>
      <w:r w:rsidRPr="006B0EB3">
        <w:rPr>
          <w:color w:val="000000"/>
          <w:szCs w:val="22"/>
        </w:rPr>
        <w:t xml:space="preserve"> z arkusza mapy 12, obręb Krzyżowniki. Strony, w celu uregulowania stanu prawnego i faktycznego niniejszych nieruchomości, postanowiły zawrzeć przedwstępną umowę sprzedaży własności przedmiotowych działek pod warunkiem, że: </w:t>
      </w:r>
    </w:p>
    <w:p w:rsidR="006B0EB3" w:rsidRPr="006B0EB3" w:rsidRDefault="006B0EB3" w:rsidP="006B0EB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2"/>
        </w:rPr>
      </w:pPr>
      <w:r w:rsidRPr="006B0EB3">
        <w:rPr>
          <w:color w:val="000000"/>
          <w:szCs w:val="22"/>
        </w:rPr>
        <w:lastRenderedPageBreak/>
        <w:t>1.</w:t>
      </w:r>
      <w:r w:rsidRPr="006B0EB3">
        <w:rPr>
          <w:color w:val="000000"/>
          <w:szCs w:val="22"/>
        </w:rPr>
        <w:tab/>
      </w:r>
      <w:r w:rsidRPr="006B0EB3">
        <w:rPr>
          <w:b/>
          <w:bCs/>
          <w:color w:val="000000"/>
          <w:szCs w:val="22"/>
        </w:rPr>
        <w:t xml:space="preserve">Starosta Poznański wyda na rzecz Strony decyzje o zwrocie Nieruchomości stanowiących obecnie własność Miasta Poznania a Strony nie złożą odwołania od decyzji Starosty Poznańskiego. </w:t>
      </w:r>
    </w:p>
    <w:p w:rsidR="006B0EB3" w:rsidRPr="006B0EB3" w:rsidRDefault="006B0EB3" w:rsidP="006B0EB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2"/>
        </w:rPr>
      </w:pPr>
    </w:p>
    <w:p w:rsidR="006B0EB3" w:rsidRPr="006B0EB3" w:rsidRDefault="006B0EB3" w:rsidP="006B0EB3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2"/>
        </w:rPr>
      </w:pPr>
      <w:r w:rsidRPr="006B0EB3">
        <w:rPr>
          <w:color w:val="000000"/>
          <w:szCs w:val="22"/>
        </w:rPr>
        <w:t>2.</w:t>
      </w:r>
      <w:r w:rsidRPr="006B0EB3">
        <w:rPr>
          <w:color w:val="000000"/>
          <w:szCs w:val="22"/>
        </w:rPr>
        <w:tab/>
      </w:r>
      <w:r w:rsidRPr="006B0EB3">
        <w:rPr>
          <w:b/>
          <w:bCs/>
          <w:color w:val="000000"/>
          <w:szCs w:val="22"/>
        </w:rPr>
        <w:t>Wojewoda Wielkopolski wyda decyzje na rzecz Strony o zwrocie nieruchomości stanowiącej obecnie własność Miasta Poznania, położonej w Poznaniu ul. Braniewskiej –</w:t>
      </w:r>
      <w:r w:rsidR="002A0BAD">
        <w:rPr>
          <w:b/>
          <w:bCs/>
          <w:color w:val="000000"/>
          <w:szCs w:val="22"/>
        </w:rPr>
        <w:t> </w:t>
      </w:r>
      <w:r w:rsidRPr="006B0EB3">
        <w:rPr>
          <w:b/>
          <w:bCs/>
          <w:color w:val="000000"/>
          <w:szCs w:val="22"/>
        </w:rPr>
        <w:t>Myśliborskiej, oznaczonej w ewidencji gruntów: obręb Krzyżowniki, ark. mapy 12, działka nr 108/27, a Strony nie złożą skargi na decyzję Wojewody Wielkopolskiego.</w:t>
      </w:r>
    </w:p>
    <w:p w:rsidR="006B0EB3" w:rsidRPr="006B0EB3" w:rsidRDefault="006B0EB3" w:rsidP="006B0EB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2"/>
        </w:rPr>
      </w:pPr>
    </w:p>
    <w:p w:rsidR="006B0EB3" w:rsidRPr="006B0EB3" w:rsidRDefault="006B0EB3" w:rsidP="006B0EB3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2"/>
        </w:rPr>
      </w:pPr>
      <w:r w:rsidRPr="006B0EB3">
        <w:rPr>
          <w:color w:val="000000"/>
          <w:szCs w:val="22"/>
        </w:rPr>
        <w:t>3.</w:t>
      </w:r>
      <w:r w:rsidRPr="006B0EB3">
        <w:rPr>
          <w:color w:val="000000"/>
          <w:szCs w:val="22"/>
        </w:rPr>
        <w:tab/>
      </w:r>
      <w:r w:rsidRPr="006B0EB3">
        <w:rPr>
          <w:b/>
          <w:bCs/>
          <w:color w:val="000000"/>
          <w:szCs w:val="22"/>
        </w:rPr>
        <w:t>Starosta Poznański wyda decyzje o odmowie zwrotu działek 108/24, 108/23 cz. oraz działki nr 108/29 (realizacja celu publicznego) oraz o zwrocie części działki nr 108/23 cz., na której usytuowane są miejsca postojowe, a Strony postępowania zobowiążą się nie składać środka zaskarżenia od ww. decyzji.</w:t>
      </w:r>
    </w:p>
    <w:p w:rsidR="006B0EB3" w:rsidRPr="006B0EB3" w:rsidRDefault="006B0EB3" w:rsidP="006B0EB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2"/>
        </w:rPr>
      </w:pPr>
    </w:p>
    <w:p w:rsidR="006B0EB3" w:rsidRPr="006B0EB3" w:rsidRDefault="006B0EB3" w:rsidP="006B0EB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6B0EB3">
        <w:rPr>
          <w:color w:val="000000"/>
          <w:szCs w:val="22"/>
        </w:rPr>
        <w:t>4.</w:t>
      </w:r>
      <w:r w:rsidRPr="006B0EB3">
        <w:rPr>
          <w:color w:val="000000"/>
          <w:szCs w:val="22"/>
        </w:rPr>
        <w:tab/>
        <w:t xml:space="preserve">ww. decyzje uzyskają prawomocność i ostateczność. </w:t>
      </w:r>
    </w:p>
    <w:p w:rsidR="006B0EB3" w:rsidRPr="006B0EB3" w:rsidRDefault="006B0EB3" w:rsidP="006B0EB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</w:p>
    <w:p w:rsidR="006B0EB3" w:rsidRPr="006B0EB3" w:rsidRDefault="006B0EB3" w:rsidP="006B0EB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6B0EB3">
        <w:rPr>
          <w:color w:val="000000"/>
          <w:szCs w:val="22"/>
        </w:rPr>
        <w:t>Zawarcie umowy przyrzeczonej sprzedaży własności nieruchomości nastąpi w terminie zgodnie ustalonym przez strony, po ziszczeniu się warunków, o których mowa w pkt 1-4, nie później jednak niż w terminie 1 roku od dnia podpisania umowy przedwstępnej.</w:t>
      </w:r>
    </w:p>
    <w:p w:rsidR="006B0EB3" w:rsidRPr="006B0EB3" w:rsidRDefault="006B0EB3" w:rsidP="006B0EB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6B0EB3">
        <w:rPr>
          <w:color w:val="000000"/>
          <w:szCs w:val="22"/>
        </w:rPr>
        <w:t>Cena nieruchomości została zgodnie ustalona przez strony, a podstawą podjętych negocjacji były operaty szacunkowego wykonane przez biegłego rzeczoznawcę majątkowego.</w:t>
      </w:r>
    </w:p>
    <w:p w:rsidR="006B0EB3" w:rsidRPr="006B0EB3" w:rsidRDefault="006B0EB3" w:rsidP="006B0EB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</w:p>
    <w:p w:rsidR="006B0EB3" w:rsidRPr="006B0EB3" w:rsidRDefault="006B0EB3" w:rsidP="006B0E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6B0EB3">
        <w:rPr>
          <w:color w:val="000000"/>
          <w:szCs w:val="22"/>
        </w:rPr>
        <w:t xml:space="preserve">Przedszkole nr 14 „Polne Kwiaty” jest jedyną taką placówką w rejonie Krzyżowniki-Smochowice. Do niniejszego przedszkola uczęszcza 150 dzieci. Nie ma możliwości przeniesienia przedszkola do innej lokalizacji. W związku z powyższym zasadne jest pozyskanie Nieruchomości do zasobu nieruchomości Miasta Poznania. </w:t>
      </w:r>
    </w:p>
    <w:p w:rsidR="006B0EB3" w:rsidRPr="006B0EB3" w:rsidRDefault="006B0EB3" w:rsidP="006B0E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6B0EB3">
        <w:rPr>
          <w:color w:val="000000"/>
          <w:szCs w:val="22"/>
        </w:rPr>
        <w:t xml:space="preserve">Stosownie do § 3 uchwały Nr LXI/840/V/2009 Rady Miasta Poznania z dnia 13 października 2009 r. w sprawie zasad gospodarowania nieruchomościami Miasta Poznania (z późn. zm.): </w:t>
      </w:r>
      <w:r w:rsidRPr="006B0EB3">
        <w:rPr>
          <w:i/>
          <w:iCs/>
          <w:color w:val="000000"/>
          <w:szCs w:val="22"/>
        </w:rPr>
        <w:t>Poza przypadkami, gdy ustawa albo przepisy szczególne przewidują taki obowiązek, Prezydent Miasta Poznania nabywa nieruchomości, gdy są one niezbędne do realizacji celów publicznych i zadań własnych Miasta Poznania</w:t>
      </w:r>
      <w:r w:rsidRPr="006B0EB3">
        <w:rPr>
          <w:color w:val="000000"/>
          <w:szCs w:val="22"/>
        </w:rPr>
        <w:t xml:space="preserve"> (...).</w:t>
      </w:r>
    </w:p>
    <w:p w:rsidR="006B0EB3" w:rsidRPr="006B0EB3" w:rsidRDefault="006B0EB3" w:rsidP="006B0E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6B0EB3" w:rsidRPr="006B0EB3" w:rsidRDefault="006B0EB3" w:rsidP="006B0E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6B0EB3">
        <w:rPr>
          <w:color w:val="000000"/>
          <w:szCs w:val="22"/>
        </w:rPr>
        <w:lastRenderedPageBreak/>
        <w:t>Nabycie Nieruchomości do zasobu Miasta Poznania uzasadnione jest realizacją zadań własnych gminy, w rozumieniu art. 7 ust. 1 pkt 8 i 10 ustawy z dnia 8 marca 1990 r. o</w:t>
      </w:r>
      <w:r w:rsidR="002A0BAD">
        <w:rPr>
          <w:color w:val="000000"/>
          <w:szCs w:val="22"/>
        </w:rPr>
        <w:t> </w:t>
      </w:r>
      <w:r w:rsidRPr="006B0EB3">
        <w:rPr>
          <w:color w:val="000000"/>
          <w:szCs w:val="22"/>
        </w:rPr>
        <w:t xml:space="preserve">samorządzie gminnym (Dz. U. z 2019 r. poz. 506): </w:t>
      </w:r>
      <w:r w:rsidRPr="006B0EB3">
        <w:rPr>
          <w:i/>
          <w:iCs/>
          <w:color w:val="000000"/>
          <w:szCs w:val="22"/>
        </w:rPr>
        <w:t>Do zadań własnych gminy należy zaspokajanie zbiorowych potrzeb wspólnoty. W szczególności zadania własne obejmują sprawy: (...) edukacji publicznej, (…) kultury fizycznej i turystyki, w tym terenów rekreacyjnych i urządzeń sportowych</w:t>
      </w:r>
      <w:r w:rsidRPr="006B0EB3">
        <w:rPr>
          <w:color w:val="000000"/>
          <w:szCs w:val="22"/>
        </w:rPr>
        <w:t>.</w:t>
      </w:r>
    </w:p>
    <w:p w:rsidR="006B0EB3" w:rsidRDefault="006B0EB3" w:rsidP="006B0EB3">
      <w:pPr>
        <w:spacing w:line="360" w:lineRule="auto"/>
        <w:jc w:val="both"/>
        <w:rPr>
          <w:color w:val="000000"/>
        </w:rPr>
      </w:pPr>
      <w:r w:rsidRPr="006B0EB3">
        <w:rPr>
          <w:color w:val="000000"/>
          <w:szCs w:val="22"/>
        </w:rPr>
        <w:t>Mając na względzie powyższe, podjęcie zarządzenia jest w pełni słuszne i uzasadnione</w:t>
      </w:r>
      <w:r w:rsidRPr="006B0EB3">
        <w:rPr>
          <w:color w:val="000000"/>
        </w:rPr>
        <w:t>.</w:t>
      </w:r>
    </w:p>
    <w:p w:rsidR="006B0EB3" w:rsidRDefault="006B0EB3" w:rsidP="006B0EB3">
      <w:pPr>
        <w:spacing w:line="360" w:lineRule="auto"/>
        <w:jc w:val="both"/>
      </w:pPr>
    </w:p>
    <w:p w:rsidR="006B0EB3" w:rsidRDefault="006B0EB3" w:rsidP="006B0EB3">
      <w:pPr>
        <w:keepNext/>
        <w:spacing w:line="360" w:lineRule="auto"/>
        <w:jc w:val="center"/>
      </w:pPr>
      <w:r>
        <w:t>DYREKTOR WYDZIAŁU</w:t>
      </w:r>
    </w:p>
    <w:p w:rsidR="006B0EB3" w:rsidRPr="006B0EB3" w:rsidRDefault="006B0EB3" w:rsidP="006B0EB3">
      <w:pPr>
        <w:keepNext/>
        <w:spacing w:line="360" w:lineRule="auto"/>
        <w:jc w:val="center"/>
      </w:pPr>
      <w:r>
        <w:t>(-) Magda Albińska</w:t>
      </w:r>
    </w:p>
    <w:sectPr w:rsidR="006B0EB3" w:rsidRPr="006B0EB3" w:rsidSect="006B0E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B59" w:rsidRDefault="002B6B59">
      <w:r>
        <w:separator/>
      </w:r>
    </w:p>
  </w:endnote>
  <w:endnote w:type="continuationSeparator" w:id="0">
    <w:p w:rsidR="002B6B59" w:rsidRDefault="002B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B59" w:rsidRDefault="002B6B59">
      <w:r>
        <w:separator/>
      </w:r>
    </w:p>
  </w:footnote>
  <w:footnote w:type="continuationSeparator" w:id="0">
    <w:p w:rsidR="002B6B59" w:rsidRDefault="002B6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własności nieruchomości położonych w Poznaniu przy ulicy Braniewskiej - Myśliborskiej - Tczewskiej, oznaczonych w ewidencji gruntów jako działki nr 108/10, 108/31, 108/35 z arkusza mapy 12 obr. Krzyżowniki, zapisanych w księdze wieczystej PO1P/00116133/1 oraz działki nr 108/32 z arkusza mapy 12 obr. Krzyżowniki, zapisanej w księdze wieczystej PO1P/00116132/4. "/>
  </w:docVars>
  <w:rsids>
    <w:rsidRoot w:val="006B0EB3"/>
    <w:rsid w:val="000607A3"/>
    <w:rsid w:val="001B1D53"/>
    <w:rsid w:val="0022095A"/>
    <w:rsid w:val="002946C5"/>
    <w:rsid w:val="002A0BAD"/>
    <w:rsid w:val="002B6B59"/>
    <w:rsid w:val="002C29F3"/>
    <w:rsid w:val="003A15CE"/>
    <w:rsid w:val="006B0EB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CE1D5"/>
  <w15:chartTrackingRefBased/>
  <w15:docId w15:val="{51E4EB31-3F6D-4773-8E8F-5189DCF0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5</Pages>
  <Words>1361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2021-08-18T11:02:00Z</dcterms:created>
  <dcterms:modified xsi:type="dcterms:W3CDTF">2021-08-18T11:09:00Z</dcterms:modified>
</cp:coreProperties>
</file>