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EA882" w14:textId="29F42814" w:rsidR="0009318F" w:rsidRPr="007102AB" w:rsidRDefault="008E618F" w:rsidP="007102AB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lang w:eastAsia="zh-CN"/>
        </w:rPr>
      </w:pPr>
      <w:bookmarkStart w:id="0" w:name="_top"/>
      <w:bookmarkEnd w:id="0"/>
      <w:r w:rsidRPr="007102AB">
        <w:rPr>
          <w:rFonts w:ascii="Times New Roman" w:eastAsia="Times New Roman" w:hAnsi="Times New Roman" w:cs="Times New Roman"/>
          <w:b/>
          <w:sz w:val="20"/>
          <w:lang w:eastAsia="zh-CN"/>
        </w:rPr>
        <w:t>Załącznik do zarządzenia Nr</w:t>
      </w:r>
      <w:r w:rsidR="0009318F" w:rsidRPr="007102AB">
        <w:rPr>
          <w:rFonts w:ascii="Times New Roman" w:eastAsia="Times New Roman" w:hAnsi="Times New Roman" w:cs="Times New Roman"/>
          <w:b/>
          <w:sz w:val="20"/>
          <w:lang w:eastAsia="zh-CN"/>
        </w:rPr>
        <w:t xml:space="preserve"> </w:t>
      </w:r>
      <w:r w:rsidR="00644014">
        <w:rPr>
          <w:rFonts w:ascii="Times New Roman" w:eastAsia="Times New Roman" w:hAnsi="Times New Roman" w:cs="Times New Roman"/>
          <w:b/>
          <w:sz w:val="20"/>
          <w:lang w:eastAsia="zh-CN"/>
        </w:rPr>
        <w:t>763/2021/P</w:t>
      </w:r>
    </w:p>
    <w:p w14:paraId="5BC34A8F" w14:textId="77777777" w:rsidR="0009318F" w:rsidRPr="007102AB" w:rsidRDefault="0009318F" w:rsidP="007102AB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lang w:eastAsia="zh-CN"/>
        </w:rPr>
      </w:pPr>
      <w:r w:rsidRPr="007102AB">
        <w:rPr>
          <w:rFonts w:ascii="Times New Roman" w:eastAsia="Times New Roman" w:hAnsi="Times New Roman" w:cs="Times New Roman"/>
          <w:b/>
          <w:caps/>
          <w:sz w:val="20"/>
          <w:lang w:eastAsia="zh-CN"/>
        </w:rPr>
        <w:t>Prezydenta Miasta Poznania</w:t>
      </w:r>
    </w:p>
    <w:p w14:paraId="6E1026CA" w14:textId="2C501571" w:rsidR="0009318F" w:rsidRPr="007102AB" w:rsidRDefault="00644014" w:rsidP="007102AB">
      <w:pPr>
        <w:widowControl w:val="0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lang w:eastAsia="zh-CN"/>
        </w:rPr>
        <w:t>z dnia 05.10.2021 r.</w:t>
      </w:r>
      <w:bookmarkStart w:id="1" w:name="_GoBack"/>
      <w:bookmarkEnd w:id="1"/>
    </w:p>
    <w:p w14:paraId="7CAD0139" w14:textId="77777777" w:rsidR="0009318F" w:rsidRPr="0009318F" w:rsidRDefault="0009318F" w:rsidP="0009318F">
      <w:pPr>
        <w:widowControl w:val="0"/>
        <w:shd w:val="clear" w:color="auto" w:fill="FFFFFF"/>
        <w:suppressAutoHyphens/>
        <w:spacing w:before="326" w:after="0" w:line="36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09318F">
        <w:rPr>
          <w:rFonts w:ascii="Times New Roman" w:eastAsia="Times New Roman" w:hAnsi="Times New Roman" w:cs="Times New Roman"/>
          <w:b/>
          <w:lang w:eastAsia="zh-CN"/>
        </w:rPr>
        <w:t>ZASADY</w:t>
      </w:r>
    </w:p>
    <w:p w14:paraId="1414F300" w14:textId="77777777" w:rsidR="0009318F" w:rsidRDefault="00900865" w:rsidP="0009318F">
      <w:pPr>
        <w:widowControl w:val="0"/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wykonywania </w:t>
      </w:r>
      <w:r w:rsidR="00162C37">
        <w:rPr>
          <w:rFonts w:ascii="Times New Roman" w:eastAsia="Times New Roman" w:hAnsi="Times New Roman" w:cs="Times New Roman"/>
          <w:b/>
          <w:lang w:eastAsia="zh-CN"/>
        </w:rPr>
        <w:t xml:space="preserve">i rozliczania </w:t>
      </w:r>
      <w:r w:rsidR="006A04BC" w:rsidRPr="006A04BC">
        <w:rPr>
          <w:rFonts w:ascii="Times New Roman" w:eastAsia="Times New Roman" w:hAnsi="Times New Roman" w:cs="Times New Roman"/>
          <w:b/>
          <w:lang w:eastAsia="zh-CN"/>
        </w:rPr>
        <w:t xml:space="preserve">programu mieszkaniowego </w:t>
      </w:r>
      <w:r w:rsidR="000E327D">
        <w:rPr>
          <w:rFonts w:ascii="Times New Roman" w:eastAsia="Times New Roman" w:hAnsi="Times New Roman" w:cs="Times New Roman"/>
          <w:b/>
          <w:lang w:eastAsia="zh-CN"/>
        </w:rPr>
        <w:t>„</w:t>
      </w:r>
      <w:proofErr w:type="spellStart"/>
      <w:r w:rsidR="006A04BC" w:rsidRPr="006A04BC">
        <w:rPr>
          <w:rFonts w:ascii="Times New Roman" w:eastAsia="Times New Roman" w:hAnsi="Times New Roman" w:cs="Times New Roman"/>
          <w:b/>
          <w:lang w:eastAsia="zh-CN"/>
        </w:rPr>
        <w:t>POZnań</w:t>
      </w:r>
      <w:proofErr w:type="spellEnd"/>
      <w:r w:rsidR="006A04BC" w:rsidRPr="006A04BC">
        <w:rPr>
          <w:rFonts w:ascii="Times New Roman" w:eastAsia="Times New Roman" w:hAnsi="Times New Roman" w:cs="Times New Roman"/>
          <w:b/>
          <w:lang w:eastAsia="zh-CN"/>
        </w:rPr>
        <w:t xml:space="preserve"> – i zamieszkaj</w:t>
      </w:r>
      <w:r w:rsidR="000E327D">
        <w:rPr>
          <w:rFonts w:ascii="Times New Roman" w:eastAsia="Times New Roman" w:hAnsi="Times New Roman" w:cs="Times New Roman"/>
          <w:b/>
          <w:lang w:eastAsia="zh-CN"/>
        </w:rPr>
        <w:t>”</w:t>
      </w:r>
      <w:r w:rsidR="006A04BC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09318F" w:rsidRPr="0009318F">
        <w:rPr>
          <w:rFonts w:ascii="Times New Roman" w:eastAsia="Times New Roman" w:hAnsi="Times New Roman" w:cs="Times New Roman"/>
          <w:b/>
          <w:lang w:eastAsia="zh-CN"/>
        </w:rPr>
        <w:t xml:space="preserve">powierzonego </w:t>
      </w:r>
      <w:r w:rsidR="000E327D">
        <w:rPr>
          <w:rFonts w:ascii="Times New Roman" w:eastAsia="Times New Roman" w:hAnsi="Times New Roman" w:cs="Times New Roman"/>
          <w:b/>
          <w:lang w:eastAsia="zh-CN"/>
        </w:rPr>
        <w:t xml:space="preserve">do realizacji </w:t>
      </w:r>
      <w:r w:rsidR="0009318F" w:rsidRPr="0009318F">
        <w:rPr>
          <w:rFonts w:ascii="Times New Roman" w:eastAsia="Times New Roman" w:hAnsi="Times New Roman" w:cs="Times New Roman"/>
          <w:b/>
          <w:lang w:eastAsia="zh-CN"/>
        </w:rPr>
        <w:t>spółce Poznańskie Towarzystwo Budownictwa Społecznego sp. z o.o.</w:t>
      </w:r>
    </w:p>
    <w:p w14:paraId="02BB1441" w14:textId="77777777" w:rsidR="0009318F" w:rsidRPr="00426E30" w:rsidRDefault="0009318F" w:rsidP="00322FC6">
      <w:pPr>
        <w:pStyle w:val="Akapitzlist"/>
        <w:keepNext/>
        <w:widowControl w:val="0"/>
        <w:numPr>
          <w:ilvl w:val="0"/>
          <w:numId w:val="15"/>
        </w:numPr>
        <w:tabs>
          <w:tab w:val="left" w:pos="426"/>
        </w:tabs>
        <w:suppressAutoHyphens/>
        <w:spacing w:before="360" w:after="0" w:line="36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 w:rsidRPr="00426E30">
        <w:rPr>
          <w:rFonts w:ascii="Times New Roman" w:eastAsia="Times New Roman" w:hAnsi="Times New Roman" w:cs="Times New Roman"/>
          <w:b/>
          <w:lang w:eastAsia="zh-CN"/>
        </w:rPr>
        <w:t>DEFINICJE</w:t>
      </w:r>
    </w:p>
    <w:p w14:paraId="5E04BF81" w14:textId="77777777" w:rsidR="0009318F" w:rsidRPr="0009318F" w:rsidRDefault="0009318F" w:rsidP="00D81CC1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318F">
        <w:rPr>
          <w:rFonts w:ascii="Times New Roman" w:eastAsia="Times New Roman" w:hAnsi="Times New Roman" w:cs="Times New Roman"/>
          <w:lang w:eastAsia="zh-CN"/>
        </w:rPr>
        <w:t>Użyte w Zasadach wyrażenia mają następujące znaczenie:</w:t>
      </w:r>
    </w:p>
    <w:tbl>
      <w:tblPr>
        <w:tblStyle w:val="Tabela-Siatka1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6A04BC" w:rsidRPr="0009318F" w14:paraId="7D95C19A" w14:textId="77777777" w:rsidTr="006A04BC">
        <w:tc>
          <w:tcPr>
            <w:tcW w:w="1985" w:type="dxa"/>
          </w:tcPr>
          <w:p w14:paraId="7733930D" w14:textId="77777777" w:rsidR="006A04BC" w:rsidRPr="0009318F" w:rsidRDefault="006A04BC" w:rsidP="00B5717C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9318F">
              <w:rPr>
                <w:rFonts w:ascii="Times New Roman" w:eastAsia="Times New Roman" w:hAnsi="Times New Roman" w:cs="Times New Roman"/>
                <w:b/>
                <w:lang w:eastAsia="zh-CN"/>
              </w:rPr>
              <w:t>BSL</w:t>
            </w:r>
          </w:p>
        </w:tc>
        <w:tc>
          <w:tcPr>
            <w:tcW w:w="7229" w:type="dxa"/>
          </w:tcPr>
          <w:p w14:paraId="109D4CBE" w14:textId="77777777" w:rsidR="006A04BC" w:rsidRPr="0009318F" w:rsidRDefault="006A04BC" w:rsidP="00B5717C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>Biuro Spraw Lokalowych Urzędu Miasta</w:t>
            </w:r>
          </w:p>
        </w:tc>
      </w:tr>
      <w:tr w:rsidR="0009369C" w:rsidRPr="0009318F" w14:paraId="60D71343" w14:textId="77777777" w:rsidTr="006A04BC">
        <w:tc>
          <w:tcPr>
            <w:tcW w:w="1985" w:type="dxa"/>
          </w:tcPr>
          <w:p w14:paraId="75313411" w14:textId="77777777" w:rsidR="0009369C" w:rsidRPr="0009318F" w:rsidRDefault="0009369C" w:rsidP="00B5717C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Decernent</w:t>
            </w:r>
          </w:p>
        </w:tc>
        <w:tc>
          <w:tcPr>
            <w:tcW w:w="7229" w:type="dxa"/>
          </w:tcPr>
          <w:p w14:paraId="7BA76B94" w14:textId="77777777" w:rsidR="0009369C" w:rsidRPr="0009318F" w:rsidRDefault="00C638E7" w:rsidP="00C94CB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638E7">
              <w:rPr>
                <w:rFonts w:ascii="Times New Roman" w:eastAsia="Times New Roman" w:hAnsi="Times New Roman" w:cs="Times New Roman"/>
                <w:lang w:eastAsia="zh-CN"/>
              </w:rPr>
              <w:t>Zastępca Prezydenta Miasta odpowiedzialny za koordynację polityki mieszkaniowej Miasta oraz zaspokajanie potrzeb mieszkaniowych</w:t>
            </w:r>
          </w:p>
        </w:tc>
      </w:tr>
      <w:tr w:rsidR="006A04BC" w:rsidRPr="0009318F" w14:paraId="103AF75F" w14:textId="77777777" w:rsidTr="006A04BC">
        <w:tc>
          <w:tcPr>
            <w:tcW w:w="1985" w:type="dxa"/>
          </w:tcPr>
          <w:p w14:paraId="360ACCFA" w14:textId="77777777" w:rsidR="006A04BC" w:rsidRPr="0009318F" w:rsidRDefault="006A04BC" w:rsidP="0013695C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9318F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Decyzja </w:t>
            </w:r>
            <w:r w:rsidR="0013695C">
              <w:rPr>
                <w:rFonts w:ascii="Times New Roman" w:eastAsia="Times New Roman" w:hAnsi="Times New Roman" w:cs="Times New Roman"/>
                <w:b/>
                <w:lang w:eastAsia="zh-CN"/>
              </w:rPr>
              <w:t>Komisji</w:t>
            </w:r>
          </w:p>
        </w:tc>
        <w:tc>
          <w:tcPr>
            <w:tcW w:w="7229" w:type="dxa"/>
          </w:tcPr>
          <w:p w14:paraId="57667247" w14:textId="77777777" w:rsidR="006A04BC" w:rsidRPr="0009318F" w:rsidRDefault="006A04BC" w:rsidP="00B5717C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>Decyzja Komisji Europejskiej z dnia 20 grudnia 2011 r. w sprawie stosowania art. 106 Traktatu o funkcjonowaniu Unii Europejskiej do pomocy państwa w</w:t>
            </w:r>
            <w:r w:rsidR="00900865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>formie rekompensaty z tytułu świadczenia usług publicznych, przyznawanych przedsiębiorstwom zobowiązanym do wykonywania usług świadczonych w</w:t>
            </w:r>
            <w:r w:rsidR="00732C18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>ogólnym interesie gospodarczym (Dz. Urz. UE L 7 z dnia 11 stycznia 2012</w:t>
            </w:r>
            <w:r w:rsidR="00732C18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>r.)</w:t>
            </w:r>
          </w:p>
        </w:tc>
      </w:tr>
      <w:tr w:rsidR="00AC70EC" w:rsidRPr="0009318F" w14:paraId="636A1C58" w14:textId="77777777" w:rsidTr="006A04BC">
        <w:tc>
          <w:tcPr>
            <w:tcW w:w="1985" w:type="dxa"/>
          </w:tcPr>
          <w:p w14:paraId="4130A85D" w14:textId="77777777" w:rsidR="00AC70EC" w:rsidRPr="0009318F" w:rsidRDefault="00AC70EC" w:rsidP="0013695C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Finansowanie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br/>
              <w:t>z Funduszu</w:t>
            </w:r>
          </w:p>
        </w:tc>
        <w:tc>
          <w:tcPr>
            <w:tcW w:w="7229" w:type="dxa"/>
          </w:tcPr>
          <w:p w14:paraId="02B7E21D" w14:textId="3FD19CD3" w:rsidR="00AC70EC" w:rsidRPr="0009318F" w:rsidRDefault="00AC70EC" w:rsidP="0015481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wsparcie dla gminy ze środków Rządowego Funduszu Rozwoju Mieszkalnictwa</w:t>
            </w:r>
            <w:r w:rsidR="00BF31DE">
              <w:rPr>
                <w:rFonts w:ascii="Times New Roman" w:eastAsia="Times New Roman" w:hAnsi="Times New Roman" w:cs="Times New Roman"/>
                <w:lang w:eastAsia="zh-CN"/>
              </w:rPr>
              <w:t>, o którym mowa w art. 33l pkt 2 Ustawy</w:t>
            </w:r>
            <w:r w:rsidR="00C61F9A">
              <w:rPr>
                <w:rFonts w:ascii="Times New Roman" w:eastAsia="Times New Roman" w:hAnsi="Times New Roman" w:cs="Times New Roman"/>
                <w:lang w:eastAsia="zh-CN"/>
              </w:rPr>
              <w:t xml:space="preserve"> o TBS</w:t>
            </w:r>
          </w:p>
        </w:tc>
      </w:tr>
      <w:tr w:rsidR="00426E30" w:rsidRPr="0009318F" w14:paraId="07695FE1" w14:textId="77777777" w:rsidTr="006A04BC">
        <w:tc>
          <w:tcPr>
            <w:tcW w:w="1985" w:type="dxa"/>
          </w:tcPr>
          <w:p w14:paraId="78CE4372" w14:textId="77777777" w:rsidR="00426E30" w:rsidRDefault="00426E30" w:rsidP="00B5717C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Finansowanie Zwrotne</w:t>
            </w:r>
          </w:p>
        </w:tc>
        <w:tc>
          <w:tcPr>
            <w:tcW w:w="7229" w:type="dxa"/>
          </w:tcPr>
          <w:p w14:paraId="1BFE5757" w14:textId="6A5D0DB4" w:rsidR="00426E30" w:rsidRPr="0009318F" w:rsidRDefault="00D855D2" w:rsidP="00C61F9A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kredyt</w:t>
            </w:r>
            <w:r w:rsidRPr="00D855D2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AC70EC">
              <w:rPr>
                <w:rFonts w:ascii="Times New Roman" w:eastAsia="Times New Roman" w:hAnsi="Times New Roman" w:cs="Times New Roman"/>
                <w:lang w:eastAsia="zh-CN"/>
              </w:rPr>
              <w:t xml:space="preserve">w ramach realizacji rządowego programu popierania budownictwa mieszkaniowego, o którym mowa w art. 15a </w:t>
            </w:r>
            <w:r w:rsidR="00C61F9A">
              <w:rPr>
                <w:rFonts w:ascii="Times New Roman" w:eastAsia="Times New Roman" w:hAnsi="Times New Roman" w:cs="Times New Roman"/>
                <w:lang w:eastAsia="zh-CN"/>
              </w:rPr>
              <w:t xml:space="preserve">ust. 1 </w:t>
            </w:r>
            <w:r w:rsidR="00AC70EC">
              <w:rPr>
                <w:rFonts w:ascii="Times New Roman" w:eastAsia="Times New Roman" w:hAnsi="Times New Roman" w:cs="Times New Roman"/>
                <w:lang w:eastAsia="zh-CN"/>
              </w:rPr>
              <w:t xml:space="preserve">Ustawy </w:t>
            </w:r>
            <w:r w:rsidR="00C61F9A">
              <w:rPr>
                <w:rFonts w:ascii="Times New Roman" w:eastAsia="Times New Roman" w:hAnsi="Times New Roman" w:cs="Times New Roman"/>
                <w:lang w:eastAsia="zh-CN"/>
              </w:rPr>
              <w:t>o TBS</w:t>
            </w:r>
            <w:r w:rsidR="002D19BB" w:rsidRPr="002D19BB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r w:rsidR="002D19BB">
              <w:rPr>
                <w:rFonts w:ascii="Times New Roman" w:eastAsia="Times New Roman" w:hAnsi="Times New Roman" w:cs="Times New Roman"/>
                <w:lang w:eastAsia="zh-CN"/>
              </w:rPr>
              <w:t>przeznaczon</w:t>
            </w:r>
            <w:r w:rsidR="00055DD5">
              <w:rPr>
                <w:rFonts w:ascii="Times New Roman" w:eastAsia="Times New Roman" w:hAnsi="Times New Roman" w:cs="Times New Roman"/>
                <w:lang w:eastAsia="zh-CN"/>
              </w:rPr>
              <w:t>y</w:t>
            </w:r>
            <w:r w:rsidRPr="00D855D2">
              <w:rPr>
                <w:rFonts w:ascii="Times New Roman" w:eastAsia="Times New Roman" w:hAnsi="Times New Roman" w:cs="Times New Roman"/>
                <w:lang w:eastAsia="zh-CN"/>
              </w:rPr>
              <w:t xml:space="preserve"> na realizację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Zadania</w:t>
            </w:r>
          </w:p>
        </w:tc>
      </w:tr>
      <w:tr w:rsidR="00AC70EC" w:rsidRPr="0009318F" w14:paraId="345BF12D" w14:textId="77777777" w:rsidTr="006A04BC">
        <w:tc>
          <w:tcPr>
            <w:tcW w:w="1985" w:type="dxa"/>
          </w:tcPr>
          <w:p w14:paraId="708FE1D9" w14:textId="77777777" w:rsidR="00AC70EC" w:rsidRDefault="00AC70EC" w:rsidP="00AC70EC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Finansowe Wsparcie</w:t>
            </w:r>
          </w:p>
        </w:tc>
        <w:tc>
          <w:tcPr>
            <w:tcW w:w="7229" w:type="dxa"/>
          </w:tcPr>
          <w:p w14:paraId="5AD83AFD" w14:textId="77777777" w:rsidR="00AC70EC" w:rsidDel="00AC70EC" w:rsidRDefault="00AC70EC" w:rsidP="00AC70EC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f</w:t>
            </w:r>
            <w:r w:rsidRPr="002B0291">
              <w:rPr>
                <w:rFonts w:ascii="Times New Roman" w:eastAsia="Times New Roman" w:hAnsi="Times New Roman" w:cs="Times New Roman"/>
                <w:lang w:eastAsia="zh-CN"/>
              </w:rPr>
              <w:t xml:space="preserve">inansowe wsparcie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na realizację Zadania </w:t>
            </w:r>
            <w:r w:rsidRPr="0013695C">
              <w:rPr>
                <w:rFonts w:ascii="Times New Roman" w:eastAsia="Times New Roman" w:hAnsi="Times New Roman" w:cs="Times New Roman"/>
                <w:lang w:eastAsia="zh-CN"/>
              </w:rPr>
              <w:t>w formie bezzwrotnej dotacji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  <w:r w:rsidRPr="002B0291">
              <w:rPr>
                <w:rFonts w:ascii="Times New Roman" w:eastAsia="Times New Roman" w:hAnsi="Times New Roman" w:cs="Times New Roman"/>
                <w:lang w:eastAsia="zh-CN"/>
              </w:rPr>
              <w:t xml:space="preserve"> udzielane na wniosek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Miasta</w:t>
            </w:r>
            <w:r w:rsidRPr="002B0291">
              <w:rPr>
                <w:rFonts w:ascii="Times New Roman" w:eastAsia="Times New Roman" w:hAnsi="Times New Roman" w:cs="Times New Roman"/>
                <w:lang w:eastAsia="zh-CN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2B0291">
              <w:rPr>
                <w:rFonts w:ascii="Times New Roman" w:eastAsia="Times New Roman" w:hAnsi="Times New Roman" w:cs="Times New Roman"/>
                <w:lang w:eastAsia="zh-CN"/>
              </w:rPr>
              <w:t>Funduszu Dopłat Bank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u Gospodarstwa Krajowego, </w:t>
            </w:r>
            <w:r w:rsidRPr="00CF3DCD">
              <w:rPr>
                <w:rFonts w:ascii="Times New Roman" w:eastAsia="Times New Roman" w:hAnsi="Times New Roman" w:cs="Times New Roman"/>
                <w:lang w:eastAsia="zh-CN"/>
              </w:rPr>
              <w:t xml:space="preserve">stanowiące udział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Miasta </w:t>
            </w:r>
            <w:r w:rsidRPr="00CF3DCD">
              <w:rPr>
                <w:rFonts w:ascii="Times New Roman" w:eastAsia="Times New Roman" w:hAnsi="Times New Roman" w:cs="Times New Roman"/>
                <w:lang w:eastAsia="zh-CN"/>
              </w:rPr>
              <w:t xml:space="preserve">w kosztach tworzenia lokali mieszkalnych na wynajem, przekazywane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Spółce </w:t>
            </w:r>
            <w:r w:rsidRPr="00CF3DCD">
              <w:rPr>
                <w:rFonts w:ascii="Times New Roman" w:eastAsia="Times New Roman" w:hAnsi="Times New Roman" w:cs="Times New Roman"/>
                <w:lang w:eastAsia="zh-CN"/>
              </w:rPr>
              <w:t xml:space="preserve">na podstawie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Umowy z Inwestorem</w:t>
            </w:r>
          </w:p>
        </w:tc>
      </w:tr>
      <w:tr w:rsidR="00AC70EC" w:rsidRPr="0009318F" w14:paraId="7F51128F" w14:textId="77777777" w:rsidTr="006A04BC">
        <w:tc>
          <w:tcPr>
            <w:tcW w:w="1985" w:type="dxa"/>
          </w:tcPr>
          <w:p w14:paraId="46400917" w14:textId="77777777" w:rsidR="00AC70EC" w:rsidRPr="0009318F" w:rsidRDefault="00AC70EC" w:rsidP="00AC70EC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9318F">
              <w:rPr>
                <w:rFonts w:ascii="Times New Roman" w:eastAsia="Times New Roman" w:hAnsi="Times New Roman" w:cs="Times New Roman"/>
                <w:b/>
                <w:lang w:eastAsia="zh-CN"/>
              </w:rPr>
              <w:t>Miasto</w:t>
            </w:r>
          </w:p>
        </w:tc>
        <w:tc>
          <w:tcPr>
            <w:tcW w:w="7229" w:type="dxa"/>
          </w:tcPr>
          <w:p w14:paraId="21A9849C" w14:textId="77777777" w:rsidR="00AC70EC" w:rsidRPr="0009318F" w:rsidRDefault="00AC70EC" w:rsidP="00AC70EC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>Miasto Poznań</w:t>
            </w:r>
          </w:p>
        </w:tc>
      </w:tr>
      <w:tr w:rsidR="00AC70EC" w:rsidRPr="0009318F" w14:paraId="5B1E99E7" w14:textId="77777777" w:rsidTr="006A04BC">
        <w:tc>
          <w:tcPr>
            <w:tcW w:w="1985" w:type="dxa"/>
          </w:tcPr>
          <w:p w14:paraId="6441F980" w14:textId="77777777" w:rsidR="00AC70EC" w:rsidRPr="0009318F" w:rsidRDefault="00AC70EC" w:rsidP="00AC70EC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Nieruchomość</w:t>
            </w:r>
          </w:p>
        </w:tc>
        <w:tc>
          <w:tcPr>
            <w:tcW w:w="7229" w:type="dxa"/>
          </w:tcPr>
          <w:p w14:paraId="6AE48065" w14:textId="52BA0455" w:rsidR="00E73E42" w:rsidRDefault="00AC70EC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nieruchomość gruntowa określona przez Miasto, w drodze wskazania przez Decernenta, jako lokalizacja realizacji Zadania</w:t>
            </w:r>
          </w:p>
        </w:tc>
      </w:tr>
      <w:tr w:rsidR="00AC70EC" w:rsidRPr="0009318F" w14:paraId="6E4923A1" w14:textId="77777777" w:rsidTr="006A04BC">
        <w:tc>
          <w:tcPr>
            <w:tcW w:w="1985" w:type="dxa"/>
          </w:tcPr>
          <w:p w14:paraId="40030C75" w14:textId="77777777" w:rsidR="00AC70EC" w:rsidRDefault="00AC70EC" w:rsidP="00AC70EC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Okres Powierzenia</w:t>
            </w:r>
          </w:p>
        </w:tc>
        <w:tc>
          <w:tcPr>
            <w:tcW w:w="7229" w:type="dxa"/>
          </w:tcPr>
          <w:p w14:paraId="5001C0AA" w14:textId="52F1C1E5" w:rsidR="00AC70EC" w:rsidRDefault="00AC70EC" w:rsidP="00174B7E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p</w:t>
            </w:r>
            <w:r w:rsidRPr="00A22F1B">
              <w:rPr>
                <w:rFonts w:ascii="Times New Roman" w:eastAsia="Times New Roman" w:hAnsi="Times New Roman" w:cs="Times New Roman"/>
                <w:lang w:eastAsia="zh-CN"/>
              </w:rPr>
              <w:t xml:space="preserve">owierzenie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Programu „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POZnań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– i zamieszkaj” </w:t>
            </w:r>
            <w:r w:rsidRPr="00A22F1B">
              <w:rPr>
                <w:rFonts w:ascii="Times New Roman" w:eastAsia="Times New Roman" w:hAnsi="Times New Roman" w:cs="Times New Roman"/>
                <w:lang w:eastAsia="zh-CN"/>
              </w:rPr>
              <w:t xml:space="preserve">następuje od </w:t>
            </w:r>
            <w:r w:rsidR="008E618F">
              <w:rPr>
                <w:rFonts w:ascii="Times New Roman" w:eastAsia="Times New Roman" w:hAnsi="Times New Roman" w:cs="Times New Roman"/>
                <w:lang w:eastAsia="zh-CN"/>
              </w:rPr>
              <w:t>dnia</w:t>
            </w:r>
            <w:r w:rsidR="008E618F"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21 kwietnia 2021</w:t>
            </w:r>
            <w:r w:rsidR="008E618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r. </w:t>
            </w:r>
            <w:r w:rsidRPr="00A22F1B">
              <w:rPr>
                <w:rFonts w:ascii="Times New Roman" w:eastAsia="Times New Roman" w:hAnsi="Times New Roman" w:cs="Times New Roman"/>
                <w:lang w:eastAsia="zh-CN"/>
              </w:rPr>
              <w:t xml:space="preserve">do dnia całkowitej </w:t>
            </w:r>
            <w:r w:rsidRPr="00AA4604">
              <w:rPr>
                <w:rFonts w:ascii="Times New Roman" w:eastAsia="Times New Roman" w:hAnsi="Times New Roman" w:cs="Times New Roman"/>
                <w:lang w:eastAsia="zh-CN"/>
              </w:rPr>
              <w:t xml:space="preserve">spłaty </w:t>
            </w:r>
            <w:r w:rsidR="00A154C2">
              <w:rPr>
                <w:rFonts w:ascii="Times New Roman" w:eastAsia="Times New Roman" w:hAnsi="Times New Roman" w:cs="Times New Roman"/>
                <w:lang w:eastAsia="zh-CN"/>
              </w:rPr>
              <w:t>f</w:t>
            </w:r>
            <w:r w:rsidRPr="00AA4604">
              <w:rPr>
                <w:rFonts w:ascii="Times New Roman" w:eastAsia="Times New Roman" w:hAnsi="Times New Roman" w:cs="Times New Roman"/>
                <w:lang w:eastAsia="zh-CN"/>
              </w:rPr>
              <w:t xml:space="preserve">inansowania </w:t>
            </w:r>
            <w:r w:rsidR="00A154C2">
              <w:rPr>
                <w:rFonts w:ascii="Times New Roman" w:eastAsia="Times New Roman" w:hAnsi="Times New Roman" w:cs="Times New Roman"/>
                <w:lang w:eastAsia="zh-CN"/>
              </w:rPr>
              <w:t>z</w:t>
            </w:r>
            <w:r w:rsidRPr="00AA4604">
              <w:rPr>
                <w:rFonts w:ascii="Times New Roman" w:eastAsia="Times New Roman" w:hAnsi="Times New Roman" w:cs="Times New Roman"/>
                <w:lang w:eastAsia="zh-CN"/>
              </w:rPr>
              <w:t xml:space="preserve">wrotnego </w:t>
            </w:r>
            <w:r w:rsidR="00A154C2">
              <w:rPr>
                <w:rFonts w:ascii="Times New Roman" w:eastAsia="Times New Roman" w:hAnsi="Times New Roman" w:cs="Times New Roman"/>
                <w:lang w:eastAsia="zh-CN"/>
              </w:rPr>
              <w:t xml:space="preserve">(w tym Finansowania Zwrotnego) </w:t>
            </w:r>
            <w:r w:rsidRPr="00AA4604">
              <w:rPr>
                <w:rFonts w:ascii="Times New Roman" w:eastAsia="Times New Roman" w:hAnsi="Times New Roman" w:cs="Times New Roman"/>
                <w:lang w:eastAsia="zh-CN"/>
              </w:rPr>
              <w:t>otrzymanego w związku z realizacją</w:t>
            </w:r>
            <w:r w:rsidR="00313C2F">
              <w:rPr>
                <w:rFonts w:ascii="Times New Roman" w:eastAsia="Times New Roman" w:hAnsi="Times New Roman" w:cs="Times New Roman"/>
                <w:lang w:eastAsia="zh-CN"/>
              </w:rPr>
              <w:t xml:space="preserve"> ostatniego</w:t>
            </w:r>
            <w:r w:rsidRPr="00AA460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E90FC2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Zadania w ramach </w:t>
            </w:r>
            <w:r w:rsidRPr="00AA4604">
              <w:rPr>
                <w:rFonts w:ascii="Times New Roman" w:eastAsia="Times New Roman" w:hAnsi="Times New Roman" w:cs="Times New Roman"/>
                <w:lang w:eastAsia="zh-CN"/>
              </w:rPr>
              <w:t>Programu „</w:t>
            </w:r>
            <w:proofErr w:type="spellStart"/>
            <w:r w:rsidRPr="00AA4604">
              <w:rPr>
                <w:rFonts w:ascii="Times New Roman" w:eastAsia="Times New Roman" w:hAnsi="Times New Roman" w:cs="Times New Roman"/>
                <w:lang w:eastAsia="zh-CN"/>
              </w:rPr>
              <w:t>POZnań</w:t>
            </w:r>
            <w:proofErr w:type="spellEnd"/>
            <w:r w:rsidRPr="00AA4604">
              <w:rPr>
                <w:rFonts w:ascii="Times New Roman" w:eastAsia="Times New Roman" w:hAnsi="Times New Roman" w:cs="Times New Roman"/>
                <w:lang w:eastAsia="zh-CN"/>
              </w:rPr>
              <w:t xml:space="preserve"> – i</w:t>
            </w:r>
            <w:r w:rsidR="00313C2F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AA4604">
              <w:rPr>
                <w:rFonts w:ascii="Times New Roman" w:eastAsia="Times New Roman" w:hAnsi="Times New Roman" w:cs="Times New Roman"/>
                <w:lang w:eastAsia="zh-CN"/>
              </w:rPr>
              <w:t xml:space="preserve">zamieszkaj”. </w:t>
            </w:r>
            <w:r w:rsidR="00E90FC2">
              <w:rPr>
                <w:rFonts w:ascii="Times New Roman" w:eastAsia="Times New Roman" w:hAnsi="Times New Roman" w:cs="Times New Roman"/>
                <w:lang w:eastAsia="zh-CN"/>
              </w:rPr>
              <w:t xml:space="preserve">Dla każdego Zadania </w:t>
            </w:r>
            <w:r w:rsidRPr="00AA4604">
              <w:rPr>
                <w:rFonts w:ascii="Times New Roman" w:eastAsia="Times New Roman" w:hAnsi="Times New Roman" w:cs="Times New Roman"/>
                <w:lang w:eastAsia="zh-CN"/>
              </w:rPr>
              <w:t>okres</w:t>
            </w:r>
            <w:r w:rsidR="00E24990">
              <w:rPr>
                <w:rFonts w:ascii="Times New Roman" w:eastAsia="Times New Roman" w:hAnsi="Times New Roman" w:cs="Times New Roman"/>
                <w:lang w:eastAsia="zh-CN"/>
              </w:rPr>
              <w:t>, na który udzielone zostanie</w:t>
            </w:r>
            <w:r w:rsidRPr="00AA460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A154C2">
              <w:rPr>
                <w:rFonts w:ascii="Times New Roman" w:eastAsia="Times New Roman" w:hAnsi="Times New Roman" w:cs="Times New Roman"/>
                <w:lang w:eastAsia="zh-CN"/>
              </w:rPr>
              <w:t>f</w:t>
            </w:r>
            <w:r w:rsidRPr="00AA4604">
              <w:rPr>
                <w:rFonts w:ascii="Times New Roman" w:eastAsia="Times New Roman" w:hAnsi="Times New Roman" w:cs="Times New Roman"/>
                <w:lang w:eastAsia="zh-CN"/>
              </w:rPr>
              <w:t xml:space="preserve">inansowanie </w:t>
            </w:r>
            <w:r w:rsidR="00A154C2">
              <w:rPr>
                <w:rFonts w:ascii="Times New Roman" w:eastAsia="Times New Roman" w:hAnsi="Times New Roman" w:cs="Times New Roman"/>
                <w:lang w:eastAsia="zh-CN"/>
              </w:rPr>
              <w:t>z</w:t>
            </w:r>
            <w:r w:rsidRPr="00AA4604">
              <w:rPr>
                <w:rFonts w:ascii="Times New Roman" w:eastAsia="Times New Roman" w:hAnsi="Times New Roman" w:cs="Times New Roman"/>
                <w:lang w:eastAsia="zh-CN"/>
              </w:rPr>
              <w:t>wrotne, nie</w:t>
            </w:r>
            <w:r w:rsidRPr="00A22F1B">
              <w:rPr>
                <w:rFonts w:ascii="Times New Roman" w:eastAsia="Times New Roman" w:hAnsi="Times New Roman" w:cs="Times New Roman"/>
                <w:lang w:eastAsia="zh-CN"/>
              </w:rPr>
              <w:t xml:space="preserve"> może być dłuższy niż 30 lat, a</w:t>
            </w:r>
            <w:r w:rsidR="00174B7E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A22F1B">
              <w:rPr>
                <w:rFonts w:ascii="Times New Roman" w:eastAsia="Times New Roman" w:hAnsi="Times New Roman" w:cs="Times New Roman"/>
                <w:lang w:eastAsia="zh-CN"/>
              </w:rPr>
              <w:t>całkowity okres powierzenia nie będzie dłuższy niż okres amortyzacji budynków powstałych w</w:t>
            </w:r>
            <w:r w:rsidR="00313C2F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A22F1B">
              <w:rPr>
                <w:rFonts w:ascii="Times New Roman" w:eastAsia="Times New Roman" w:hAnsi="Times New Roman" w:cs="Times New Roman"/>
                <w:lang w:eastAsia="zh-CN"/>
              </w:rPr>
              <w:t xml:space="preserve">wyniku realizacji </w:t>
            </w:r>
            <w:r w:rsidR="00C77EC0">
              <w:rPr>
                <w:rFonts w:ascii="Times New Roman" w:eastAsia="Times New Roman" w:hAnsi="Times New Roman" w:cs="Times New Roman"/>
                <w:lang w:eastAsia="zh-CN"/>
              </w:rPr>
              <w:t xml:space="preserve">tego </w:t>
            </w:r>
            <w:r w:rsidR="00AE57BE">
              <w:rPr>
                <w:rFonts w:ascii="Times New Roman" w:eastAsia="Times New Roman" w:hAnsi="Times New Roman" w:cs="Times New Roman"/>
                <w:lang w:eastAsia="zh-CN"/>
              </w:rPr>
              <w:t>Zadania</w:t>
            </w:r>
            <w:r w:rsidR="00E24990">
              <w:rPr>
                <w:rFonts w:ascii="Times New Roman" w:eastAsia="Times New Roman" w:hAnsi="Times New Roman" w:cs="Times New Roman"/>
                <w:lang w:eastAsia="zh-CN"/>
              </w:rPr>
              <w:t xml:space="preserve"> w ramach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Programu „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POZnań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– i zamieszkaj”</w:t>
            </w:r>
          </w:p>
        </w:tc>
      </w:tr>
      <w:tr w:rsidR="00AC70EC" w:rsidRPr="00732C18" w14:paraId="29D030FB" w14:textId="77777777" w:rsidTr="006A04BC">
        <w:tc>
          <w:tcPr>
            <w:tcW w:w="1985" w:type="dxa"/>
          </w:tcPr>
          <w:p w14:paraId="210DCAD0" w14:textId="77777777" w:rsidR="00AC70EC" w:rsidRDefault="00AC70EC" w:rsidP="00174B7E">
            <w:pPr>
              <w:widowControl w:val="0"/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Okres Realizacji</w:t>
            </w:r>
          </w:p>
          <w:p w14:paraId="06E8CA95" w14:textId="355C7736" w:rsidR="00174B7E" w:rsidRPr="009A56B8" w:rsidRDefault="00174B7E" w:rsidP="00174B7E">
            <w:pPr>
              <w:widowControl w:val="0"/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Zadania</w:t>
            </w:r>
          </w:p>
        </w:tc>
        <w:tc>
          <w:tcPr>
            <w:tcW w:w="7229" w:type="dxa"/>
          </w:tcPr>
          <w:p w14:paraId="2BB0699B" w14:textId="6CCCCA4C" w:rsidR="00AC70EC" w:rsidRPr="009A56B8" w:rsidRDefault="00AC70EC" w:rsidP="007350CF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okres realizacji trwający od daty rozpoczęcia Zadani</w:t>
            </w:r>
            <w:r w:rsidR="00682B57">
              <w:rPr>
                <w:rFonts w:ascii="Times New Roman" w:eastAsia="Times New Roman" w:hAnsi="Times New Roman" w:cs="Times New Roman"/>
                <w:lang w:eastAsia="zh-CN"/>
              </w:rPr>
              <w:t>a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do </w:t>
            </w:r>
            <w:r w:rsidRPr="00AA4604">
              <w:rPr>
                <w:rFonts w:ascii="Times New Roman" w:eastAsia="Times New Roman" w:hAnsi="Times New Roman" w:cs="Times New Roman"/>
                <w:lang w:eastAsia="zh-CN"/>
              </w:rPr>
              <w:t xml:space="preserve">dnia </w:t>
            </w:r>
            <w:r w:rsidR="00AE57BE">
              <w:rPr>
                <w:rFonts w:ascii="Times New Roman" w:eastAsia="Times New Roman" w:hAnsi="Times New Roman" w:cs="Times New Roman"/>
                <w:lang w:eastAsia="zh-CN"/>
              </w:rPr>
              <w:t>wynikającego z</w:t>
            </w:r>
            <w:r w:rsidR="007350CF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="00AE57BE">
              <w:rPr>
                <w:rFonts w:ascii="Times New Roman" w:eastAsia="Times New Roman" w:hAnsi="Times New Roman" w:cs="Times New Roman"/>
                <w:lang w:eastAsia="zh-CN"/>
              </w:rPr>
              <w:t>Us</w:t>
            </w:r>
            <w:r w:rsidR="00313C2F">
              <w:rPr>
                <w:rFonts w:ascii="Times New Roman" w:eastAsia="Times New Roman" w:hAnsi="Times New Roman" w:cs="Times New Roman"/>
                <w:lang w:eastAsia="zh-CN"/>
              </w:rPr>
              <w:t xml:space="preserve">tawy o Finansowym Wsparciu lub </w:t>
            </w:r>
            <w:r w:rsidR="00162BA4">
              <w:rPr>
                <w:rFonts w:ascii="Times New Roman" w:eastAsia="Times New Roman" w:hAnsi="Times New Roman" w:cs="Times New Roman"/>
                <w:lang w:eastAsia="zh-CN"/>
              </w:rPr>
              <w:t>U</w:t>
            </w:r>
            <w:r w:rsidR="00AE57BE">
              <w:rPr>
                <w:rFonts w:ascii="Times New Roman" w:eastAsia="Times New Roman" w:hAnsi="Times New Roman" w:cs="Times New Roman"/>
                <w:lang w:eastAsia="zh-CN"/>
              </w:rPr>
              <w:t xml:space="preserve">stawy </w:t>
            </w:r>
            <w:r w:rsidR="00162BA4">
              <w:rPr>
                <w:rFonts w:ascii="Times New Roman" w:eastAsia="Times New Roman" w:hAnsi="Times New Roman" w:cs="Times New Roman"/>
                <w:lang w:eastAsia="zh-CN"/>
              </w:rPr>
              <w:t>o TBS</w:t>
            </w:r>
            <w:r w:rsidR="007350CF"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  <w:r w:rsidR="00162BA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AE57BE">
              <w:rPr>
                <w:rFonts w:ascii="Times New Roman" w:eastAsia="Times New Roman" w:hAnsi="Times New Roman" w:cs="Times New Roman"/>
                <w:lang w:eastAsia="zh-CN"/>
              </w:rPr>
              <w:t>lub Decyzji Komisji</w:t>
            </w:r>
          </w:p>
        </w:tc>
      </w:tr>
      <w:tr w:rsidR="00E24990" w:rsidRPr="0009318F" w14:paraId="4EB7E33D" w14:textId="77777777" w:rsidTr="006A04BC">
        <w:tc>
          <w:tcPr>
            <w:tcW w:w="1985" w:type="dxa"/>
          </w:tcPr>
          <w:p w14:paraId="32F3E693" w14:textId="77777777" w:rsidR="00E24990" w:rsidRPr="0009318F" w:rsidRDefault="00E24990" w:rsidP="00E24990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9318F">
              <w:rPr>
                <w:rFonts w:ascii="Times New Roman" w:eastAsia="Times New Roman" w:hAnsi="Times New Roman" w:cs="Times New Roman"/>
                <w:b/>
                <w:lang w:eastAsia="zh-CN"/>
              </w:rPr>
              <w:t>Program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POZnań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– i zamieszkaj”</w:t>
            </w:r>
          </w:p>
        </w:tc>
        <w:tc>
          <w:tcPr>
            <w:tcW w:w="7229" w:type="dxa"/>
          </w:tcPr>
          <w:p w14:paraId="51E163A0" w14:textId="736827D8" w:rsidR="00E24990" w:rsidRPr="0009318F" w:rsidRDefault="00E24990" w:rsidP="00162BA4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p</w:t>
            </w: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>rogram mieszkaniowy „</w:t>
            </w:r>
            <w:proofErr w:type="spellStart"/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>POZnań</w:t>
            </w:r>
            <w:proofErr w:type="spellEnd"/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 xml:space="preserve"> – i zamieszkaj” mający </w:t>
            </w:r>
            <w:r w:rsidRPr="0009318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na celu tworzenie warunków do zaspokajania potrzeb mieszkaniowych wspólnoty samorządowej, przy wykorzystaniu 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F</w:t>
            </w:r>
            <w:r w:rsidRPr="0009318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inansowego 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W</w:t>
            </w:r>
            <w:r w:rsidRPr="0009318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sparcia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, Finansowania z Funduszu </w:t>
            </w:r>
            <w:r w:rsidRPr="0009318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lub</w:t>
            </w:r>
            <w:r w:rsidR="008E618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  <w:r w:rsidRPr="0009318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innego funduszu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, Finansowania Zwrotnego</w:t>
            </w:r>
            <w:r w:rsidR="008E618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,</w:t>
            </w:r>
            <w:r w:rsidR="00162BA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lub innych środków publicznych</w:t>
            </w:r>
            <w:r w:rsidRPr="0009318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, przyjęty 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U</w:t>
            </w:r>
            <w:r w:rsidRPr="0009318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chwałą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ws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. Programu i powierzony do realizacji Spółce na podstawie Uchwały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ws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. Powierzenia oraz umowy Spółki, polegający</w:t>
            </w:r>
            <w:r w:rsidRPr="002D792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realizacji przez Spółkę Zadań jako usług świadczonych</w:t>
            </w:r>
            <w:r w:rsidRPr="002D792A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w ogólnym in</w:t>
            </w: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teresie gospodarczym</w:t>
            </w:r>
          </w:p>
        </w:tc>
      </w:tr>
      <w:tr w:rsidR="00E24990" w:rsidRPr="00EA651F" w14:paraId="19558B6A" w14:textId="77777777" w:rsidTr="006A04BC">
        <w:tc>
          <w:tcPr>
            <w:tcW w:w="1985" w:type="dxa"/>
          </w:tcPr>
          <w:p w14:paraId="7F958D7F" w14:textId="77777777" w:rsidR="00E24990" w:rsidRPr="00EA651F" w:rsidRDefault="00E24990" w:rsidP="00E24990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A651F">
              <w:rPr>
                <w:rFonts w:ascii="Times New Roman" w:eastAsia="Times New Roman" w:hAnsi="Times New Roman" w:cs="Times New Roman"/>
                <w:b/>
                <w:lang w:eastAsia="zh-CN"/>
              </w:rPr>
              <w:t>Raport Roczny</w:t>
            </w:r>
          </w:p>
        </w:tc>
        <w:tc>
          <w:tcPr>
            <w:tcW w:w="7229" w:type="dxa"/>
          </w:tcPr>
          <w:p w14:paraId="27624862" w14:textId="0F346FC1" w:rsidR="00E24990" w:rsidRDefault="00E24990" w:rsidP="00E24990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A651F">
              <w:rPr>
                <w:rFonts w:ascii="Times New Roman" w:eastAsia="Times New Roman" w:hAnsi="Times New Roman" w:cs="Times New Roman"/>
                <w:lang w:eastAsia="zh-CN"/>
              </w:rPr>
              <w:t xml:space="preserve">zestawienie dotyczące realizacji </w:t>
            </w:r>
            <w:r w:rsidR="003326C1">
              <w:rPr>
                <w:rFonts w:ascii="Times New Roman" w:eastAsia="Times New Roman" w:hAnsi="Times New Roman" w:cs="Times New Roman"/>
                <w:lang w:eastAsia="zh-CN"/>
              </w:rPr>
              <w:t xml:space="preserve">danego </w:t>
            </w:r>
            <w:r w:rsidRPr="00EA651F">
              <w:rPr>
                <w:rFonts w:ascii="Times New Roman" w:eastAsia="Times New Roman" w:hAnsi="Times New Roman" w:cs="Times New Roman"/>
                <w:lang w:eastAsia="zh-CN"/>
              </w:rPr>
              <w:t>Z</w:t>
            </w:r>
            <w:r w:rsidR="0095025B">
              <w:rPr>
                <w:rFonts w:ascii="Times New Roman" w:eastAsia="Times New Roman" w:hAnsi="Times New Roman" w:cs="Times New Roman"/>
                <w:lang w:eastAsia="zh-CN"/>
              </w:rPr>
              <w:t>a</w:t>
            </w:r>
            <w:r w:rsidRPr="00EA651F">
              <w:rPr>
                <w:rFonts w:ascii="Times New Roman" w:eastAsia="Times New Roman" w:hAnsi="Times New Roman" w:cs="Times New Roman"/>
                <w:lang w:eastAsia="zh-CN"/>
              </w:rPr>
              <w:t xml:space="preserve">dania, sporządzane przez Spółkę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co</w:t>
            </w:r>
            <w:r w:rsidR="00162BA4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roku</w:t>
            </w:r>
            <w:r w:rsidR="00162BA4"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zawierające </w:t>
            </w:r>
            <w:r w:rsidR="0078639D">
              <w:rPr>
                <w:rFonts w:ascii="Times New Roman" w:eastAsia="Times New Roman" w:hAnsi="Times New Roman" w:cs="Times New Roman"/>
                <w:lang w:eastAsia="zh-CN"/>
              </w:rPr>
              <w:t>dane wynikające z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rocznych sprawozdań finansowych Spółki</w:t>
            </w:r>
            <w:r w:rsidR="00162BA4"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obejmujące okres od początku Okresu Realizacji Zadania</w:t>
            </w:r>
            <w:r w:rsidR="007350C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do ostatniego </w:t>
            </w:r>
            <w:r w:rsidRPr="00EA651F">
              <w:rPr>
                <w:rFonts w:ascii="Times New Roman" w:eastAsia="Times New Roman" w:hAnsi="Times New Roman" w:cs="Times New Roman"/>
                <w:lang w:eastAsia="zh-CN"/>
              </w:rPr>
              <w:t>zakończon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ego roku obrotowego wchodzącego w Okres Realizacji Zadania</w:t>
            </w:r>
            <w:r w:rsidRPr="00EA651F">
              <w:rPr>
                <w:rFonts w:ascii="Times New Roman" w:eastAsia="Times New Roman" w:hAnsi="Times New Roman" w:cs="Times New Roman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wraz z prognozą do końca roku obrotowego, w którym następuje koniec Okresu Realizacji Zadania. Zestawienie to</w:t>
            </w:r>
            <w:r w:rsidRPr="00EA651F">
              <w:rPr>
                <w:rFonts w:ascii="Times New Roman" w:eastAsia="Times New Roman" w:hAnsi="Times New Roman" w:cs="Times New Roman"/>
                <w:lang w:eastAsia="zh-CN"/>
              </w:rPr>
              <w:t xml:space="preserve"> obejmu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je ustalone zgodnie z niniejszymi Zasadami:</w:t>
            </w:r>
          </w:p>
          <w:p w14:paraId="007FAC33" w14:textId="77777777" w:rsidR="00E24990" w:rsidRPr="00E24990" w:rsidRDefault="00E24990" w:rsidP="00984774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spacing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>koszty netto w rozbiciu szczegółowym</w:t>
            </w:r>
            <w:r w:rsidRPr="00E24990">
              <w:rPr>
                <w:rStyle w:val="Odwoaniedokomentarza"/>
                <w:rFonts w:ascii="Arial" w:hAnsi="Arial" w:cs="SansSerif"/>
              </w:rPr>
              <w:t xml:space="preserve">, </w:t>
            </w: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</w:p>
          <w:p w14:paraId="3CFDD6C7" w14:textId="77777777" w:rsidR="00E24990" w:rsidRPr="00E24990" w:rsidRDefault="00E24990" w:rsidP="00984774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spacing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>poziom rozsądnego zysku,</w:t>
            </w:r>
          </w:p>
          <w:p w14:paraId="71255740" w14:textId="358FA1D3" w:rsidR="00E24990" w:rsidRPr="00E24990" w:rsidRDefault="00E24990" w:rsidP="00984774">
            <w:pPr>
              <w:pStyle w:val="Akapitzlist"/>
              <w:widowControl w:val="0"/>
              <w:numPr>
                <w:ilvl w:val="0"/>
                <w:numId w:val="20"/>
              </w:numPr>
              <w:suppressAutoHyphens/>
              <w:spacing w:line="36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 xml:space="preserve">otrzymane lub pozyskane w danym roku przysporzenia ze środków publicznych w odniesieniu do </w:t>
            </w:r>
            <w:r w:rsidR="00984774">
              <w:rPr>
                <w:rFonts w:ascii="Times New Roman" w:eastAsia="Times New Roman" w:hAnsi="Times New Roman" w:cs="Times New Roman"/>
                <w:lang w:eastAsia="zh-CN"/>
              </w:rPr>
              <w:t>danego</w:t>
            </w:r>
            <w:r w:rsidR="00984774" w:rsidRPr="00E24990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E24990">
              <w:rPr>
                <w:rFonts w:ascii="Times New Roman" w:eastAsia="Times New Roman" w:hAnsi="Times New Roman" w:cs="Times New Roman"/>
                <w:lang w:eastAsia="zh-CN"/>
              </w:rPr>
              <w:t xml:space="preserve">Zadania. </w:t>
            </w:r>
          </w:p>
          <w:p w14:paraId="40911814" w14:textId="7822E5B0" w:rsidR="00E24990" w:rsidRPr="00EA651F" w:rsidRDefault="00E24990" w:rsidP="007350CF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Pierwszy Raport Roczny dla każdego Zadania winien zostać sporządzony za okres od </w:t>
            </w:r>
            <w:r w:rsidR="003326C1">
              <w:rPr>
                <w:rFonts w:ascii="Times New Roman" w:eastAsia="Times New Roman" w:hAnsi="Times New Roman" w:cs="Times New Roman"/>
                <w:lang w:eastAsia="zh-CN"/>
              </w:rPr>
              <w:t xml:space="preserve">dnia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otrzymania przez Spółkę środków stanowiących rekompensatę za świadczenie usług publicznych w ogólnym interesie gospodarczym do końca następnego roku obrotowego i obejmować koszty netto poniesione od początku Okresu Realizacji Zadania. Raport Roczny sporządzony na koniec Okresu Realizacji Zadania obejmuje okres do końca roku obrotowego, w</w:t>
            </w:r>
            <w:r w:rsidR="002F46A5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którym następuje zakończenie Okresu Realizacji Zadania. Spółka sporządza odrębnie Raport Roczny dla każdego realizowanego Zadania</w:t>
            </w:r>
          </w:p>
        </w:tc>
      </w:tr>
      <w:tr w:rsidR="00E24990" w:rsidRPr="00EA651F" w14:paraId="10CF59B9" w14:textId="77777777" w:rsidTr="006A04BC">
        <w:tc>
          <w:tcPr>
            <w:tcW w:w="1985" w:type="dxa"/>
          </w:tcPr>
          <w:p w14:paraId="01D21450" w14:textId="77777777" w:rsidR="00E24990" w:rsidRPr="00EA651F" w:rsidRDefault="00E24990" w:rsidP="00E24990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Rozporządzenie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EDB</w:t>
            </w:r>
          </w:p>
        </w:tc>
        <w:tc>
          <w:tcPr>
            <w:tcW w:w="7229" w:type="dxa"/>
          </w:tcPr>
          <w:p w14:paraId="7361FA61" w14:textId="49814ADB" w:rsidR="00E24990" w:rsidRPr="00EA651F" w:rsidRDefault="00E24990" w:rsidP="002F46A5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rozporządzenie Rady Ministrów </w:t>
            </w:r>
            <w:r w:rsidR="00AA46E2" w:rsidDel="003326C1">
              <w:rPr>
                <w:rFonts w:ascii="Times New Roman" w:eastAsia="Times New Roman" w:hAnsi="Times New Roman" w:cs="Times New Roman"/>
                <w:lang w:eastAsia="zh-CN"/>
              </w:rPr>
              <w:t xml:space="preserve">z dnia 9 lutego 2018 r.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w sprawie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szczegółowego sposobu obliczania wartości pomocy publicznej udzielanej w</w:t>
            </w:r>
            <w:r w:rsidR="002F46A5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różnych formach</w:t>
            </w:r>
            <w:r w:rsidR="007C4693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(</w:t>
            </w:r>
            <w:r w:rsidR="007102AB">
              <w:rPr>
                <w:rFonts w:ascii="Times New Roman" w:eastAsia="Times New Roman" w:hAnsi="Times New Roman" w:cs="Times New Roman"/>
                <w:lang w:eastAsia="zh-CN"/>
              </w:rPr>
              <w:t xml:space="preserve">t.j.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D</w:t>
            </w:r>
            <w:r w:rsidR="00A4668D">
              <w:rPr>
                <w:rFonts w:ascii="Times New Roman" w:eastAsia="Times New Roman" w:hAnsi="Times New Roman" w:cs="Times New Roman"/>
                <w:lang w:eastAsia="zh-CN"/>
              </w:rPr>
              <w:t>z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 U. z 2018 r. poz. 461)</w:t>
            </w:r>
          </w:p>
        </w:tc>
      </w:tr>
      <w:tr w:rsidR="00E24990" w:rsidRPr="002D792A" w14:paraId="34A97E9E" w14:textId="77777777" w:rsidTr="006A04BC">
        <w:tc>
          <w:tcPr>
            <w:tcW w:w="1985" w:type="dxa"/>
          </w:tcPr>
          <w:p w14:paraId="7DB1C9C6" w14:textId="77777777" w:rsidR="00E24990" w:rsidRPr="00CD1D55" w:rsidRDefault="00E24990" w:rsidP="00E24990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CD1D55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 xml:space="preserve">Rozporządzenie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ws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  <w:r w:rsidRPr="00CD1D55">
              <w:rPr>
                <w:rFonts w:ascii="Times New Roman" w:eastAsia="Times New Roman" w:hAnsi="Times New Roman" w:cs="Times New Roman"/>
                <w:b/>
                <w:lang w:eastAsia="zh-CN"/>
              </w:rPr>
              <w:t>Finansowania Zwrotnego</w:t>
            </w:r>
          </w:p>
        </w:tc>
        <w:tc>
          <w:tcPr>
            <w:tcW w:w="7229" w:type="dxa"/>
          </w:tcPr>
          <w:p w14:paraId="28969A48" w14:textId="0D98C195" w:rsidR="00E24990" w:rsidRPr="00CD1D55" w:rsidRDefault="00E24990" w:rsidP="00AA46E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r</w:t>
            </w:r>
            <w:r w:rsidRPr="0004662C">
              <w:rPr>
                <w:rFonts w:ascii="Times New Roman" w:eastAsia="Times New Roman" w:hAnsi="Times New Roman" w:cs="Times New Roman"/>
                <w:lang w:eastAsia="zh-CN"/>
              </w:rPr>
              <w:t xml:space="preserve">ozporządzenie Rady Ministrów </w:t>
            </w:r>
            <w:r w:rsidR="00AA46E2" w:rsidRPr="0004662C" w:rsidDel="003326C1">
              <w:rPr>
                <w:rFonts w:ascii="Times New Roman" w:eastAsia="Times New Roman" w:hAnsi="Times New Roman" w:cs="Times New Roman"/>
                <w:lang w:eastAsia="zh-CN"/>
              </w:rPr>
              <w:t>z</w:t>
            </w:r>
            <w:r w:rsidR="00AA46E2" w:rsidDel="003326C1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="00AA46E2" w:rsidRPr="0004662C" w:rsidDel="003326C1">
              <w:rPr>
                <w:rFonts w:ascii="Times New Roman" w:eastAsia="Times New Roman" w:hAnsi="Times New Roman" w:cs="Times New Roman"/>
                <w:lang w:eastAsia="zh-CN"/>
              </w:rPr>
              <w:t>dnia 8 kwietnia 2021 r.</w:t>
            </w:r>
            <w:r w:rsidR="00AA46E2" w:rsidRPr="0004662C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04662C">
              <w:rPr>
                <w:rFonts w:ascii="Times New Roman" w:eastAsia="Times New Roman" w:hAnsi="Times New Roman" w:cs="Times New Roman"/>
                <w:lang w:eastAsia="zh-CN"/>
              </w:rPr>
              <w:t>w sprawie warunków i trybu finansowania zwrotnego w ramach realizacji przez Bank Gospodarstwa Krajowego rządowego programu popierania budownictwa mieszkaniowego oraz minimalnych wymagań dotyczących lokali powstałych przy udziale tego finansowania</w:t>
            </w:r>
            <w:r w:rsidR="007C4693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04662C">
              <w:rPr>
                <w:rFonts w:ascii="Times New Roman" w:eastAsia="Times New Roman" w:hAnsi="Times New Roman" w:cs="Times New Roman"/>
                <w:lang w:eastAsia="zh-CN"/>
              </w:rPr>
              <w:t>(</w:t>
            </w:r>
            <w:r w:rsidR="00AA46E2">
              <w:rPr>
                <w:rFonts w:ascii="Times New Roman" w:eastAsia="Times New Roman" w:hAnsi="Times New Roman" w:cs="Times New Roman"/>
                <w:lang w:eastAsia="zh-CN"/>
              </w:rPr>
              <w:t xml:space="preserve">t.j. </w:t>
            </w:r>
            <w:r w:rsidRPr="0004662C">
              <w:rPr>
                <w:rFonts w:ascii="Times New Roman" w:eastAsia="Times New Roman" w:hAnsi="Times New Roman" w:cs="Times New Roman"/>
                <w:lang w:eastAsia="zh-CN"/>
              </w:rPr>
              <w:t>Dz.</w:t>
            </w:r>
            <w:r w:rsidR="00264D2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04662C">
              <w:rPr>
                <w:rFonts w:ascii="Times New Roman" w:eastAsia="Times New Roman" w:hAnsi="Times New Roman" w:cs="Times New Roman"/>
                <w:lang w:eastAsia="zh-CN"/>
              </w:rPr>
              <w:t>U. z 2021 r. poz. 766)</w:t>
            </w:r>
          </w:p>
        </w:tc>
      </w:tr>
      <w:tr w:rsidR="00E24990" w:rsidRPr="002D792A" w14:paraId="6AD7A251" w14:textId="77777777" w:rsidTr="006A04BC">
        <w:tc>
          <w:tcPr>
            <w:tcW w:w="1985" w:type="dxa"/>
          </w:tcPr>
          <w:p w14:paraId="656B51A8" w14:textId="77777777" w:rsidR="00E24990" w:rsidRPr="00CD1D55" w:rsidRDefault="00E24990" w:rsidP="00E24990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CD1D55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Rozporządzenie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ws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. Finansowego</w:t>
            </w:r>
            <w:r w:rsidRPr="00CD1D55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br/>
              <w:t>Wsparcia</w:t>
            </w:r>
          </w:p>
        </w:tc>
        <w:tc>
          <w:tcPr>
            <w:tcW w:w="7229" w:type="dxa"/>
          </w:tcPr>
          <w:p w14:paraId="61288733" w14:textId="6A7E388B" w:rsidR="00E24990" w:rsidRPr="00CD1D55" w:rsidRDefault="00E24990" w:rsidP="00AA46E2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r</w:t>
            </w:r>
            <w:r w:rsidRPr="0004662C">
              <w:rPr>
                <w:rFonts w:ascii="Times New Roman" w:eastAsia="Times New Roman" w:hAnsi="Times New Roman" w:cs="Times New Roman"/>
                <w:lang w:eastAsia="zh-CN"/>
              </w:rPr>
              <w:t xml:space="preserve">ozporządzenie Ministra Rozwoju, Pracy i Technologii </w:t>
            </w:r>
            <w:r w:rsidR="00AA46E2" w:rsidRPr="0004662C">
              <w:rPr>
                <w:rFonts w:ascii="Times New Roman" w:eastAsia="Times New Roman" w:hAnsi="Times New Roman" w:cs="Times New Roman"/>
                <w:lang w:eastAsia="zh-CN"/>
              </w:rPr>
              <w:t xml:space="preserve">z dnia 25 marca 2021 r. </w:t>
            </w:r>
            <w:r w:rsidRPr="0004662C">
              <w:rPr>
                <w:rFonts w:ascii="Times New Roman" w:eastAsia="Times New Roman" w:hAnsi="Times New Roman" w:cs="Times New Roman"/>
                <w:lang w:eastAsia="zh-CN"/>
              </w:rPr>
              <w:t>w sprawie finansowego wsparcia na tworzenie lokali mieszkalnych na wynajem, mieszkań chronionych, noclegowni, schronisk dla osób bezdomnych, ogrzewalni, tymczasowych pomieszczeń, komunalnej infrastruktury technicznej lub infrastruktury społecznej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04662C">
              <w:rPr>
                <w:rFonts w:ascii="Times New Roman" w:eastAsia="Times New Roman" w:hAnsi="Times New Roman" w:cs="Times New Roman"/>
                <w:lang w:eastAsia="zh-CN"/>
              </w:rPr>
              <w:t>(Dz.</w:t>
            </w:r>
            <w:r w:rsidR="00A4668D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04662C">
              <w:rPr>
                <w:rFonts w:ascii="Times New Roman" w:eastAsia="Times New Roman" w:hAnsi="Times New Roman" w:cs="Times New Roman"/>
                <w:lang w:eastAsia="zh-CN"/>
              </w:rPr>
              <w:t>U. z 2021 r. poz. 595)</w:t>
            </w:r>
          </w:p>
        </w:tc>
      </w:tr>
      <w:tr w:rsidR="00E24990" w:rsidRPr="0009318F" w14:paraId="3A758DE7" w14:textId="77777777" w:rsidTr="006A04BC">
        <w:tc>
          <w:tcPr>
            <w:tcW w:w="1985" w:type="dxa"/>
          </w:tcPr>
          <w:p w14:paraId="6D7AE1C1" w14:textId="77777777" w:rsidR="00E24990" w:rsidRPr="0009318F" w:rsidRDefault="00E24990" w:rsidP="00E24990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9318F">
              <w:rPr>
                <w:rFonts w:ascii="Times New Roman" w:eastAsia="Times New Roman" w:hAnsi="Times New Roman" w:cs="Times New Roman"/>
                <w:b/>
                <w:lang w:eastAsia="zh-CN"/>
              </w:rPr>
              <w:t>Spółka</w:t>
            </w:r>
          </w:p>
        </w:tc>
        <w:tc>
          <w:tcPr>
            <w:tcW w:w="7229" w:type="dxa"/>
          </w:tcPr>
          <w:p w14:paraId="1E338B59" w14:textId="77777777" w:rsidR="00E24990" w:rsidRPr="0009318F" w:rsidRDefault="00E24990" w:rsidP="00E24990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09318F">
              <w:rPr>
                <w:rFonts w:ascii="Times New Roman" w:eastAsia="Times New Roman" w:hAnsi="Times New Roman" w:cs="Times New Roman"/>
                <w:lang w:eastAsia="zh-CN"/>
              </w:rPr>
              <w:t>Poznańskie Towarzystwo Budownictwa Społecznego spółka z ograniczoną odpowiedzialnością z siedzibą w Poznaniu, wpisana do rejestru przedsiębiorców KRS pod numerem 0000030524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, w której 100% udziałów posiada Miasto</w:t>
            </w:r>
          </w:p>
        </w:tc>
      </w:tr>
      <w:tr w:rsidR="00E24990" w:rsidRPr="002D792A" w14:paraId="243CED6F" w14:textId="77777777" w:rsidTr="006A04BC">
        <w:tc>
          <w:tcPr>
            <w:tcW w:w="1985" w:type="dxa"/>
          </w:tcPr>
          <w:p w14:paraId="4AD1B614" w14:textId="77777777" w:rsidR="00E24990" w:rsidRPr="007E3A8C" w:rsidRDefault="00E24990" w:rsidP="00E24990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E3A8C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Uchwała </w:t>
            </w:r>
            <w:proofErr w:type="spellStart"/>
            <w:r w:rsidRPr="007E3A8C">
              <w:rPr>
                <w:rFonts w:ascii="Times New Roman" w:eastAsia="Times New Roman" w:hAnsi="Times New Roman" w:cs="Times New Roman"/>
                <w:b/>
                <w:lang w:eastAsia="zh-CN"/>
              </w:rPr>
              <w:t>ws</w:t>
            </w:r>
            <w:proofErr w:type="spellEnd"/>
            <w:r w:rsidRPr="007E3A8C">
              <w:rPr>
                <w:rFonts w:ascii="Times New Roman" w:eastAsia="Times New Roman" w:hAnsi="Times New Roman" w:cs="Times New Roman"/>
                <w:b/>
                <w:lang w:eastAsia="zh-CN"/>
              </w:rPr>
              <w:t>. Powierzenia</w:t>
            </w:r>
          </w:p>
        </w:tc>
        <w:tc>
          <w:tcPr>
            <w:tcW w:w="7229" w:type="dxa"/>
          </w:tcPr>
          <w:p w14:paraId="6A42EAF7" w14:textId="78553175" w:rsidR="00E24990" w:rsidRPr="007E3A8C" w:rsidRDefault="00E24990" w:rsidP="00E24990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E3A8C">
              <w:rPr>
                <w:rFonts w:ascii="Times New Roman" w:eastAsia="Times New Roman" w:hAnsi="Times New Roman" w:cs="Times New Roman"/>
                <w:lang w:eastAsia="zh-CN"/>
              </w:rPr>
              <w:t xml:space="preserve">uchwała </w:t>
            </w:r>
            <w:r w:rsidR="000A19A2">
              <w:rPr>
                <w:rFonts w:ascii="Times New Roman" w:eastAsia="Times New Roman" w:hAnsi="Times New Roman" w:cs="Times New Roman"/>
                <w:lang w:eastAsia="zh-CN"/>
              </w:rPr>
              <w:t>N</w:t>
            </w:r>
            <w:r w:rsidRPr="007E3A8C">
              <w:rPr>
                <w:rFonts w:ascii="Times New Roman" w:eastAsia="Times New Roman" w:hAnsi="Times New Roman" w:cs="Times New Roman"/>
                <w:lang w:eastAsia="zh-CN"/>
              </w:rPr>
              <w:t>r XLII/737/VIII/2021 Rady Miasta Poznania z dnia 16 lutego 2021 r. w sprawie powierzenia spółce Poznańskie Towarzystwo Budownictwa Społecznego sp. z o.o. realizacji programu mieszkaniowego „</w:t>
            </w:r>
            <w:proofErr w:type="spellStart"/>
            <w:r w:rsidRPr="007E3A8C">
              <w:rPr>
                <w:rFonts w:ascii="Times New Roman" w:eastAsia="Times New Roman" w:hAnsi="Times New Roman" w:cs="Times New Roman"/>
                <w:lang w:eastAsia="zh-CN"/>
              </w:rPr>
              <w:t>POZnań</w:t>
            </w:r>
            <w:proofErr w:type="spellEnd"/>
            <w:r w:rsidRPr="007E3A8C">
              <w:rPr>
                <w:rFonts w:ascii="Times New Roman" w:eastAsia="Times New Roman" w:hAnsi="Times New Roman" w:cs="Times New Roman"/>
                <w:lang w:eastAsia="zh-CN"/>
              </w:rPr>
              <w:t xml:space="preserve"> – i zamieszkaj” jako usługi świadczonej w ogólnym interesie g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ospodarczym</w:t>
            </w:r>
          </w:p>
        </w:tc>
      </w:tr>
      <w:tr w:rsidR="00E24990" w:rsidRPr="002D792A" w14:paraId="19839EF7" w14:textId="77777777" w:rsidTr="006A04BC">
        <w:tc>
          <w:tcPr>
            <w:tcW w:w="1985" w:type="dxa"/>
          </w:tcPr>
          <w:p w14:paraId="506D7DC9" w14:textId="77777777" w:rsidR="00E24990" w:rsidRPr="007E3A8C" w:rsidRDefault="00E24990" w:rsidP="00E24990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E3A8C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Uchwała </w:t>
            </w:r>
            <w:proofErr w:type="spellStart"/>
            <w:r w:rsidRPr="007E3A8C">
              <w:rPr>
                <w:rFonts w:ascii="Times New Roman" w:eastAsia="Times New Roman" w:hAnsi="Times New Roman" w:cs="Times New Roman"/>
                <w:b/>
                <w:lang w:eastAsia="zh-CN"/>
              </w:rPr>
              <w:t>ws</w:t>
            </w:r>
            <w:proofErr w:type="spellEnd"/>
            <w:r w:rsidRPr="007E3A8C">
              <w:rPr>
                <w:rFonts w:ascii="Times New Roman" w:eastAsia="Times New Roman" w:hAnsi="Times New Roman" w:cs="Times New Roman"/>
                <w:b/>
                <w:lang w:eastAsia="zh-CN"/>
              </w:rPr>
              <w:t>. Programu</w:t>
            </w:r>
          </w:p>
        </w:tc>
        <w:tc>
          <w:tcPr>
            <w:tcW w:w="7229" w:type="dxa"/>
          </w:tcPr>
          <w:p w14:paraId="137F6648" w14:textId="2B3517C1" w:rsidR="00E24990" w:rsidRPr="007E3A8C" w:rsidRDefault="00E24990" w:rsidP="00E943EC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7E3A8C">
              <w:rPr>
                <w:rFonts w:ascii="Times New Roman" w:eastAsia="Times New Roman" w:hAnsi="Times New Roman" w:cs="Times New Roman"/>
                <w:lang w:eastAsia="zh-CN"/>
              </w:rPr>
              <w:t xml:space="preserve">uchwała </w:t>
            </w:r>
            <w:r w:rsidR="000A19A2">
              <w:rPr>
                <w:rFonts w:ascii="Times New Roman" w:eastAsia="Times New Roman" w:hAnsi="Times New Roman" w:cs="Times New Roman"/>
                <w:lang w:eastAsia="zh-CN"/>
              </w:rPr>
              <w:t>N</w:t>
            </w:r>
            <w:r w:rsidRPr="007E3A8C">
              <w:rPr>
                <w:rFonts w:ascii="Times New Roman" w:eastAsia="Times New Roman" w:hAnsi="Times New Roman" w:cs="Times New Roman"/>
                <w:lang w:eastAsia="zh-CN"/>
              </w:rPr>
              <w:t>r XLII/736/VIII/2021 Rady Miasta Poznania z dnia 16 lutego 2021 r. w sprawie przyjęcia programu „</w:t>
            </w:r>
            <w:proofErr w:type="spellStart"/>
            <w:r w:rsidRPr="007E3A8C">
              <w:rPr>
                <w:rFonts w:ascii="Times New Roman" w:eastAsia="Times New Roman" w:hAnsi="Times New Roman" w:cs="Times New Roman"/>
                <w:lang w:eastAsia="zh-CN"/>
              </w:rPr>
              <w:t>POZnań</w:t>
            </w:r>
            <w:proofErr w:type="spellEnd"/>
            <w:r w:rsidRPr="007E3A8C">
              <w:rPr>
                <w:rFonts w:ascii="Times New Roman" w:eastAsia="Times New Roman" w:hAnsi="Times New Roman" w:cs="Times New Roman"/>
                <w:lang w:eastAsia="zh-CN"/>
              </w:rPr>
              <w:t xml:space="preserve"> – i zamieszkaj” oraz określenia zasad przeprowadzenia naboru wniosków o zawarcie umowy najmu lokali mieszkalnych w ramach programu, objętych możliwością stosowania dopłat do</w:t>
            </w:r>
            <w:r w:rsidR="00E943EC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7E3A8C">
              <w:rPr>
                <w:rFonts w:ascii="Times New Roman" w:eastAsia="Times New Roman" w:hAnsi="Times New Roman" w:cs="Times New Roman"/>
                <w:lang w:eastAsia="zh-CN"/>
              </w:rPr>
              <w:t>czynszu</w:t>
            </w:r>
          </w:p>
        </w:tc>
      </w:tr>
      <w:tr w:rsidR="00E24990" w:rsidRPr="002D792A" w14:paraId="1C445A15" w14:textId="77777777" w:rsidTr="006A04BC">
        <w:tc>
          <w:tcPr>
            <w:tcW w:w="1985" w:type="dxa"/>
          </w:tcPr>
          <w:p w14:paraId="69763628" w14:textId="77777777" w:rsidR="00E24990" w:rsidRPr="0009318F" w:rsidRDefault="00E24990" w:rsidP="00E24990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zh-CN"/>
              </w:rPr>
            </w:pPr>
            <w:r w:rsidRPr="00125683">
              <w:rPr>
                <w:rFonts w:ascii="Times New Roman" w:eastAsia="Times New Roman" w:hAnsi="Times New Roman" w:cs="Times New Roman"/>
                <w:b/>
                <w:lang w:eastAsia="zh-CN"/>
              </w:rPr>
              <w:t>Umowa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z Inwestorem</w:t>
            </w:r>
          </w:p>
        </w:tc>
        <w:tc>
          <w:tcPr>
            <w:tcW w:w="7229" w:type="dxa"/>
          </w:tcPr>
          <w:p w14:paraId="770880DB" w14:textId="40F541BA" w:rsidR="00E24990" w:rsidRPr="0009318F" w:rsidRDefault="00E24990" w:rsidP="00E24990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u</w:t>
            </w:r>
            <w:r w:rsidRPr="00125683">
              <w:rPr>
                <w:rFonts w:ascii="Times New Roman" w:eastAsia="Times New Roman" w:hAnsi="Times New Roman" w:cs="Times New Roman"/>
                <w:lang w:eastAsia="zh-CN"/>
              </w:rPr>
              <w:t>mowa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pomiędzy Miastem a Spółką</w:t>
            </w:r>
            <w:r w:rsidRPr="00125683">
              <w:rPr>
                <w:rFonts w:ascii="Times New Roman" w:eastAsia="Times New Roman" w:hAnsi="Times New Roman" w:cs="Times New Roman"/>
                <w:lang w:eastAsia="zh-CN"/>
              </w:rPr>
              <w:t>, o której mowa w art. 5 ust. 2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Ustawy </w:t>
            </w:r>
            <w:r w:rsidRPr="00125683">
              <w:rPr>
                <w:rFonts w:ascii="Times New Roman" w:eastAsia="Times New Roman" w:hAnsi="Times New Roman" w:cs="Times New Roman"/>
                <w:lang w:eastAsia="zh-CN"/>
              </w:rPr>
              <w:t>o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 F</w:t>
            </w:r>
            <w:r w:rsidRPr="00125683">
              <w:rPr>
                <w:rFonts w:ascii="Times New Roman" w:eastAsia="Times New Roman" w:hAnsi="Times New Roman" w:cs="Times New Roman"/>
                <w:lang w:eastAsia="zh-CN"/>
              </w:rPr>
              <w:t xml:space="preserve">inansowym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W</w:t>
            </w:r>
            <w:r w:rsidRPr="00125683">
              <w:rPr>
                <w:rFonts w:ascii="Times New Roman" w:eastAsia="Times New Roman" w:hAnsi="Times New Roman" w:cs="Times New Roman"/>
                <w:lang w:eastAsia="zh-CN"/>
              </w:rPr>
              <w:t>sparciu</w:t>
            </w:r>
            <w:r w:rsidR="00A4668D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r w:rsidR="00264D2E">
              <w:rPr>
                <w:rFonts w:ascii="Times New Roman" w:eastAsia="Times New Roman" w:hAnsi="Times New Roman" w:cs="Times New Roman"/>
                <w:lang w:eastAsia="zh-CN"/>
              </w:rPr>
              <w:t xml:space="preserve">art. </w:t>
            </w:r>
            <w:r w:rsidR="006F36FE">
              <w:rPr>
                <w:rFonts w:ascii="Times New Roman" w:eastAsia="Times New Roman" w:hAnsi="Times New Roman" w:cs="Times New Roman"/>
                <w:lang w:eastAsia="zh-CN"/>
              </w:rPr>
              <w:t xml:space="preserve">15a ust. 3 oraz </w:t>
            </w:r>
            <w:r w:rsidR="00A4668D">
              <w:rPr>
                <w:rFonts w:ascii="Times New Roman" w:eastAsia="Times New Roman" w:hAnsi="Times New Roman" w:cs="Times New Roman"/>
                <w:lang w:eastAsia="zh-CN"/>
              </w:rPr>
              <w:t>art. 33p ust. 2 Ustawy o TBS oraz</w:t>
            </w:r>
            <w:r w:rsidR="000A19A2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="00A4668D">
              <w:rPr>
                <w:rFonts w:ascii="Times New Roman" w:eastAsia="Times New Roman" w:hAnsi="Times New Roman" w:cs="Times New Roman"/>
                <w:lang w:eastAsia="zh-CN"/>
              </w:rPr>
              <w:t>art. 7 ust. 1 Ustawy o Dopłatach</w:t>
            </w:r>
          </w:p>
        </w:tc>
      </w:tr>
      <w:tr w:rsidR="00107F61" w:rsidRPr="002D792A" w14:paraId="15BFC6B3" w14:textId="77777777" w:rsidTr="006A04BC">
        <w:tc>
          <w:tcPr>
            <w:tcW w:w="1985" w:type="dxa"/>
          </w:tcPr>
          <w:p w14:paraId="0540894F" w14:textId="5991F06F" w:rsidR="00107F61" w:rsidRDefault="00107F61" w:rsidP="00C61F9A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4668D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Ustawa 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o</w:t>
            </w:r>
            <w:r w:rsidR="00C61F9A">
              <w:rPr>
                <w:rFonts w:ascii="Times New Roman" w:eastAsia="Times New Roman" w:hAnsi="Times New Roman" w:cs="Times New Roman"/>
                <w:b/>
                <w:lang w:eastAsia="zh-CN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D</w:t>
            </w:r>
            <w:r w:rsidRPr="00A4668D">
              <w:rPr>
                <w:rFonts w:ascii="Times New Roman" w:eastAsia="Times New Roman" w:hAnsi="Times New Roman" w:cs="Times New Roman"/>
                <w:b/>
                <w:lang w:eastAsia="zh-CN"/>
              </w:rPr>
              <w:t>opłatach</w:t>
            </w:r>
          </w:p>
        </w:tc>
        <w:tc>
          <w:tcPr>
            <w:tcW w:w="7229" w:type="dxa"/>
          </w:tcPr>
          <w:p w14:paraId="17E05F96" w14:textId="7EB6A8F3" w:rsidR="00107F61" w:rsidRDefault="00107F61" w:rsidP="00E611EE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ustawa</w:t>
            </w:r>
            <w:r w:rsidRPr="00E611EE">
              <w:rPr>
                <w:rFonts w:ascii="Times New Roman" w:eastAsia="Times New Roman" w:hAnsi="Times New Roman" w:cs="Times New Roman"/>
                <w:lang w:eastAsia="zh-CN"/>
              </w:rPr>
              <w:t xml:space="preserve"> z dnia 20 lipca 2018 r. o pomocy państwa w ponoszeniu wydatków mieszkaniowych w pierwszych latach najmu mieszkania (t.j. Dz.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U. z 2020 r. poz. 551 ze zm.)</w:t>
            </w:r>
          </w:p>
        </w:tc>
      </w:tr>
      <w:tr w:rsidR="00E24990" w:rsidRPr="002D792A" w14:paraId="4BB8C942" w14:textId="77777777" w:rsidTr="006A04BC">
        <w:tc>
          <w:tcPr>
            <w:tcW w:w="1985" w:type="dxa"/>
          </w:tcPr>
          <w:p w14:paraId="79368642" w14:textId="08A70BB8" w:rsidR="00E611EE" w:rsidRDefault="00E24990" w:rsidP="00E24990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Ustawa o </w:t>
            </w:r>
            <w:r w:rsidRPr="00125683">
              <w:rPr>
                <w:rFonts w:ascii="Times New Roman" w:eastAsia="Times New Roman" w:hAnsi="Times New Roman" w:cs="Times New Roman"/>
                <w:b/>
                <w:lang w:eastAsia="zh-CN"/>
              </w:rPr>
              <w:t>Finansowym</w:t>
            </w:r>
            <w:r w:rsidR="007350CF">
              <w:t xml:space="preserve"> </w:t>
            </w:r>
            <w:r w:rsidR="007350CF" w:rsidRPr="007350CF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Wsparciu</w:t>
            </w:r>
            <w:r w:rsidRPr="00125683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</w:p>
          <w:p w14:paraId="0CFACD77" w14:textId="5DAF62F9" w:rsidR="00E611EE" w:rsidRPr="00A4668D" w:rsidRDefault="00E611EE" w:rsidP="00E611EE">
            <w:pPr>
              <w:widowControl w:val="0"/>
              <w:suppressAutoHyphens/>
              <w:spacing w:after="120" w:line="276" w:lineRule="auto"/>
              <w:rPr>
                <w:rFonts w:ascii="Times New Roman" w:eastAsia="Times New Roman" w:hAnsi="Times New Roman" w:cs="Times New Roman"/>
                <w:b/>
                <w:highlight w:val="red"/>
                <w:lang w:eastAsia="zh-CN"/>
              </w:rPr>
            </w:pPr>
          </w:p>
        </w:tc>
        <w:tc>
          <w:tcPr>
            <w:tcW w:w="7229" w:type="dxa"/>
          </w:tcPr>
          <w:p w14:paraId="44855FCB" w14:textId="1D94651A" w:rsidR="00E611EE" w:rsidRPr="00E611EE" w:rsidRDefault="00E24990" w:rsidP="00C61F9A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highlight w:val="red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u</w:t>
            </w:r>
            <w:r w:rsidRPr="00125683">
              <w:rPr>
                <w:rFonts w:ascii="Times New Roman" w:eastAsia="Times New Roman" w:hAnsi="Times New Roman" w:cs="Times New Roman"/>
                <w:lang w:eastAsia="zh-CN"/>
              </w:rPr>
              <w:t xml:space="preserve">stawa </w:t>
            </w:r>
            <w:r w:rsidR="00E611EE">
              <w:rPr>
                <w:rFonts w:ascii="Times New Roman" w:eastAsia="Times New Roman" w:hAnsi="Times New Roman" w:cs="Times New Roman"/>
                <w:lang w:eastAsia="zh-CN"/>
              </w:rPr>
              <w:t xml:space="preserve">z dnia 8 grudnia 2006 r. </w:t>
            </w:r>
            <w:r w:rsidRPr="00125683">
              <w:rPr>
                <w:rFonts w:ascii="Times New Roman" w:eastAsia="Times New Roman" w:hAnsi="Times New Roman" w:cs="Times New Roman"/>
                <w:lang w:eastAsia="zh-CN"/>
              </w:rPr>
              <w:t xml:space="preserve">o finansowym wsparciu tworzenia lokali mieszkalnych na wynajem, mieszkań chronionych, noclegowni, schronisk </w:t>
            </w:r>
            <w:r w:rsidRPr="00125683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dla</w:t>
            </w:r>
            <w:r w:rsidR="000A19A2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125683">
              <w:rPr>
                <w:rFonts w:ascii="Times New Roman" w:eastAsia="Times New Roman" w:hAnsi="Times New Roman" w:cs="Times New Roman"/>
                <w:lang w:eastAsia="zh-CN"/>
              </w:rPr>
              <w:t>osób bezdomnych, ogrzewalni i tymczasowych pomieszczeń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, (</w:t>
            </w:r>
            <w:r w:rsidR="00E611EE">
              <w:rPr>
                <w:rFonts w:ascii="Times New Roman" w:eastAsia="Times New Roman" w:hAnsi="Times New Roman" w:cs="Times New Roman"/>
                <w:lang w:eastAsia="zh-CN"/>
              </w:rPr>
              <w:t xml:space="preserve">t.j.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Dz. U. z 2020</w:t>
            </w:r>
            <w:r w:rsidR="000A19A2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r. poz. 508 ze zm.)</w:t>
            </w:r>
          </w:p>
        </w:tc>
      </w:tr>
      <w:tr w:rsidR="00C61F9A" w:rsidRPr="002D792A" w14:paraId="26CF285B" w14:textId="77777777" w:rsidTr="006A04BC">
        <w:tc>
          <w:tcPr>
            <w:tcW w:w="1985" w:type="dxa"/>
          </w:tcPr>
          <w:p w14:paraId="0B0DD301" w14:textId="77777777" w:rsidR="00C61F9A" w:rsidRPr="00CF3DCD" w:rsidRDefault="00C61F9A" w:rsidP="00E24990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Ustawa o TBS</w:t>
            </w:r>
          </w:p>
        </w:tc>
        <w:tc>
          <w:tcPr>
            <w:tcW w:w="7229" w:type="dxa"/>
          </w:tcPr>
          <w:p w14:paraId="2C6481AA" w14:textId="743BF2F9" w:rsidR="00C61F9A" w:rsidRDefault="00C61F9A" w:rsidP="00E24990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ustawa z dnia 26 października 1995 r. o niektórych formach popierania budownictwa mieszkaniowego (t.j. Dz. U. z 2019 r. poz. 2195 ze zm.)</w:t>
            </w:r>
          </w:p>
        </w:tc>
      </w:tr>
      <w:tr w:rsidR="00E24990" w:rsidRPr="002D792A" w14:paraId="4581405C" w14:textId="77777777" w:rsidTr="006A04BC">
        <w:tc>
          <w:tcPr>
            <w:tcW w:w="1985" w:type="dxa"/>
          </w:tcPr>
          <w:p w14:paraId="744BFD7A" w14:textId="77777777" w:rsidR="00E24990" w:rsidRPr="00CF3DCD" w:rsidRDefault="00E24990" w:rsidP="00E24990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CF3DCD">
              <w:rPr>
                <w:rFonts w:ascii="Times New Roman" w:eastAsia="Times New Roman" w:hAnsi="Times New Roman" w:cs="Times New Roman"/>
                <w:b/>
                <w:lang w:eastAsia="zh-CN"/>
              </w:rPr>
              <w:t>Zadanie</w:t>
            </w:r>
          </w:p>
        </w:tc>
        <w:tc>
          <w:tcPr>
            <w:tcW w:w="7229" w:type="dxa"/>
          </w:tcPr>
          <w:p w14:paraId="22482A08" w14:textId="48C4897E" w:rsidR="00E24990" w:rsidRPr="00CF3DCD" w:rsidRDefault="00E24990" w:rsidP="006F36FE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z</w:t>
            </w:r>
            <w:r w:rsidRPr="00CF3DCD">
              <w:rPr>
                <w:rFonts w:ascii="Times New Roman" w:eastAsia="Times New Roman" w:hAnsi="Times New Roman" w:cs="Times New Roman"/>
                <w:lang w:eastAsia="zh-CN"/>
              </w:rPr>
              <w:t xml:space="preserve">adanie polegające na wykonaniu inwestycji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wyłącznie </w:t>
            </w:r>
            <w:r w:rsidRPr="00CF3DCD">
              <w:rPr>
                <w:rFonts w:ascii="Times New Roman" w:eastAsia="Times New Roman" w:hAnsi="Times New Roman" w:cs="Times New Roman"/>
                <w:lang w:eastAsia="zh-CN"/>
              </w:rPr>
              <w:t>w zakresie budownictwa mieszkaniowego na wynajem o ograniczonym czynszu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na </w:t>
            </w:r>
            <w:r w:rsidRPr="00CF3DCD">
              <w:rPr>
                <w:rFonts w:ascii="Times New Roman" w:eastAsia="Times New Roman" w:hAnsi="Times New Roman" w:cs="Times New Roman"/>
                <w:lang w:eastAsia="zh-CN"/>
              </w:rPr>
              <w:t>wskazanej przez</w:t>
            </w:r>
            <w:r w:rsidR="006F36FE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CF3DCD">
              <w:rPr>
                <w:rFonts w:ascii="Times New Roman" w:eastAsia="Times New Roman" w:hAnsi="Times New Roman" w:cs="Times New Roman"/>
                <w:lang w:eastAsia="zh-CN"/>
              </w:rPr>
              <w:t xml:space="preserve">Miasto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Nieruchomości, a następnie eksploatacja lokali mieszkalnych na</w:t>
            </w:r>
            <w:r w:rsidR="000A19A2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zasadach najmu w ramach programu </w:t>
            </w:r>
            <w:r w:rsidRPr="00220ADB">
              <w:rPr>
                <w:rFonts w:ascii="Times New Roman" w:eastAsia="Times New Roman" w:hAnsi="Times New Roman" w:cs="Times New Roman"/>
                <w:lang w:eastAsia="zh-CN"/>
              </w:rPr>
              <w:t>„</w:t>
            </w:r>
            <w:proofErr w:type="spellStart"/>
            <w:r w:rsidRPr="00220ADB">
              <w:rPr>
                <w:rFonts w:ascii="Times New Roman" w:eastAsia="Times New Roman" w:hAnsi="Times New Roman" w:cs="Times New Roman"/>
                <w:lang w:eastAsia="zh-CN"/>
              </w:rPr>
              <w:t>POZnań</w:t>
            </w:r>
            <w:proofErr w:type="spellEnd"/>
            <w:r w:rsidRPr="00220ADB">
              <w:rPr>
                <w:rFonts w:ascii="Times New Roman" w:eastAsia="Times New Roman" w:hAnsi="Times New Roman" w:cs="Times New Roman"/>
                <w:lang w:eastAsia="zh-CN"/>
              </w:rPr>
              <w:t xml:space="preserve"> – i</w:t>
            </w:r>
            <w:r w:rsidR="002F46A5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 w:rsidRPr="00220ADB">
              <w:rPr>
                <w:rFonts w:ascii="Times New Roman" w:eastAsia="Times New Roman" w:hAnsi="Times New Roman" w:cs="Times New Roman"/>
                <w:lang w:eastAsia="zh-CN"/>
              </w:rPr>
              <w:t>zamieszkaj”</w:t>
            </w:r>
          </w:p>
        </w:tc>
      </w:tr>
      <w:tr w:rsidR="00E24990" w:rsidRPr="0009318F" w14:paraId="1969D667" w14:textId="77777777" w:rsidTr="006A04BC">
        <w:tc>
          <w:tcPr>
            <w:tcW w:w="1985" w:type="dxa"/>
          </w:tcPr>
          <w:p w14:paraId="0A8EDFE5" w14:textId="77777777" w:rsidR="00E24990" w:rsidRPr="00220ADB" w:rsidRDefault="00E24990" w:rsidP="00E24990">
            <w:pPr>
              <w:widowControl w:val="0"/>
              <w:suppressAutoHyphens/>
              <w:spacing w:after="120" w:line="36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220ADB">
              <w:rPr>
                <w:rFonts w:ascii="Times New Roman" w:eastAsia="Times New Roman" w:hAnsi="Times New Roman" w:cs="Times New Roman"/>
                <w:b/>
                <w:lang w:eastAsia="zh-CN"/>
              </w:rPr>
              <w:t>Zasady</w:t>
            </w:r>
          </w:p>
        </w:tc>
        <w:tc>
          <w:tcPr>
            <w:tcW w:w="7229" w:type="dxa"/>
          </w:tcPr>
          <w:p w14:paraId="262FF8D5" w14:textId="33B4A532" w:rsidR="00E24990" w:rsidRPr="00220ADB" w:rsidRDefault="00E24990" w:rsidP="002F46A5">
            <w:pPr>
              <w:widowControl w:val="0"/>
              <w:suppressAutoHyphens/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220ADB">
              <w:rPr>
                <w:rFonts w:ascii="Times New Roman" w:eastAsia="Times New Roman" w:hAnsi="Times New Roman" w:cs="Times New Roman"/>
                <w:lang w:eastAsia="zh-CN"/>
              </w:rPr>
              <w:t>zasady wykonywania i rozliczania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Zadań realizowanych przez Spółkę w</w:t>
            </w:r>
            <w:r w:rsidR="002F46A5">
              <w:rPr>
                <w:rFonts w:ascii="Times New Roman" w:eastAsia="Times New Roman" w:hAnsi="Times New Roman" w:cs="Times New Roman"/>
                <w:lang w:eastAsia="zh-CN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ramach</w:t>
            </w:r>
            <w:r w:rsidRPr="00220ADB">
              <w:rPr>
                <w:rFonts w:ascii="Times New Roman" w:eastAsia="Times New Roman" w:hAnsi="Times New Roman" w:cs="Times New Roman"/>
                <w:lang w:eastAsia="zh-CN"/>
              </w:rPr>
              <w:t xml:space="preserve"> Programu „</w:t>
            </w:r>
            <w:proofErr w:type="spellStart"/>
            <w:r w:rsidRPr="00220ADB">
              <w:rPr>
                <w:rFonts w:ascii="Times New Roman" w:eastAsia="Times New Roman" w:hAnsi="Times New Roman" w:cs="Times New Roman"/>
                <w:lang w:eastAsia="zh-CN"/>
              </w:rPr>
              <w:t>POZnań</w:t>
            </w:r>
            <w:proofErr w:type="spellEnd"/>
            <w:r w:rsidRPr="00220ADB">
              <w:rPr>
                <w:rFonts w:ascii="Times New Roman" w:eastAsia="Times New Roman" w:hAnsi="Times New Roman" w:cs="Times New Roman"/>
                <w:lang w:eastAsia="zh-CN"/>
              </w:rPr>
              <w:t xml:space="preserve"> – i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220ADB">
              <w:rPr>
                <w:rFonts w:ascii="Times New Roman" w:eastAsia="Times New Roman" w:hAnsi="Times New Roman" w:cs="Times New Roman"/>
                <w:lang w:eastAsia="zh-CN"/>
              </w:rPr>
              <w:t>zamieszkaj”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220ADB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</w:tr>
    </w:tbl>
    <w:p w14:paraId="0C52EACA" w14:textId="77777777" w:rsidR="0009318F" w:rsidRPr="0009318F" w:rsidRDefault="0009318F" w:rsidP="00322FC6">
      <w:pPr>
        <w:pStyle w:val="Akapitzlist"/>
        <w:keepNext/>
        <w:widowControl w:val="0"/>
        <w:numPr>
          <w:ilvl w:val="0"/>
          <w:numId w:val="15"/>
        </w:numPr>
        <w:tabs>
          <w:tab w:val="left" w:pos="426"/>
        </w:tabs>
        <w:suppressAutoHyphens/>
        <w:spacing w:before="360" w:after="0" w:line="36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 w:rsidRPr="0009318F">
        <w:rPr>
          <w:rFonts w:ascii="Times New Roman" w:eastAsia="Times New Roman" w:hAnsi="Times New Roman" w:cs="Times New Roman"/>
          <w:b/>
          <w:lang w:eastAsia="zh-CN"/>
        </w:rPr>
        <w:t>PRZEDMIOT ZASAD</w:t>
      </w:r>
    </w:p>
    <w:p w14:paraId="6405F1CA" w14:textId="0FF0882A" w:rsidR="0009318F" w:rsidRPr="0009318F" w:rsidRDefault="0009318F" w:rsidP="00426E30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801C2">
        <w:rPr>
          <w:rFonts w:ascii="Times New Roman" w:eastAsia="Times New Roman" w:hAnsi="Times New Roman" w:cs="Times New Roman"/>
          <w:lang w:eastAsia="zh-CN"/>
        </w:rPr>
        <w:t>Przedmiotem</w:t>
      </w:r>
      <w:r w:rsidR="00593C40">
        <w:rPr>
          <w:rFonts w:ascii="Times New Roman" w:eastAsia="Times New Roman" w:hAnsi="Times New Roman" w:cs="Times New Roman"/>
          <w:lang w:eastAsia="zh-CN"/>
        </w:rPr>
        <w:t xml:space="preserve"> </w:t>
      </w:r>
      <w:r w:rsidR="00A4668D">
        <w:rPr>
          <w:rFonts w:ascii="Times New Roman" w:eastAsia="Times New Roman" w:hAnsi="Times New Roman" w:cs="Times New Roman"/>
          <w:lang w:eastAsia="zh-CN"/>
        </w:rPr>
        <w:t>dokumentu</w:t>
      </w:r>
      <w:r w:rsidRPr="002801C2">
        <w:rPr>
          <w:rFonts w:ascii="Times New Roman" w:eastAsia="Times New Roman" w:hAnsi="Times New Roman" w:cs="Times New Roman"/>
          <w:lang w:eastAsia="zh-CN"/>
        </w:rPr>
        <w:t xml:space="preserve"> jest określenie zasad </w:t>
      </w:r>
      <w:r w:rsidR="00897A73" w:rsidRPr="002801C2">
        <w:rPr>
          <w:rFonts w:ascii="Times New Roman" w:eastAsia="Times New Roman" w:hAnsi="Times New Roman" w:cs="Times New Roman"/>
          <w:lang w:eastAsia="zh-CN"/>
        </w:rPr>
        <w:t xml:space="preserve">wykonywania </w:t>
      </w:r>
      <w:r w:rsidR="00953405">
        <w:rPr>
          <w:rFonts w:ascii="Times New Roman" w:eastAsia="Times New Roman" w:hAnsi="Times New Roman" w:cs="Times New Roman"/>
          <w:lang w:eastAsia="zh-CN"/>
        </w:rPr>
        <w:t>Zadań</w:t>
      </w:r>
      <w:r w:rsidRPr="002801C2">
        <w:rPr>
          <w:rFonts w:ascii="Times New Roman" w:eastAsia="Times New Roman" w:hAnsi="Times New Roman" w:cs="Times New Roman"/>
          <w:lang w:eastAsia="zh-CN"/>
        </w:rPr>
        <w:t xml:space="preserve"> </w:t>
      </w:r>
      <w:r w:rsidR="00953405">
        <w:rPr>
          <w:rFonts w:ascii="Times New Roman" w:eastAsia="Times New Roman" w:hAnsi="Times New Roman" w:cs="Times New Roman"/>
          <w:lang w:eastAsia="zh-CN"/>
        </w:rPr>
        <w:t>realizowanych</w:t>
      </w:r>
      <w:r w:rsidR="006B7A6D" w:rsidRPr="002801C2">
        <w:rPr>
          <w:rFonts w:ascii="Times New Roman" w:eastAsia="Times New Roman" w:hAnsi="Times New Roman" w:cs="Times New Roman"/>
          <w:lang w:eastAsia="zh-CN"/>
        </w:rPr>
        <w:t xml:space="preserve"> przez Spółkę </w:t>
      </w:r>
      <w:r w:rsidR="00897A73" w:rsidRPr="002801C2">
        <w:rPr>
          <w:rFonts w:ascii="Times New Roman" w:eastAsia="Times New Roman" w:hAnsi="Times New Roman" w:cs="Times New Roman"/>
          <w:lang w:eastAsia="zh-CN"/>
        </w:rPr>
        <w:t>oraz</w:t>
      </w:r>
      <w:r w:rsidR="000A19A2">
        <w:rPr>
          <w:rFonts w:ascii="Times New Roman" w:eastAsia="Times New Roman" w:hAnsi="Times New Roman" w:cs="Times New Roman"/>
          <w:lang w:eastAsia="zh-CN"/>
        </w:rPr>
        <w:t> </w:t>
      </w:r>
      <w:r w:rsidR="002801C2" w:rsidRPr="002801C2">
        <w:rPr>
          <w:rFonts w:ascii="Times New Roman" w:eastAsia="Times New Roman" w:hAnsi="Times New Roman" w:cs="Times New Roman"/>
          <w:lang w:eastAsia="zh-CN"/>
        </w:rPr>
        <w:t xml:space="preserve">zasad </w:t>
      </w:r>
      <w:r w:rsidR="00897A73" w:rsidRPr="002801C2">
        <w:rPr>
          <w:rFonts w:ascii="Times New Roman" w:eastAsia="Times New Roman" w:hAnsi="Times New Roman" w:cs="Times New Roman"/>
          <w:lang w:eastAsia="zh-CN"/>
        </w:rPr>
        <w:t>rozliczania rekompensaty przyznawanej Spółce</w:t>
      </w:r>
      <w:r w:rsidR="00953405">
        <w:rPr>
          <w:rFonts w:ascii="Times New Roman" w:eastAsia="Times New Roman" w:hAnsi="Times New Roman" w:cs="Times New Roman"/>
          <w:lang w:eastAsia="zh-CN"/>
        </w:rPr>
        <w:t xml:space="preserve"> w związku z realizacją każdego Zadania odrębnie i</w:t>
      </w:r>
      <w:r w:rsidR="00E23BB2">
        <w:rPr>
          <w:rFonts w:ascii="Times New Roman" w:eastAsia="Times New Roman" w:hAnsi="Times New Roman" w:cs="Times New Roman"/>
          <w:lang w:eastAsia="zh-CN"/>
        </w:rPr>
        <w:t> </w:t>
      </w:r>
      <w:r w:rsidR="00953405">
        <w:rPr>
          <w:rFonts w:ascii="Times New Roman" w:eastAsia="Times New Roman" w:hAnsi="Times New Roman" w:cs="Times New Roman"/>
          <w:lang w:eastAsia="zh-CN"/>
        </w:rPr>
        <w:t xml:space="preserve">wszystkich </w:t>
      </w:r>
      <w:r w:rsidR="006F36FE">
        <w:rPr>
          <w:rFonts w:ascii="Times New Roman" w:eastAsia="Times New Roman" w:hAnsi="Times New Roman" w:cs="Times New Roman"/>
          <w:lang w:eastAsia="zh-CN"/>
        </w:rPr>
        <w:t xml:space="preserve">Zadań </w:t>
      </w:r>
      <w:r w:rsidR="00953405">
        <w:rPr>
          <w:rFonts w:ascii="Times New Roman" w:eastAsia="Times New Roman" w:hAnsi="Times New Roman" w:cs="Times New Roman"/>
          <w:lang w:eastAsia="zh-CN"/>
        </w:rPr>
        <w:t>łącznie</w:t>
      </w:r>
      <w:r w:rsidRPr="002801C2">
        <w:rPr>
          <w:rFonts w:ascii="Times New Roman" w:eastAsia="Times New Roman" w:hAnsi="Times New Roman" w:cs="Times New Roman"/>
          <w:lang w:eastAsia="zh-CN"/>
        </w:rPr>
        <w:t>.</w:t>
      </w:r>
      <w:r w:rsidRPr="0009318F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5319CB3E" w14:textId="77777777" w:rsidR="0009318F" w:rsidRPr="0009318F" w:rsidRDefault="0009318F" w:rsidP="00322FC6">
      <w:pPr>
        <w:pStyle w:val="Akapitzlist"/>
        <w:keepNext/>
        <w:widowControl w:val="0"/>
        <w:numPr>
          <w:ilvl w:val="0"/>
          <w:numId w:val="15"/>
        </w:numPr>
        <w:tabs>
          <w:tab w:val="left" w:pos="426"/>
        </w:tabs>
        <w:suppressAutoHyphens/>
        <w:spacing w:before="360" w:after="0" w:line="36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 w:rsidRPr="0009318F">
        <w:rPr>
          <w:rFonts w:ascii="Times New Roman" w:eastAsia="Times New Roman" w:hAnsi="Times New Roman" w:cs="Times New Roman"/>
          <w:b/>
          <w:lang w:eastAsia="zh-CN"/>
        </w:rPr>
        <w:t>ZASADY REALIZACJI ZADANIA</w:t>
      </w:r>
    </w:p>
    <w:p w14:paraId="1F96E2D7" w14:textId="77777777" w:rsidR="00C37EAD" w:rsidRPr="00C37EAD" w:rsidRDefault="00C37EAD" w:rsidP="00754973">
      <w:pPr>
        <w:pStyle w:val="Akapitzlist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C37EAD">
        <w:rPr>
          <w:rFonts w:ascii="Times New Roman" w:eastAsia="Times New Roman" w:hAnsi="Times New Roman" w:cs="Times New Roman"/>
          <w:lang w:eastAsia="zh-CN"/>
        </w:rPr>
        <w:t>Spółka zob</w:t>
      </w:r>
      <w:r w:rsidR="00953405">
        <w:rPr>
          <w:rFonts w:ascii="Times New Roman" w:eastAsia="Times New Roman" w:hAnsi="Times New Roman" w:cs="Times New Roman"/>
          <w:lang w:eastAsia="zh-CN"/>
        </w:rPr>
        <w:t>owiązana jest realizować Zadania</w:t>
      </w:r>
      <w:r w:rsidRPr="00C37EAD">
        <w:rPr>
          <w:rFonts w:ascii="Times New Roman" w:eastAsia="Times New Roman" w:hAnsi="Times New Roman" w:cs="Times New Roman"/>
          <w:lang w:eastAsia="zh-CN"/>
        </w:rPr>
        <w:t xml:space="preserve"> na warunkach określonych w Zasadach</w:t>
      </w:r>
      <w:r w:rsidR="003F0C8E">
        <w:rPr>
          <w:rFonts w:ascii="Times New Roman" w:eastAsia="Times New Roman" w:hAnsi="Times New Roman" w:cs="Times New Roman"/>
          <w:lang w:eastAsia="zh-CN"/>
        </w:rPr>
        <w:t xml:space="preserve"> przy</w:t>
      </w:r>
      <w:r w:rsidR="00E23BB2">
        <w:rPr>
          <w:rFonts w:ascii="Times New Roman" w:eastAsia="Times New Roman" w:hAnsi="Times New Roman" w:cs="Times New Roman"/>
          <w:lang w:eastAsia="zh-CN"/>
        </w:rPr>
        <w:t> </w:t>
      </w:r>
      <w:r w:rsidR="003F0C8E">
        <w:rPr>
          <w:rFonts w:ascii="Times New Roman" w:eastAsia="Times New Roman" w:hAnsi="Times New Roman" w:cs="Times New Roman"/>
          <w:lang w:eastAsia="zh-CN"/>
        </w:rPr>
        <w:t>zapewnieniu przestrzegania powszechnie obowiązujących przepisów prawa</w:t>
      </w:r>
      <w:r w:rsidRPr="00C37EAD">
        <w:rPr>
          <w:rFonts w:ascii="Times New Roman" w:eastAsia="Times New Roman" w:hAnsi="Times New Roman" w:cs="Times New Roman"/>
          <w:lang w:eastAsia="zh-CN"/>
        </w:rPr>
        <w:t>.</w:t>
      </w:r>
    </w:p>
    <w:p w14:paraId="789ED4A8" w14:textId="5FE64AD0" w:rsidR="00A85036" w:rsidRDefault="00C94CB2" w:rsidP="00E30B3A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W przypadku gdy Miasto jest właścicielem bądź użytkownikiem wieczystym Nieruchomości, </w:t>
      </w:r>
      <w:r w:rsidR="00A85036" w:rsidRPr="00A85036">
        <w:rPr>
          <w:rFonts w:ascii="Times New Roman" w:eastAsia="Times New Roman" w:hAnsi="Times New Roman" w:cs="Times New Roman"/>
          <w:lang w:eastAsia="zh-CN"/>
        </w:rPr>
        <w:t>Miasto</w:t>
      </w:r>
      <w:r w:rsidR="000A19A2">
        <w:rPr>
          <w:rFonts w:ascii="Times New Roman" w:eastAsia="Times New Roman" w:hAnsi="Times New Roman" w:cs="Times New Roman"/>
          <w:lang w:eastAsia="zh-CN"/>
        </w:rPr>
        <w:t xml:space="preserve"> –</w:t>
      </w:r>
      <w:r w:rsidR="003F0C8E" w:rsidRPr="00A85036">
        <w:rPr>
          <w:rFonts w:ascii="Times New Roman" w:eastAsia="Times New Roman" w:hAnsi="Times New Roman" w:cs="Times New Roman"/>
          <w:lang w:eastAsia="zh-CN"/>
        </w:rPr>
        <w:t xml:space="preserve"> po uprzednim wyrażeniu zgody przez Radę Miasta Poznania</w:t>
      </w:r>
      <w:r w:rsidR="000A19A2">
        <w:rPr>
          <w:rFonts w:ascii="Times New Roman" w:eastAsia="Times New Roman" w:hAnsi="Times New Roman" w:cs="Times New Roman"/>
          <w:lang w:eastAsia="zh-CN"/>
        </w:rPr>
        <w:t xml:space="preserve"> –</w:t>
      </w:r>
      <w:r w:rsidR="00A85036" w:rsidRPr="00A85036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wniesie </w:t>
      </w:r>
      <w:r w:rsidR="00A85036" w:rsidRPr="00A85036">
        <w:rPr>
          <w:rFonts w:ascii="Times New Roman" w:eastAsia="Times New Roman" w:hAnsi="Times New Roman" w:cs="Times New Roman"/>
          <w:lang w:eastAsia="zh-CN"/>
        </w:rPr>
        <w:t>do Spółki</w:t>
      </w:r>
      <w:r w:rsidR="00A85036">
        <w:rPr>
          <w:rFonts w:ascii="Times New Roman" w:eastAsia="Times New Roman" w:hAnsi="Times New Roman" w:cs="Times New Roman"/>
          <w:lang w:eastAsia="zh-CN"/>
        </w:rPr>
        <w:t xml:space="preserve"> Nieruchomość</w:t>
      </w:r>
      <w:r w:rsidR="00A85036" w:rsidRPr="00A85036">
        <w:rPr>
          <w:rFonts w:ascii="Times New Roman" w:eastAsia="Times New Roman" w:hAnsi="Times New Roman" w:cs="Times New Roman"/>
          <w:lang w:eastAsia="zh-CN"/>
        </w:rPr>
        <w:t xml:space="preserve"> </w:t>
      </w:r>
      <w:r w:rsidR="00A85036">
        <w:rPr>
          <w:rFonts w:ascii="Times New Roman" w:eastAsia="Times New Roman" w:hAnsi="Times New Roman" w:cs="Times New Roman"/>
          <w:lang w:eastAsia="zh-CN"/>
        </w:rPr>
        <w:t>jako wkład niepieniężny</w:t>
      </w:r>
      <w:r w:rsidR="00A85036" w:rsidRPr="00A85036">
        <w:rPr>
          <w:rFonts w:ascii="Times New Roman" w:eastAsia="Times New Roman" w:hAnsi="Times New Roman" w:cs="Times New Roman"/>
          <w:lang w:eastAsia="zh-CN"/>
        </w:rPr>
        <w:t xml:space="preserve"> na pokrycie kapitału zakładowego Spółki</w:t>
      </w:r>
      <w:r w:rsidR="00A85036">
        <w:rPr>
          <w:rFonts w:ascii="Times New Roman" w:eastAsia="Times New Roman" w:hAnsi="Times New Roman" w:cs="Times New Roman"/>
          <w:lang w:eastAsia="zh-CN"/>
        </w:rPr>
        <w:t>.</w:t>
      </w:r>
    </w:p>
    <w:p w14:paraId="00512327" w14:textId="77777777" w:rsidR="00EB0151" w:rsidRPr="002C1308" w:rsidRDefault="00EB0151" w:rsidP="00E30B3A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EB0151">
        <w:rPr>
          <w:rFonts w:ascii="Times New Roman" w:eastAsia="Times New Roman" w:hAnsi="Times New Roman" w:cs="Times New Roman"/>
          <w:lang w:eastAsia="zh-CN"/>
        </w:rPr>
        <w:t xml:space="preserve">Miasto będzie uczestniczyć w kosztach realizacji </w:t>
      </w:r>
      <w:r w:rsidR="00953405">
        <w:rPr>
          <w:rFonts w:ascii="Times New Roman" w:eastAsia="Times New Roman" w:hAnsi="Times New Roman" w:cs="Times New Roman"/>
          <w:lang w:eastAsia="zh-CN"/>
        </w:rPr>
        <w:t xml:space="preserve">każdego </w:t>
      </w:r>
      <w:r w:rsidRPr="00EB0151">
        <w:rPr>
          <w:rFonts w:ascii="Times New Roman" w:eastAsia="Times New Roman" w:hAnsi="Times New Roman" w:cs="Times New Roman"/>
          <w:lang w:eastAsia="zh-CN"/>
        </w:rPr>
        <w:t xml:space="preserve">Zadania w wysokości nie niższej niż wartość </w:t>
      </w:r>
      <w:r w:rsidR="005875D8">
        <w:rPr>
          <w:rFonts w:ascii="Times New Roman" w:eastAsia="Times New Roman" w:hAnsi="Times New Roman" w:cs="Times New Roman"/>
          <w:lang w:eastAsia="zh-CN"/>
        </w:rPr>
        <w:t xml:space="preserve">otrzymanego Finansowania z Funduszu lub </w:t>
      </w:r>
      <w:r w:rsidRPr="002C1308">
        <w:rPr>
          <w:rFonts w:ascii="Times New Roman" w:eastAsia="Times New Roman" w:hAnsi="Times New Roman" w:cs="Times New Roman"/>
          <w:lang w:eastAsia="zh-CN"/>
        </w:rPr>
        <w:t xml:space="preserve">Finansowego Wsparcia, w szczególności </w:t>
      </w:r>
      <w:r w:rsidR="00F31417" w:rsidRPr="002C1308">
        <w:rPr>
          <w:rFonts w:ascii="Times New Roman" w:eastAsia="Times New Roman" w:hAnsi="Times New Roman" w:cs="Times New Roman"/>
          <w:lang w:eastAsia="zh-CN"/>
        </w:rPr>
        <w:t>w</w:t>
      </w:r>
      <w:r w:rsidR="00E23BB2">
        <w:rPr>
          <w:rFonts w:ascii="Times New Roman" w:eastAsia="Times New Roman" w:hAnsi="Times New Roman" w:cs="Times New Roman"/>
          <w:lang w:eastAsia="zh-CN"/>
        </w:rPr>
        <w:t> </w:t>
      </w:r>
      <w:r w:rsidR="00F31417" w:rsidRPr="002C1308">
        <w:rPr>
          <w:rFonts w:ascii="Times New Roman" w:eastAsia="Times New Roman" w:hAnsi="Times New Roman" w:cs="Times New Roman"/>
          <w:lang w:eastAsia="zh-CN"/>
        </w:rPr>
        <w:t xml:space="preserve">formie wkładu pieniężnego na pokrycie </w:t>
      </w:r>
      <w:r w:rsidRPr="002C1308">
        <w:rPr>
          <w:rFonts w:ascii="Times New Roman" w:eastAsia="Times New Roman" w:hAnsi="Times New Roman" w:cs="Times New Roman"/>
          <w:lang w:eastAsia="zh-CN"/>
        </w:rPr>
        <w:t>kapitału zakładowego Spółki.</w:t>
      </w:r>
    </w:p>
    <w:p w14:paraId="43BE34DB" w14:textId="77777777" w:rsidR="00AA6879" w:rsidRPr="002C1308" w:rsidRDefault="00107918" w:rsidP="00AA6879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C1308">
        <w:rPr>
          <w:rFonts w:ascii="Times New Roman" w:eastAsia="Times New Roman" w:hAnsi="Times New Roman" w:cs="Times New Roman"/>
          <w:lang w:eastAsia="zh-CN"/>
        </w:rPr>
        <w:t>Umowa</w:t>
      </w:r>
      <w:r w:rsidR="00AA6879" w:rsidRPr="002C1308">
        <w:rPr>
          <w:rFonts w:ascii="Times New Roman" w:eastAsia="Times New Roman" w:hAnsi="Times New Roman" w:cs="Times New Roman"/>
          <w:lang w:eastAsia="zh-CN"/>
        </w:rPr>
        <w:t xml:space="preserve"> </w:t>
      </w:r>
      <w:r w:rsidR="00D855D2" w:rsidRPr="002C1308">
        <w:rPr>
          <w:rFonts w:ascii="Times New Roman" w:eastAsia="Times New Roman" w:hAnsi="Times New Roman" w:cs="Times New Roman"/>
          <w:lang w:eastAsia="zh-CN"/>
        </w:rPr>
        <w:t xml:space="preserve">z Inwestorem </w:t>
      </w:r>
      <w:r w:rsidR="000F5008" w:rsidRPr="002C1308">
        <w:rPr>
          <w:rFonts w:ascii="Times New Roman" w:eastAsia="Times New Roman" w:hAnsi="Times New Roman" w:cs="Times New Roman"/>
          <w:lang w:eastAsia="zh-CN"/>
        </w:rPr>
        <w:t xml:space="preserve">zostanie </w:t>
      </w:r>
      <w:r w:rsidRPr="002C1308">
        <w:rPr>
          <w:rFonts w:ascii="Times New Roman" w:eastAsia="Times New Roman" w:hAnsi="Times New Roman" w:cs="Times New Roman"/>
          <w:lang w:eastAsia="zh-CN"/>
        </w:rPr>
        <w:t xml:space="preserve">zawarta </w:t>
      </w:r>
      <w:r w:rsidR="00AA6879" w:rsidRPr="002C1308">
        <w:rPr>
          <w:rFonts w:ascii="Times New Roman" w:eastAsia="Times New Roman" w:hAnsi="Times New Roman" w:cs="Times New Roman"/>
          <w:lang w:eastAsia="zh-CN"/>
        </w:rPr>
        <w:t>po podpisaniu umowy o</w:t>
      </w:r>
      <w:r w:rsidRPr="002C1308">
        <w:rPr>
          <w:rFonts w:ascii="Times New Roman" w:eastAsia="Times New Roman" w:hAnsi="Times New Roman" w:cs="Times New Roman"/>
          <w:lang w:eastAsia="zh-CN"/>
        </w:rPr>
        <w:t xml:space="preserve"> F</w:t>
      </w:r>
      <w:r w:rsidR="00AA6879" w:rsidRPr="002C1308">
        <w:rPr>
          <w:rFonts w:ascii="Times New Roman" w:eastAsia="Times New Roman" w:hAnsi="Times New Roman" w:cs="Times New Roman"/>
          <w:lang w:eastAsia="zh-CN"/>
        </w:rPr>
        <w:t xml:space="preserve">inansowe </w:t>
      </w:r>
      <w:r w:rsidRPr="002C1308">
        <w:rPr>
          <w:rFonts w:ascii="Times New Roman" w:eastAsia="Times New Roman" w:hAnsi="Times New Roman" w:cs="Times New Roman"/>
          <w:lang w:eastAsia="zh-CN"/>
        </w:rPr>
        <w:t>W</w:t>
      </w:r>
      <w:r w:rsidR="00AA6879" w:rsidRPr="002C1308">
        <w:rPr>
          <w:rFonts w:ascii="Times New Roman" w:eastAsia="Times New Roman" w:hAnsi="Times New Roman" w:cs="Times New Roman"/>
          <w:lang w:eastAsia="zh-CN"/>
        </w:rPr>
        <w:t xml:space="preserve">sparcie pomiędzy </w:t>
      </w:r>
      <w:r w:rsidRPr="002C1308">
        <w:rPr>
          <w:rFonts w:ascii="Times New Roman" w:eastAsia="Times New Roman" w:hAnsi="Times New Roman" w:cs="Times New Roman"/>
          <w:lang w:eastAsia="zh-CN"/>
        </w:rPr>
        <w:t xml:space="preserve">Miastem </w:t>
      </w:r>
      <w:r w:rsidR="00AA6879" w:rsidRPr="002C1308">
        <w:rPr>
          <w:rFonts w:ascii="Times New Roman" w:eastAsia="Times New Roman" w:hAnsi="Times New Roman" w:cs="Times New Roman"/>
          <w:lang w:eastAsia="zh-CN"/>
        </w:rPr>
        <w:t>a</w:t>
      </w:r>
      <w:r w:rsidR="002801C2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2C1308">
        <w:rPr>
          <w:rFonts w:ascii="Times New Roman" w:eastAsia="Times New Roman" w:hAnsi="Times New Roman" w:cs="Times New Roman"/>
          <w:lang w:eastAsia="zh-CN"/>
        </w:rPr>
        <w:t>Bankiem Gospodarstwa Krajowego</w:t>
      </w:r>
      <w:r w:rsidR="00AA6879" w:rsidRPr="002C1308">
        <w:rPr>
          <w:rFonts w:ascii="Times New Roman" w:eastAsia="Times New Roman" w:hAnsi="Times New Roman" w:cs="Times New Roman"/>
          <w:lang w:eastAsia="zh-CN"/>
        </w:rPr>
        <w:t>.</w:t>
      </w:r>
    </w:p>
    <w:p w14:paraId="72FE9D68" w14:textId="77777777" w:rsidR="0009318F" w:rsidRDefault="0009318F" w:rsidP="007B424C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7B424C">
        <w:rPr>
          <w:rFonts w:ascii="Times New Roman" w:eastAsia="Times New Roman" w:hAnsi="Times New Roman" w:cs="Times New Roman"/>
          <w:lang w:eastAsia="zh-CN"/>
        </w:rPr>
        <w:t>Spółka</w:t>
      </w:r>
      <w:r w:rsidR="007B424C" w:rsidRPr="007B424C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B424C">
        <w:rPr>
          <w:rFonts w:ascii="Times New Roman" w:eastAsia="Times New Roman" w:hAnsi="Times New Roman" w:cs="Times New Roman"/>
          <w:lang w:eastAsia="zh-CN"/>
        </w:rPr>
        <w:t xml:space="preserve">współpracuje z Miastem, w tym </w:t>
      </w:r>
      <w:r w:rsidR="00AE57BE">
        <w:rPr>
          <w:rFonts w:ascii="Times New Roman" w:eastAsia="Times New Roman" w:hAnsi="Times New Roman" w:cs="Times New Roman"/>
          <w:lang w:eastAsia="zh-CN"/>
        </w:rPr>
        <w:t xml:space="preserve">w szczególności </w:t>
      </w:r>
      <w:r w:rsidRPr="007B424C">
        <w:rPr>
          <w:rFonts w:ascii="Times New Roman" w:eastAsia="Times New Roman" w:hAnsi="Times New Roman" w:cs="Times New Roman"/>
          <w:lang w:eastAsia="zh-CN"/>
        </w:rPr>
        <w:t>z BSL, w zakresi</w:t>
      </w:r>
      <w:r w:rsidR="00953405">
        <w:rPr>
          <w:rFonts w:ascii="Times New Roman" w:eastAsia="Times New Roman" w:hAnsi="Times New Roman" w:cs="Times New Roman"/>
          <w:lang w:eastAsia="zh-CN"/>
        </w:rPr>
        <w:t>e prawidłowej realizacji Zadań</w:t>
      </w:r>
      <w:r w:rsidRPr="007B424C">
        <w:rPr>
          <w:rFonts w:ascii="Times New Roman" w:eastAsia="Times New Roman" w:hAnsi="Times New Roman" w:cs="Times New Roman"/>
          <w:lang w:eastAsia="zh-CN"/>
        </w:rPr>
        <w:t>.</w:t>
      </w:r>
    </w:p>
    <w:p w14:paraId="2CE9A3EE" w14:textId="77777777" w:rsidR="00B07269" w:rsidRPr="0098172D" w:rsidRDefault="00953405" w:rsidP="00E30B3A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Spółka przy wykonywaniu Zadań</w:t>
      </w:r>
      <w:r w:rsidR="00B07269" w:rsidRPr="0098172D">
        <w:rPr>
          <w:rFonts w:ascii="Times New Roman" w:eastAsia="Times New Roman" w:hAnsi="Times New Roman" w:cs="Times New Roman"/>
          <w:lang w:eastAsia="zh-CN"/>
        </w:rPr>
        <w:t xml:space="preserve"> jest zobowiązana dochować należytej staranności.</w:t>
      </w:r>
    </w:p>
    <w:p w14:paraId="1A42B2C3" w14:textId="77777777" w:rsidR="0009318F" w:rsidRPr="00C94CB2" w:rsidRDefault="00C94CB2" w:rsidP="00322FC6">
      <w:pPr>
        <w:pStyle w:val="Akapitzlist"/>
        <w:keepNext/>
        <w:widowControl w:val="0"/>
        <w:numPr>
          <w:ilvl w:val="0"/>
          <w:numId w:val="15"/>
        </w:numPr>
        <w:tabs>
          <w:tab w:val="left" w:pos="426"/>
        </w:tabs>
        <w:suppressAutoHyphens/>
        <w:spacing w:before="360" w:after="0" w:line="36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 w:rsidRPr="00C94CB2">
        <w:rPr>
          <w:rFonts w:ascii="Times New Roman" w:eastAsia="Times New Roman" w:hAnsi="Times New Roman" w:cs="Times New Roman"/>
          <w:b/>
          <w:lang w:eastAsia="zh-CN"/>
        </w:rPr>
        <w:t>REKOMPENSATA Z TYTUŁU ŚWIADCZENIA USŁUG</w:t>
      </w:r>
      <w:r w:rsidR="00C15643">
        <w:rPr>
          <w:rFonts w:ascii="Times New Roman" w:eastAsia="Times New Roman" w:hAnsi="Times New Roman" w:cs="Times New Roman"/>
          <w:b/>
          <w:lang w:eastAsia="zh-CN"/>
        </w:rPr>
        <w:t>I</w:t>
      </w:r>
      <w:r w:rsidRPr="00C94CB2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C94CB2">
        <w:rPr>
          <w:rFonts w:ascii="Times New Roman" w:eastAsia="Times New Roman" w:hAnsi="Times New Roman" w:cs="Times New Roman"/>
          <w:b/>
          <w:color w:val="000000"/>
          <w:lang w:eastAsia="zh-CN"/>
        </w:rPr>
        <w:t>ŚWIADCZONEJ W</w:t>
      </w:r>
      <w:r w:rsidR="00E23BB2">
        <w:rPr>
          <w:rFonts w:ascii="Times New Roman" w:eastAsia="Times New Roman" w:hAnsi="Times New Roman" w:cs="Times New Roman"/>
          <w:b/>
          <w:color w:val="000000"/>
          <w:lang w:eastAsia="zh-CN"/>
        </w:rPr>
        <w:t> </w:t>
      </w:r>
      <w:r w:rsidRPr="00C94CB2">
        <w:rPr>
          <w:rFonts w:ascii="Times New Roman" w:eastAsia="Times New Roman" w:hAnsi="Times New Roman" w:cs="Times New Roman"/>
          <w:b/>
          <w:color w:val="000000"/>
          <w:lang w:eastAsia="zh-CN"/>
        </w:rPr>
        <w:t>OGÓLNYM INTERESIE GOSPODARCZYM</w:t>
      </w:r>
    </w:p>
    <w:p w14:paraId="0BD09964" w14:textId="24F66F1C" w:rsidR="005E654C" w:rsidRDefault="005E654C" w:rsidP="005E654C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318F">
        <w:rPr>
          <w:rFonts w:ascii="Times New Roman" w:eastAsia="Times New Roman" w:hAnsi="Times New Roman" w:cs="Times New Roman"/>
          <w:lang w:eastAsia="zh-CN"/>
        </w:rPr>
        <w:t xml:space="preserve">Do rozliczeń pomiędzy Miastem a Spółką z tytułu realizacji </w:t>
      </w:r>
      <w:r w:rsidR="008810DE">
        <w:rPr>
          <w:rFonts w:ascii="Times New Roman" w:eastAsia="Times New Roman" w:hAnsi="Times New Roman" w:cs="Times New Roman"/>
          <w:lang w:eastAsia="zh-CN"/>
        </w:rPr>
        <w:t xml:space="preserve">każdego </w:t>
      </w:r>
      <w:r>
        <w:rPr>
          <w:rFonts w:ascii="Times New Roman" w:eastAsia="Times New Roman" w:hAnsi="Times New Roman" w:cs="Times New Roman"/>
          <w:lang w:eastAsia="zh-CN"/>
        </w:rPr>
        <w:t>Zadania</w:t>
      </w:r>
      <w:r w:rsidR="008810D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09318F">
        <w:rPr>
          <w:rFonts w:ascii="Times New Roman" w:eastAsia="Times New Roman" w:hAnsi="Times New Roman" w:cs="Times New Roman"/>
          <w:lang w:eastAsia="zh-CN"/>
        </w:rPr>
        <w:t>mają zastosowanie postanowienia</w:t>
      </w:r>
      <w:r w:rsidR="00B91469">
        <w:rPr>
          <w:rFonts w:ascii="Times New Roman" w:eastAsia="Times New Roman" w:hAnsi="Times New Roman" w:cs="Times New Roman"/>
          <w:lang w:eastAsia="zh-CN"/>
        </w:rPr>
        <w:t>:</w:t>
      </w:r>
      <w:r w:rsidRPr="0009318F">
        <w:rPr>
          <w:rFonts w:ascii="Times New Roman" w:eastAsia="Times New Roman" w:hAnsi="Times New Roman" w:cs="Times New Roman"/>
          <w:lang w:eastAsia="zh-CN"/>
        </w:rPr>
        <w:t xml:space="preserve"> Decyzji Komisji</w:t>
      </w:r>
      <w:r w:rsidR="003F0C8E">
        <w:rPr>
          <w:rFonts w:ascii="Times New Roman" w:eastAsia="Times New Roman" w:hAnsi="Times New Roman" w:cs="Times New Roman"/>
          <w:lang w:eastAsia="zh-CN"/>
        </w:rPr>
        <w:t>, powszechnie obowiązujących przepisów prawa</w:t>
      </w:r>
      <w:r w:rsidRPr="0009318F">
        <w:rPr>
          <w:rFonts w:ascii="Times New Roman" w:eastAsia="Times New Roman" w:hAnsi="Times New Roman" w:cs="Times New Roman"/>
          <w:lang w:eastAsia="zh-CN"/>
        </w:rPr>
        <w:t xml:space="preserve"> oraz Zasad.</w:t>
      </w:r>
    </w:p>
    <w:p w14:paraId="5C994DCB" w14:textId="0D5AD995" w:rsidR="00F31417" w:rsidRPr="0013695C" w:rsidRDefault="00F31417" w:rsidP="00F31417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3695C">
        <w:rPr>
          <w:rFonts w:ascii="Times New Roman" w:eastAsia="Times New Roman" w:hAnsi="Times New Roman" w:cs="Times New Roman"/>
          <w:lang w:eastAsia="zh-CN"/>
        </w:rPr>
        <w:lastRenderedPageBreak/>
        <w:t xml:space="preserve">Otrzymane </w:t>
      </w:r>
      <w:r w:rsidR="0013695C">
        <w:rPr>
          <w:rFonts w:ascii="Times New Roman" w:eastAsia="Times New Roman" w:hAnsi="Times New Roman" w:cs="Times New Roman"/>
          <w:lang w:eastAsia="zh-CN"/>
        </w:rPr>
        <w:t>Finan</w:t>
      </w:r>
      <w:r w:rsidR="004F06A2">
        <w:rPr>
          <w:rFonts w:ascii="Times New Roman" w:eastAsia="Times New Roman" w:hAnsi="Times New Roman" w:cs="Times New Roman"/>
          <w:lang w:eastAsia="zh-CN"/>
        </w:rPr>
        <w:t>sowe Wsparcie</w:t>
      </w:r>
      <w:r w:rsidR="005875D8">
        <w:rPr>
          <w:rFonts w:ascii="Times New Roman" w:eastAsia="Times New Roman" w:hAnsi="Times New Roman" w:cs="Times New Roman"/>
          <w:lang w:eastAsia="zh-CN"/>
        </w:rPr>
        <w:t xml:space="preserve"> lub Finansowanie z Funduszu</w:t>
      </w:r>
      <w:r w:rsidR="004F06A2">
        <w:rPr>
          <w:rFonts w:ascii="Times New Roman" w:eastAsia="Times New Roman" w:hAnsi="Times New Roman" w:cs="Times New Roman"/>
          <w:lang w:eastAsia="zh-CN"/>
        </w:rPr>
        <w:t>, a także inne</w:t>
      </w:r>
      <w:r w:rsidR="0013695C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13695C">
        <w:rPr>
          <w:rFonts w:ascii="Times New Roman" w:eastAsia="Times New Roman" w:hAnsi="Times New Roman" w:cs="Times New Roman"/>
          <w:lang w:eastAsia="zh-CN"/>
        </w:rPr>
        <w:t xml:space="preserve">wsparcie </w:t>
      </w:r>
      <w:r w:rsidR="0013695C">
        <w:rPr>
          <w:rFonts w:ascii="Times New Roman" w:eastAsia="Times New Roman" w:hAnsi="Times New Roman" w:cs="Times New Roman"/>
          <w:lang w:eastAsia="zh-CN"/>
        </w:rPr>
        <w:t xml:space="preserve">otrzymane przez Spółkę </w:t>
      </w:r>
      <w:r w:rsidRPr="0013695C">
        <w:rPr>
          <w:rFonts w:ascii="Times New Roman" w:eastAsia="Times New Roman" w:hAnsi="Times New Roman" w:cs="Times New Roman"/>
          <w:lang w:eastAsia="zh-CN"/>
        </w:rPr>
        <w:t>od Miasta i</w:t>
      </w:r>
      <w:r w:rsidR="001A7AA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13695C">
        <w:rPr>
          <w:rFonts w:ascii="Times New Roman" w:eastAsia="Times New Roman" w:hAnsi="Times New Roman" w:cs="Times New Roman"/>
          <w:lang w:eastAsia="zh-CN"/>
        </w:rPr>
        <w:t xml:space="preserve">innych podmiotów publicznych </w:t>
      </w:r>
      <w:r w:rsidR="001A7AAB">
        <w:rPr>
          <w:rFonts w:ascii="Times New Roman" w:eastAsia="Times New Roman" w:hAnsi="Times New Roman" w:cs="Times New Roman"/>
          <w:lang w:eastAsia="zh-CN"/>
        </w:rPr>
        <w:t xml:space="preserve">na </w:t>
      </w:r>
      <w:r w:rsidR="008810DE">
        <w:rPr>
          <w:rFonts w:ascii="Times New Roman" w:eastAsia="Times New Roman" w:hAnsi="Times New Roman" w:cs="Times New Roman"/>
          <w:lang w:eastAsia="zh-CN"/>
        </w:rPr>
        <w:t>realizacj</w:t>
      </w:r>
      <w:r w:rsidR="001A7AAB">
        <w:rPr>
          <w:rFonts w:ascii="Times New Roman" w:eastAsia="Times New Roman" w:hAnsi="Times New Roman" w:cs="Times New Roman"/>
          <w:lang w:eastAsia="zh-CN"/>
        </w:rPr>
        <w:t>ę</w:t>
      </w:r>
      <w:r w:rsidR="008810DE">
        <w:rPr>
          <w:rFonts w:ascii="Times New Roman" w:eastAsia="Times New Roman" w:hAnsi="Times New Roman" w:cs="Times New Roman"/>
          <w:lang w:eastAsia="zh-CN"/>
        </w:rPr>
        <w:t xml:space="preserve"> Zadania </w:t>
      </w:r>
      <w:r w:rsidRPr="0013695C">
        <w:rPr>
          <w:rFonts w:ascii="Times New Roman" w:eastAsia="Times New Roman" w:hAnsi="Times New Roman" w:cs="Times New Roman"/>
          <w:lang w:eastAsia="zh-CN"/>
        </w:rPr>
        <w:t>stanowi rekompensatę z tytułu świadczenia usług publicznych</w:t>
      </w:r>
      <w:r w:rsidR="004F06A2">
        <w:rPr>
          <w:rFonts w:ascii="Times New Roman" w:eastAsia="Times New Roman" w:hAnsi="Times New Roman" w:cs="Times New Roman"/>
          <w:lang w:eastAsia="zh-CN"/>
        </w:rPr>
        <w:t>,</w:t>
      </w:r>
      <w:r w:rsidRPr="0013695C">
        <w:rPr>
          <w:rFonts w:ascii="Times New Roman" w:eastAsia="Times New Roman" w:hAnsi="Times New Roman" w:cs="Times New Roman"/>
          <w:lang w:eastAsia="zh-CN"/>
        </w:rPr>
        <w:t xml:space="preserve"> w</w:t>
      </w:r>
      <w:r w:rsidR="0013695C">
        <w:rPr>
          <w:rFonts w:ascii="Times New Roman" w:eastAsia="Times New Roman" w:hAnsi="Times New Roman" w:cs="Times New Roman"/>
          <w:lang w:eastAsia="zh-CN"/>
        </w:rPr>
        <w:t> </w:t>
      </w:r>
      <w:r w:rsidRPr="0013695C">
        <w:rPr>
          <w:rFonts w:ascii="Times New Roman" w:eastAsia="Times New Roman" w:hAnsi="Times New Roman" w:cs="Times New Roman"/>
          <w:lang w:eastAsia="zh-CN"/>
        </w:rPr>
        <w:t>rozumieniu przepisów prawa Unii Europejskiej, dotyczących pomocy publicznej z tytułu świadczenia usług w ogólnym interesie gospodarczym.</w:t>
      </w:r>
    </w:p>
    <w:p w14:paraId="004A54FE" w14:textId="77777777" w:rsidR="005E5F87" w:rsidRDefault="005E5F87" w:rsidP="005E5F87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318F">
        <w:rPr>
          <w:rFonts w:ascii="Times New Roman" w:eastAsia="Times New Roman" w:hAnsi="Times New Roman" w:cs="Times New Roman"/>
          <w:lang w:eastAsia="zh-CN"/>
        </w:rPr>
        <w:t>Wszystkie koszty realizacji Zadania ponosi Spółka.</w:t>
      </w:r>
    </w:p>
    <w:p w14:paraId="3EAB4B7F" w14:textId="77777777" w:rsidR="005E5F87" w:rsidRPr="00C50723" w:rsidRDefault="005E5F87" w:rsidP="00953405">
      <w:pPr>
        <w:widowControl w:val="0"/>
        <w:numPr>
          <w:ilvl w:val="0"/>
          <w:numId w:val="16"/>
        </w:numPr>
        <w:suppressAutoHyphens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lang w:eastAsia="zh-CN"/>
        </w:rPr>
      </w:pPr>
      <w:r w:rsidRPr="005E5F87">
        <w:rPr>
          <w:rFonts w:ascii="Times New Roman" w:eastAsia="Times New Roman" w:hAnsi="Times New Roman" w:cs="Times New Roman"/>
          <w:lang w:eastAsia="zh-CN"/>
        </w:rPr>
        <w:t xml:space="preserve">Przy kalkulacji rekompensaty nie uwzględnia się zapłaconych przez Spółkę kar z tytułu niewykonania lub nienależytego wykonania </w:t>
      </w:r>
      <w:r>
        <w:rPr>
          <w:rFonts w:ascii="Times New Roman" w:eastAsia="Times New Roman" w:hAnsi="Times New Roman" w:cs="Times New Roman"/>
          <w:lang w:eastAsia="zh-CN"/>
        </w:rPr>
        <w:t>Zadania</w:t>
      </w:r>
      <w:r w:rsidRPr="005E5F87">
        <w:rPr>
          <w:rFonts w:ascii="Times New Roman" w:eastAsia="Times New Roman" w:hAnsi="Times New Roman" w:cs="Times New Roman"/>
          <w:lang w:eastAsia="zh-CN"/>
        </w:rPr>
        <w:t>.</w:t>
      </w:r>
    </w:p>
    <w:p w14:paraId="4C7C1BF5" w14:textId="77777777" w:rsidR="004F06A2" w:rsidRDefault="004F06A2" w:rsidP="005E654C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Przy kalkulacji rekompensaty nie uwzględnia się </w:t>
      </w:r>
      <w:r w:rsidR="00C15643">
        <w:rPr>
          <w:rFonts w:ascii="Times New Roman" w:eastAsia="Times New Roman" w:hAnsi="Times New Roman" w:cs="Times New Roman"/>
          <w:lang w:eastAsia="zh-CN"/>
        </w:rPr>
        <w:t xml:space="preserve">wydatków inwestycyjnych, </w:t>
      </w:r>
      <w:r>
        <w:rPr>
          <w:rFonts w:ascii="Times New Roman" w:eastAsia="Times New Roman" w:hAnsi="Times New Roman" w:cs="Times New Roman"/>
          <w:lang w:eastAsia="zh-CN"/>
        </w:rPr>
        <w:t>przychodów</w:t>
      </w:r>
      <w:r w:rsidR="00191CDB">
        <w:rPr>
          <w:rFonts w:ascii="Times New Roman" w:eastAsia="Times New Roman" w:hAnsi="Times New Roman" w:cs="Times New Roman"/>
          <w:lang w:eastAsia="zh-CN"/>
        </w:rPr>
        <w:t xml:space="preserve"> i</w:t>
      </w:r>
      <w:r>
        <w:rPr>
          <w:rFonts w:ascii="Times New Roman" w:eastAsia="Times New Roman" w:hAnsi="Times New Roman" w:cs="Times New Roman"/>
          <w:lang w:eastAsia="zh-CN"/>
        </w:rPr>
        <w:t xml:space="preserve"> kosztów dotyczących lokali użytkowych realizowanych przez Spółkę</w:t>
      </w:r>
      <w:r w:rsidR="007B30EF">
        <w:rPr>
          <w:rFonts w:ascii="Times New Roman" w:eastAsia="Times New Roman" w:hAnsi="Times New Roman" w:cs="Times New Roman"/>
          <w:lang w:eastAsia="zh-CN"/>
        </w:rPr>
        <w:t xml:space="preserve"> w ramach Zadania. Inwestycje w </w:t>
      </w:r>
      <w:r>
        <w:rPr>
          <w:rFonts w:ascii="Times New Roman" w:eastAsia="Times New Roman" w:hAnsi="Times New Roman" w:cs="Times New Roman"/>
          <w:lang w:eastAsia="zh-CN"/>
        </w:rPr>
        <w:t>zakresie lokali użytk</w:t>
      </w:r>
      <w:r w:rsidR="008810DE">
        <w:rPr>
          <w:rFonts w:ascii="Times New Roman" w:eastAsia="Times New Roman" w:hAnsi="Times New Roman" w:cs="Times New Roman"/>
          <w:lang w:eastAsia="zh-CN"/>
        </w:rPr>
        <w:t>o</w:t>
      </w:r>
      <w:r>
        <w:rPr>
          <w:rFonts w:ascii="Times New Roman" w:eastAsia="Times New Roman" w:hAnsi="Times New Roman" w:cs="Times New Roman"/>
          <w:lang w:eastAsia="zh-CN"/>
        </w:rPr>
        <w:t>w</w:t>
      </w:r>
      <w:r w:rsidR="008810DE">
        <w:rPr>
          <w:rFonts w:ascii="Times New Roman" w:eastAsia="Times New Roman" w:hAnsi="Times New Roman" w:cs="Times New Roman"/>
          <w:lang w:eastAsia="zh-CN"/>
        </w:rPr>
        <w:t>ych oraz koszty ich utrzymania</w:t>
      </w:r>
      <w:r>
        <w:rPr>
          <w:rFonts w:ascii="Times New Roman" w:eastAsia="Times New Roman" w:hAnsi="Times New Roman" w:cs="Times New Roman"/>
          <w:lang w:eastAsia="zh-CN"/>
        </w:rPr>
        <w:t xml:space="preserve"> Spółka finansuje w całości w ramach posiadanych środków własnych.</w:t>
      </w:r>
    </w:p>
    <w:p w14:paraId="50495F8B" w14:textId="77777777" w:rsidR="005E654C" w:rsidRDefault="000F3F4A" w:rsidP="005E654C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Dopuszczalną </w:t>
      </w:r>
      <w:r w:rsidR="005E654C" w:rsidRPr="005E654C">
        <w:rPr>
          <w:rFonts w:ascii="Times New Roman" w:eastAsia="Times New Roman" w:hAnsi="Times New Roman" w:cs="Times New Roman"/>
          <w:lang w:eastAsia="zh-CN"/>
        </w:rPr>
        <w:t xml:space="preserve">kwotę rekompensaty ustala się </w:t>
      </w:r>
      <w:r w:rsidR="005875D8">
        <w:rPr>
          <w:rFonts w:ascii="Times New Roman" w:eastAsia="Times New Roman" w:hAnsi="Times New Roman" w:cs="Times New Roman"/>
          <w:lang w:eastAsia="zh-CN"/>
        </w:rPr>
        <w:t>odrębnie</w:t>
      </w:r>
      <w:r w:rsidR="005E654C" w:rsidRPr="005E654C">
        <w:rPr>
          <w:rFonts w:ascii="Times New Roman" w:eastAsia="Times New Roman" w:hAnsi="Times New Roman" w:cs="Times New Roman"/>
          <w:lang w:eastAsia="zh-CN"/>
        </w:rPr>
        <w:t xml:space="preserve"> dla </w:t>
      </w:r>
      <w:r w:rsidR="005E654C">
        <w:rPr>
          <w:rFonts w:ascii="Times New Roman" w:eastAsia="Times New Roman" w:hAnsi="Times New Roman" w:cs="Times New Roman"/>
          <w:lang w:eastAsia="zh-CN"/>
        </w:rPr>
        <w:t>każdego</w:t>
      </w:r>
      <w:r w:rsidR="005E654C" w:rsidRPr="005E654C">
        <w:rPr>
          <w:rFonts w:ascii="Times New Roman" w:eastAsia="Times New Roman" w:hAnsi="Times New Roman" w:cs="Times New Roman"/>
          <w:lang w:eastAsia="zh-CN"/>
        </w:rPr>
        <w:t xml:space="preserve"> </w:t>
      </w:r>
      <w:r w:rsidR="005E654C">
        <w:rPr>
          <w:rFonts w:ascii="Times New Roman" w:eastAsia="Times New Roman" w:hAnsi="Times New Roman" w:cs="Times New Roman"/>
          <w:lang w:eastAsia="zh-CN"/>
        </w:rPr>
        <w:t>Zada</w:t>
      </w:r>
      <w:r w:rsidR="005E5F87">
        <w:rPr>
          <w:rFonts w:ascii="Times New Roman" w:eastAsia="Times New Roman" w:hAnsi="Times New Roman" w:cs="Times New Roman"/>
          <w:lang w:eastAsia="zh-CN"/>
        </w:rPr>
        <w:t>nia</w:t>
      </w:r>
      <w:r w:rsidR="005E654C" w:rsidRPr="005E654C">
        <w:rPr>
          <w:rFonts w:ascii="Times New Roman" w:eastAsia="Times New Roman" w:hAnsi="Times New Roman" w:cs="Times New Roman"/>
          <w:lang w:eastAsia="zh-CN"/>
        </w:rPr>
        <w:t>.</w:t>
      </w:r>
    </w:p>
    <w:p w14:paraId="29E333A9" w14:textId="3D95E830" w:rsidR="008B4D94" w:rsidRDefault="008B4D94" w:rsidP="008B4D94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Z tytułu realizacji Zadania </w:t>
      </w:r>
      <w:r w:rsidRPr="0013695C">
        <w:rPr>
          <w:rFonts w:ascii="Times New Roman" w:eastAsia="Times New Roman" w:hAnsi="Times New Roman" w:cs="Times New Roman"/>
          <w:lang w:eastAsia="zh-CN"/>
        </w:rPr>
        <w:t xml:space="preserve">Spółka jest uprawniona do uzyskiwania </w:t>
      </w:r>
      <w:r>
        <w:rPr>
          <w:rFonts w:ascii="Times New Roman" w:eastAsia="Times New Roman" w:hAnsi="Times New Roman" w:cs="Times New Roman"/>
          <w:lang w:eastAsia="zh-CN"/>
        </w:rPr>
        <w:t>r</w:t>
      </w:r>
      <w:r w:rsidRPr="0013695C">
        <w:rPr>
          <w:rFonts w:ascii="Times New Roman" w:eastAsia="Times New Roman" w:hAnsi="Times New Roman" w:cs="Times New Roman"/>
          <w:lang w:eastAsia="zh-CN"/>
        </w:rPr>
        <w:t xml:space="preserve">ozsądnego </w:t>
      </w:r>
      <w:r>
        <w:rPr>
          <w:rFonts w:ascii="Times New Roman" w:eastAsia="Times New Roman" w:hAnsi="Times New Roman" w:cs="Times New Roman"/>
          <w:lang w:eastAsia="zh-CN"/>
        </w:rPr>
        <w:t>z</w:t>
      </w:r>
      <w:r w:rsidRPr="0013695C">
        <w:rPr>
          <w:rFonts w:ascii="Times New Roman" w:eastAsia="Times New Roman" w:hAnsi="Times New Roman" w:cs="Times New Roman"/>
          <w:lang w:eastAsia="zh-CN"/>
        </w:rPr>
        <w:t>ysku</w:t>
      </w:r>
      <w:r w:rsidR="007B30EF">
        <w:rPr>
          <w:rFonts w:ascii="Times New Roman" w:eastAsia="Times New Roman" w:hAnsi="Times New Roman" w:cs="Times New Roman"/>
          <w:lang w:eastAsia="zh-CN"/>
        </w:rPr>
        <w:t xml:space="preserve"> z </w:t>
      </w:r>
      <w:r w:rsidR="004F06A2">
        <w:rPr>
          <w:rFonts w:ascii="Times New Roman" w:eastAsia="Times New Roman" w:hAnsi="Times New Roman" w:cs="Times New Roman"/>
          <w:lang w:eastAsia="zh-CN"/>
        </w:rPr>
        <w:t>zastrzeżeniem postanowień ust. 8</w:t>
      </w:r>
      <w:r w:rsidR="00565FA1">
        <w:rPr>
          <w:rFonts w:ascii="Times New Roman" w:eastAsia="Times New Roman" w:hAnsi="Times New Roman" w:cs="Times New Roman"/>
          <w:lang w:eastAsia="zh-CN"/>
        </w:rPr>
        <w:t xml:space="preserve"> </w:t>
      </w:r>
      <w:r w:rsidR="001A7AAB">
        <w:rPr>
          <w:rFonts w:ascii="Times New Roman" w:eastAsia="Times New Roman" w:hAnsi="Times New Roman" w:cs="Times New Roman"/>
          <w:lang w:eastAsia="zh-CN"/>
        </w:rPr>
        <w:t>–</w:t>
      </w:r>
      <w:r w:rsidR="00C15643">
        <w:rPr>
          <w:rFonts w:ascii="Times New Roman" w:eastAsia="Times New Roman" w:hAnsi="Times New Roman" w:cs="Times New Roman"/>
          <w:lang w:eastAsia="zh-CN"/>
        </w:rPr>
        <w:t xml:space="preserve"> </w:t>
      </w:r>
      <w:r w:rsidR="00393DF7">
        <w:rPr>
          <w:rFonts w:ascii="Times New Roman" w:eastAsia="Times New Roman" w:hAnsi="Times New Roman" w:cs="Times New Roman"/>
          <w:lang w:eastAsia="zh-CN"/>
        </w:rPr>
        <w:t>1</w:t>
      </w:r>
      <w:r w:rsidR="00754973">
        <w:rPr>
          <w:rFonts w:ascii="Times New Roman" w:eastAsia="Times New Roman" w:hAnsi="Times New Roman" w:cs="Times New Roman"/>
          <w:lang w:eastAsia="zh-CN"/>
        </w:rPr>
        <w:t>1</w:t>
      </w:r>
      <w:r w:rsidR="004F06A2">
        <w:rPr>
          <w:rFonts w:ascii="Times New Roman" w:eastAsia="Times New Roman" w:hAnsi="Times New Roman" w:cs="Times New Roman"/>
          <w:lang w:eastAsia="zh-CN"/>
        </w:rPr>
        <w:t>.</w:t>
      </w:r>
    </w:p>
    <w:p w14:paraId="0C419DE9" w14:textId="71612547" w:rsidR="000F3F4A" w:rsidRDefault="00806D1F" w:rsidP="00E30B3A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Wartość otrzymanej</w:t>
      </w:r>
      <w:r w:rsidR="000F3F4A" w:rsidRPr="000F3F4A">
        <w:rPr>
          <w:rFonts w:ascii="Times New Roman" w:eastAsia="Times New Roman" w:hAnsi="Times New Roman" w:cs="Times New Roman"/>
          <w:lang w:eastAsia="zh-CN"/>
        </w:rPr>
        <w:t xml:space="preserve"> rekompensaty</w:t>
      </w:r>
      <w:r w:rsidR="004A27DD">
        <w:rPr>
          <w:rFonts w:ascii="Times New Roman" w:eastAsia="Times New Roman" w:hAnsi="Times New Roman" w:cs="Times New Roman"/>
          <w:lang w:eastAsia="zh-CN"/>
        </w:rPr>
        <w:t xml:space="preserve">, </w:t>
      </w:r>
      <w:r w:rsidR="002420BD">
        <w:rPr>
          <w:rFonts w:ascii="Times New Roman" w:eastAsia="Times New Roman" w:hAnsi="Times New Roman" w:cs="Times New Roman"/>
          <w:lang w:eastAsia="zh-CN"/>
        </w:rPr>
        <w:t>wartość kosztów</w:t>
      </w:r>
      <w:r>
        <w:rPr>
          <w:rFonts w:ascii="Times New Roman" w:eastAsia="Times New Roman" w:hAnsi="Times New Roman" w:cs="Times New Roman"/>
          <w:lang w:eastAsia="zh-CN"/>
        </w:rPr>
        <w:t xml:space="preserve"> netto </w:t>
      </w:r>
      <w:r w:rsidR="006A7625">
        <w:rPr>
          <w:rFonts w:ascii="Times New Roman" w:eastAsia="Times New Roman" w:hAnsi="Times New Roman" w:cs="Times New Roman"/>
          <w:lang w:eastAsia="zh-CN"/>
        </w:rPr>
        <w:t>Spółki</w:t>
      </w:r>
      <w:r w:rsidR="002420BD">
        <w:rPr>
          <w:rFonts w:ascii="Times New Roman" w:eastAsia="Times New Roman" w:hAnsi="Times New Roman" w:cs="Times New Roman"/>
          <w:lang w:eastAsia="zh-CN"/>
        </w:rPr>
        <w:t xml:space="preserve"> wynikających</w:t>
      </w:r>
      <w:r>
        <w:rPr>
          <w:rFonts w:ascii="Times New Roman" w:eastAsia="Times New Roman" w:hAnsi="Times New Roman" w:cs="Times New Roman"/>
          <w:lang w:eastAsia="zh-CN"/>
        </w:rPr>
        <w:t xml:space="preserve"> ze świadczenia usługi w</w:t>
      </w:r>
      <w:r w:rsidR="00C15643">
        <w:rPr>
          <w:rFonts w:ascii="Times New Roman" w:eastAsia="Times New Roman" w:hAnsi="Times New Roman" w:cs="Times New Roman"/>
          <w:lang w:eastAsia="zh-CN"/>
        </w:rPr>
        <w:t xml:space="preserve"> ogólnym interesie gospodarczym, </w:t>
      </w:r>
      <w:r>
        <w:rPr>
          <w:rFonts w:ascii="Times New Roman" w:eastAsia="Times New Roman" w:hAnsi="Times New Roman" w:cs="Times New Roman"/>
          <w:lang w:eastAsia="zh-CN"/>
        </w:rPr>
        <w:t>wartość</w:t>
      </w:r>
      <w:r w:rsidR="004A27DD">
        <w:rPr>
          <w:rFonts w:ascii="Times New Roman" w:eastAsia="Times New Roman" w:hAnsi="Times New Roman" w:cs="Times New Roman"/>
          <w:lang w:eastAsia="zh-CN"/>
        </w:rPr>
        <w:t xml:space="preserve"> rozsądnego zysku </w:t>
      </w:r>
      <w:r w:rsidR="00D33AFD">
        <w:rPr>
          <w:rFonts w:ascii="Times New Roman" w:eastAsia="Times New Roman" w:hAnsi="Times New Roman" w:cs="Times New Roman"/>
          <w:lang w:eastAsia="zh-CN"/>
        </w:rPr>
        <w:t xml:space="preserve">oraz zasady zwrotu </w:t>
      </w:r>
      <w:r w:rsidR="00754973">
        <w:rPr>
          <w:rFonts w:ascii="Times New Roman" w:eastAsia="Times New Roman" w:hAnsi="Times New Roman" w:cs="Times New Roman"/>
          <w:lang w:eastAsia="zh-CN"/>
        </w:rPr>
        <w:t xml:space="preserve">przez Spółkę </w:t>
      </w:r>
      <w:r w:rsidR="00D33AFD">
        <w:rPr>
          <w:rFonts w:ascii="Times New Roman" w:eastAsia="Times New Roman" w:hAnsi="Times New Roman" w:cs="Times New Roman"/>
          <w:lang w:eastAsia="zh-CN"/>
        </w:rPr>
        <w:t xml:space="preserve">nadwyżki rekompensaty </w:t>
      </w:r>
      <w:r w:rsidR="000F3F4A" w:rsidRPr="000F3F4A">
        <w:rPr>
          <w:rFonts w:ascii="Times New Roman" w:eastAsia="Times New Roman" w:hAnsi="Times New Roman" w:cs="Times New Roman"/>
          <w:lang w:eastAsia="zh-CN"/>
        </w:rPr>
        <w:t xml:space="preserve">dla Zadania finansowanego przy wykorzystaniu </w:t>
      </w:r>
      <w:r w:rsidR="00373833" w:rsidRPr="000F3F4A">
        <w:rPr>
          <w:rFonts w:ascii="Times New Roman" w:eastAsia="Times New Roman" w:hAnsi="Times New Roman" w:cs="Times New Roman"/>
          <w:lang w:eastAsia="zh-CN"/>
        </w:rPr>
        <w:t>Finansowe</w:t>
      </w:r>
      <w:r w:rsidR="000F3F4A" w:rsidRPr="000F3F4A">
        <w:rPr>
          <w:rFonts w:ascii="Times New Roman" w:eastAsia="Times New Roman" w:hAnsi="Times New Roman" w:cs="Times New Roman"/>
          <w:lang w:eastAsia="zh-CN"/>
        </w:rPr>
        <w:t>go</w:t>
      </w:r>
      <w:r w:rsidR="00373833" w:rsidRPr="000F3F4A">
        <w:rPr>
          <w:rFonts w:ascii="Times New Roman" w:eastAsia="Times New Roman" w:hAnsi="Times New Roman" w:cs="Times New Roman"/>
          <w:lang w:eastAsia="zh-CN"/>
        </w:rPr>
        <w:t xml:space="preserve"> W</w:t>
      </w:r>
      <w:r w:rsidR="000F3F4A" w:rsidRPr="000F3F4A">
        <w:rPr>
          <w:rFonts w:ascii="Times New Roman" w:eastAsia="Times New Roman" w:hAnsi="Times New Roman" w:cs="Times New Roman"/>
          <w:lang w:eastAsia="zh-CN"/>
        </w:rPr>
        <w:t>sparcia</w:t>
      </w:r>
      <w:r w:rsidR="00373833" w:rsidRPr="000F3F4A">
        <w:rPr>
          <w:rFonts w:ascii="Times New Roman" w:eastAsia="Times New Roman" w:hAnsi="Times New Roman" w:cs="Times New Roman"/>
          <w:lang w:eastAsia="zh-CN"/>
        </w:rPr>
        <w:t xml:space="preserve"> </w:t>
      </w:r>
      <w:r w:rsidR="000F3F4A" w:rsidRPr="000F3F4A">
        <w:rPr>
          <w:rFonts w:ascii="Times New Roman" w:eastAsia="Times New Roman" w:hAnsi="Times New Roman" w:cs="Times New Roman"/>
          <w:lang w:eastAsia="zh-CN"/>
        </w:rPr>
        <w:t>ustalan</w:t>
      </w:r>
      <w:r w:rsidR="005875D8">
        <w:rPr>
          <w:rFonts w:ascii="Times New Roman" w:eastAsia="Times New Roman" w:hAnsi="Times New Roman" w:cs="Times New Roman"/>
          <w:lang w:eastAsia="zh-CN"/>
        </w:rPr>
        <w:t>e</w:t>
      </w:r>
      <w:r w:rsidR="000F3F4A" w:rsidRPr="000F3F4A">
        <w:rPr>
          <w:rFonts w:ascii="Times New Roman" w:eastAsia="Times New Roman" w:hAnsi="Times New Roman" w:cs="Times New Roman"/>
          <w:lang w:eastAsia="zh-CN"/>
        </w:rPr>
        <w:t xml:space="preserve"> </w:t>
      </w:r>
      <w:r w:rsidR="005875D8">
        <w:rPr>
          <w:rFonts w:ascii="Times New Roman" w:eastAsia="Times New Roman" w:hAnsi="Times New Roman" w:cs="Times New Roman"/>
          <w:lang w:eastAsia="zh-CN"/>
        </w:rPr>
        <w:t>są</w:t>
      </w:r>
      <w:r w:rsidR="000F3F4A" w:rsidRPr="000F3F4A">
        <w:rPr>
          <w:rFonts w:ascii="Times New Roman" w:eastAsia="Times New Roman" w:hAnsi="Times New Roman" w:cs="Times New Roman"/>
          <w:lang w:eastAsia="zh-CN"/>
        </w:rPr>
        <w:t xml:space="preserve"> </w:t>
      </w:r>
      <w:r w:rsidR="00373833" w:rsidRPr="000F3F4A">
        <w:rPr>
          <w:rFonts w:ascii="Times New Roman" w:eastAsia="Times New Roman" w:hAnsi="Times New Roman" w:cs="Times New Roman"/>
          <w:lang w:eastAsia="zh-CN"/>
        </w:rPr>
        <w:t>zgodnie z</w:t>
      </w:r>
      <w:r w:rsidR="003752C9">
        <w:rPr>
          <w:rFonts w:ascii="Times New Roman" w:eastAsia="Times New Roman" w:hAnsi="Times New Roman" w:cs="Times New Roman"/>
          <w:lang w:eastAsia="zh-CN"/>
        </w:rPr>
        <w:t> </w:t>
      </w:r>
      <w:r w:rsidR="000F3F4A" w:rsidRPr="000F3F4A">
        <w:rPr>
          <w:rFonts w:ascii="Times New Roman" w:eastAsia="Times New Roman" w:hAnsi="Times New Roman" w:cs="Times New Roman"/>
          <w:lang w:eastAsia="zh-CN"/>
        </w:rPr>
        <w:t>postanowieniami Rozporządzenia</w:t>
      </w:r>
      <w:r w:rsidR="00373833" w:rsidRPr="000F3F4A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0F3F4A" w:rsidRPr="000F3F4A">
        <w:rPr>
          <w:rFonts w:ascii="Times New Roman" w:eastAsia="Times New Roman" w:hAnsi="Times New Roman" w:cs="Times New Roman"/>
          <w:lang w:eastAsia="zh-CN"/>
        </w:rPr>
        <w:t>ws</w:t>
      </w:r>
      <w:proofErr w:type="spellEnd"/>
      <w:r w:rsidR="000F3F4A" w:rsidRPr="000F3F4A">
        <w:rPr>
          <w:rFonts w:ascii="Times New Roman" w:eastAsia="Times New Roman" w:hAnsi="Times New Roman" w:cs="Times New Roman"/>
          <w:lang w:eastAsia="zh-CN"/>
        </w:rPr>
        <w:t xml:space="preserve">. </w:t>
      </w:r>
      <w:r w:rsidR="004A27DD">
        <w:rPr>
          <w:rFonts w:ascii="Times New Roman" w:eastAsia="Times New Roman" w:hAnsi="Times New Roman" w:cs="Times New Roman"/>
          <w:lang w:eastAsia="zh-CN"/>
        </w:rPr>
        <w:t xml:space="preserve">Finansowego </w:t>
      </w:r>
      <w:r w:rsidR="000F3F4A" w:rsidRPr="000F3F4A">
        <w:rPr>
          <w:rFonts w:ascii="Times New Roman" w:eastAsia="Times New Roman" w:hAnsi="Times New Roman" w:cs="Times New Roman"/>
          <w:lang w:eastAsia="zh-CN"/>
        </w:rPr>
        <w:t>Wsparcia</w:t>
      </w:r>
      <w:r w:rsidR="004A27DD">
        <w:rPr>
          <w:rFonts w:ascii="Times New Roman" w:eastAsia="Times New Roman" w:hAnsi="Times New Roman" w:cs="Times New Roman"/>
          <w:lang w:eastAsia="zh-CN"/>
        </w:rPr>
        <w:t>.</w:t>
      </w:r>
    </w:p>
    <w:p w14:paraId="4C539A02" w14:textId="77777777" w:rsidR="004A27DD" w:rsidRDefault="00806D1F" w:rsidP="00D33AFD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Wartość otrzymanej </w:t>
      </w:r>
      <w:r w:rsidR="004A27DD" w:rsidRPr="000F3F4A">
        <w:rPr>
          <w:rFonts w:ascii="Times New Roman" w:eastAsia="Times New Roman" w:hAnsi="Times New Roman" w:cs="Times New Roman"/>
          <w:lang w:eastAsia="zh-CN"/>
        </w:rPr>
        <w:t>rekompensaty</w:t>
      </w:r>
      <w:r w:rsidR="004A27DD">
        <w:rPr>
          <w:rFonts w:ascii="Times New Roman" w:eastAsia="Times New Roman" w:hAnsi="Times New Roman" w:cs="Times New Roman"/>
          <w:lang w:eastAsia="zh-CN"/>
        </w:rPr>
        <w:t xml:space="preserve">, </w:t>
      </w:r>
      <w:r w:rsidR="002420BD">
        <w:rPr>
          <w:rFonts w:ascii="Times New Roman" w:eastAsia="Times New Roman" w:hAnsi="Times New Roman" w:cs="Times New Roman"/>
          <w:lang w:eastAsia="zh-CN"/>
        </w:rPr>
        <w:t>wartość kosztów</w:t>
      </w:r>
      <w:r>
        <w:rPr>
          <w:rFonts w:ascii="Times New Roman" w:eastAsia="Times New Roman" w:hAnsi="Times New Roman" w:cs="Times New Roman"/>
          <w:lang w:eastAsia="zh-CN"/>
        </w:rPr>
        <w:t xml:space="preserve"> netto</w:t>
      </w:r>
      <w:r w:rsidR="0073663A">
        <w:rPr>
          <w:rFonts w:ascii="Times New Roman" w:eastAsia="Times New Roman" w:hAnsi="Times New Roman" w:cs="Times New Roman"/>
          <w:lang w:eastAsia="zh-CN"/>
        </w:rPr>
        <w:t xml:space="preserve"> </w:t>
      </w:r>
      <w:r w:rsidR="006A7625">
        <w:rPr>
          <w:rFonts w:ascii="Times New Roman" w:eastAsia="Times New Roman" w:hAnsi="Times New Roman" w:cs="Times New Roman"/>
          <w:lang w:eastAsia="zh-CN"/>
        </w:rPr>
        <w:t>Spółki</w:t>
      </w:r>
      <w:r w:rsidR="0073663A">
        <w:rPr>
          <w:rFonts w:ascii="Times New Roman" w:eastAsia="Times New Roman" w:hAnsi="Times New Roman" w:cs="Times New Roman"/>
          <w:lang w:eastAsia="zh-CN"/>
        </w:rPr>
        <w:t xml:space="preserve"> </w:t>
      </w:r>
      <w:r w:rsidR="002420BD">
        <w:rPr>
          <w:rFonts w:ascii="Times New Roman" w:eastAsia="Times New Roman" w:hAnsi="Times New Roman" w:cs="Times New Roman"/>
          <w:lang w:eastAsia="zh-CN"/>
        </w:rPr>
        <w:t>wynikających</w:t>
      </w:r>
      <w:r w:rsidR="006A72AD">
        <w:rPr>
          <w:rFonts w:ascii="Times New Roman" w:eastAsia="Times New Roman" w:hAnsi="Times New Roman" w:cs="Times New Roman"/>
          <w:lang w:eastAsia="zh-CN"/>
        </w:rPr>
        <w:t xml:space="preserve"> ze świadczenia</w:t>
      </w:r>
      <w:r w:rsidR="0073663A">
        <w:rPr>
          <w:rFonts w:ascii="Times New Roman" w:eastAsia="Times New Roman" w:hAnsi="Times New Roman" w:cs="Times New Roman"/>
          <w:lang w:eastAsia="zh-CN"/>
        </w:rPr>
        <w:t xml:space="preserve"> usługi w ogó</w:t>
      </w:r>
      <w:r w:rsidR="00C15643">
        <w:rPr>
          <w:rFonts w:ascii="Times New Roman" w:eastAsia="Times New Roman" w:hAnsi="Times New Roman" w:cs="Times New Roman"/>
          <w:lang w:eastAsia="zh-CN"/>
        </w:rPr>
        <w:t>lnym interesie gospodarczym,</w:t>
      </w:r>
      <w:r w:rsidR="0073663A">
        <w:rPr>
          <w:rFonts w:ascii="Times New Roman" w:eastAsia="Times New Roman" w:hAnsi="Times New Roman" w:cs="Times New Roman"/>
          <w:lang w:eastAsia="zh-CN"/>
        </w:rPr>
        <w:t xml:space="preserve"> wartość</w:t>
      </w:r>
      <w:r w:rsidR="004A27DD">
        <w:rPr>
          <w:rFonts w:ascii="Times New Roman" w:eastAsia="Times New Roman" w:hAnsi="Times New Roman" w:cs="Times New Roman"/>
          <w:lang w:eastAsia="zh-CN"/>
        </w:rPr>
        <w:t xml:space="preserve"> rozsądnego zysku</w:t>
      </w:r>
      <w:r w:rsidR="00561746">
        <w:rPr>
          <w:rFonts w:ascii="Times New Roman" w:eastAsia="Times New Roman" w:hAnsi="Times New Roman" w:cs="Times New Roman"/>
          <w:lang w:eastAsia="zh-CN"/>
        </w:rPr>
        <w:t xml:space="preserve"> </w:t>
      </w:r>
      <w:r w:rsidR="00D33AFD" w:rsidRPr="00D33AFD">
        <w:rPr>
          <w:rFonts w:ascii="Times New Roman" w:eastAsia="Times New Roman" w:hAnsi="Times New Roman" w:cs="Times New Roman"/>
          <w:lang w:eastAsia="zh-CN"/>
        </w:rPr>
        <w:t xml:space="preserve">oraz zasady zwrotu </w:t>
      </w:r>
      <w:r w:rsidR="00754973">
        <w:rPr>
          <w:rFonts w:ascii="Times New Roman" w:eastAsia="Times New Roman" w:hAnsi="Times New Roman" w:cs="Times New Roman"/>
          <w:lang w:eastAsia="zh-CN"/>
        </w:rPr>
        <w:t xml:space="preserve">przez Spółkę </w:t>
      </w:r>
      <w:r w:rsidR="00D33AFD" w:rsidRPr="00D33AFD">
        <w:rPr>
          <w:rFonts w:ascii="Times New Roman" w:eastAsia="Times New Roman" w:hAnsi="Times New Roman" w:cs="Times New Roman"/>
          <w:lang w:eastAsia="zh-CN"/>
        </w:rPr>
        <w:t xml:space="preserve">nadwyżki rekompensaty </w:t>
      </w:r>
      <w:r w:rsidR="004A27DD" w:rsidRPr="000F3F4A">
        <w:rPr>
          <w:rFonts w:ascii="Times New Roman" w:eastAsia="Times New Roman" w:hAnsi="Times New Roman" w:cs="Times New Roman"/>
          <w:lang w:eastAsia="zh-CN"/>
        </w:rPr>
        <w:t xml:space="preserve">dla Zadania finansowanego przy wykorzystaniu Finansowego Wsparcia </w:t>
      </w:r>
      <w:r w:rsidR="004A27DD">
        <w:rPr>
          <w:rFonts w:ascii="Times New Roman" w:eastAsia="Times New Roman" w:hAnsi="Times New Roman" w:cs="Times New Roman"/>
          <w:lang w:eastAsia="zh-CN"/>
        </w:rPr>
        <w:t xml:space="preserve">oraz Finansowania Zwrotnego </w:t>
      </w:r>
      <w:r w:rsidR="004A27DD" w:rsidRPr="000F3F4A">
        <w:rPr>
          <w:rFonts w:ascii="Times New Roman" w:eastAsia="Times New Roman" w:hAnsi="Times New Roman" w:cs="Times New Roman"/>
          <w:lang w:eastAsia="zh-CN"/>
        </w:rPr>
        <w:t>ustalan</w:t>
      </w:r>
      <w:r w:rsidR="00754973">
        <w:rPr>
          <w:rFonts w:ascii="Times New Roman" w:eastAsia="Times New Roman" w:hAnsi="Times New Roman" w:cs="Times New Roman"/>
          <w:lang w:eastAsia="zh-CN"/>
        </w:rPr>
        <w:t>e są</w:t>
      </w:r>
      <w:r w:rsidR="004A27DD" w:rsidRPr="000F3F4A">
        <w:rPr>
          <w:rFonts w:ascii="Times New Roman" w:eastAsia="Times New Roman" w:hAnsi="Times New Roman" w:cs="Times New Roman"/>
          <w:lang w:eastAsia="zh-CN"/>
        </w:rPr>
        <w:t xml:space="preserve"> zgodnie z postanowieniami Rozporządzenia </w:t>
      </w:r>
      <w:proofErr w:type="spellStart"/>
      <w:r w:rsidR="004A27DD" w:rsidRPr="000F3F4A">
        <w:rPr>
          <w:rFonts w:ascii="Times New Roman" w:eastAsia="Times New Roman" w:hAnsi="Times New Roman" w:cs="Times New Roman"/>
          <w:lang w:eastAsia="zh-CN"/>
        </w:rPr>
        <w:t>ws</w:t>
      </w:r>
      <w:proofErr w:type="spellEnd"/>
      <w:r w:rsidR="004A27DD" w:rsidRPr="000F3F4A">
        <w:rPr>
          <w:rFonts w:ascii="Times New Roman" w:eastAsia="Times New Roman" w:hAnsi="Times New Roman" w:cs="Times New Roman"/>
          <w:lang w:eastAsia="zh-CN"/>
        </w:rPr>
        <w:t xml:space="preserve">. </w:t>
      </w:r>
      <w:r w:rsidR="004A27DD">
        <w:rPr>
          <w:rFonts w:ascii="Times New Roman" w:eastAsia="Times New Roman" w:hAnsi="Times New Roman" w:cs="Times New Roman"/>
          <w:lang w:eastAsia="zh-CN"/>
        </w:rPr>
        <w:t>Finansowania Zwrotnego.</w:t>
      </w:r>
    </w:p>
    <w:p w14:paraId="3E481891" w14:textId="42B44F7B" w:rsidR="00A3271A" w:rsidRDefault="001A7AAB" w:rsidP="00A3271A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O</w:t>
      </w:r>
      <w:r w:rsidR="00355598">
        <w:rPr>
          <w:rFonts w:ascii="Times New Roman" w:eastAsia="Times New Roman" w:hAnsi="Times New Roman" w:cs="Times New Roman"/>
          <w:lang w:eastAsia="zh-CN"/>
        </w:rPr>
        <w:t>trzyman</w:t>
      </w:r>
      <w:r>
        <w:rPr>
          <w:rFonts w:ascii="Times New Roman" w:eastAsia="Times New Roman" w:hAnsi="Times New Roman" w:cs="Times New Roman"/>
          <w:lang w:eastAsia="zh-CN"/>
        </w:rPr>
        <w:t>e</w:t>
      </w:r>
      <w:r w:rsidR="00355598">
        <w:rPr>
          <w:rFonts w:ascii="Times New Roman" w:eastAsia="Times New Roman" w:hAnsi="Times New Roman" w:cs="Times New Roman"/>
          <w:lang w:eastAsia="zh-CN"/>
        </w:rPr>
        <w:t xml:space="preserve"> przez Spółkę</w:t>
      </w:r>
      <w:r w:rsidR="00593C40">
        <w:rPr>
          <w:rFonts w:ascii="Times New Roman" w:eastAsia="Times New Roman" w:hAnsi="Times New Roman" w:cs="Times New Roman"/>
          <w:lang w:eastAsia="zh-CN"/>
        </w:rPr>
        <w:t>,</w:t>
      </w:r>
      <w:r w:rsidR="00355598">
        <w:rPr>
          <w:rFonts w:ascii="Times New Roman" w:eastAsia="Times New Roman" w:hAnsi="Times New Roman" w:cs="Times New Roman"/>
          <w:lang w:eastAsia="zh-CN"/>
        </w:rPr>
        <w:t xml:space="preserve"> </w:t>
      </w:r>
      <w:r w:rsidR="00D8619C">
        <w:rPr>
          <w:rFonts w:ascii="Times New Roman" w:eastAsia="Times New Roman" w:hAnsi="Times New Roman" w:cs="Times New Roman"/>
          <w:lang w:eastAsia="zh-CN"/>
        </w:rPr>
        <w:t>w celu realizacji Zadania</w:t>
      </w:r>
      <w:r w:rsidR="00593C40">
        <w:rPr>
          <w:rFonts w:ascii="Times New Roman" w:eastAsia="Times New Roman" w:hAnsi="Times New Roman" w:cs="Times New Roman"/>
          <w:lang w:eastAsia="zh-CN"/>
        </w:rPr>
        <w:t>,</w:t>
      </w:r>
      <w:r w:rsidR="007C4693" w:rsidRPr="007C4693">
        <w:rPr>
          <w:rFonts w:ascii="Times New Roman" w:eastAsia="Times New Roman" w:hAnsi="Times New Roman" w:cs="Times New Roman"/>
          <w:lang w:eastAsia="zh-CN"/>
        </w:rPr>
        <w:t xml:space="preserve"> </w:t>
      </w:r>
      <w:r w:rsidR="007C4693">
        <w:rPr>
          <w:rFonts w:ascii="Times New Roman" w:eastAsia="Times New Roman" w:hAnsi="Times New Roman" w:cs="Times New Roman"/>
          <w:lang w:eastAsia="zh-CN"/>
        </w:rPr>
        <w:t>bezzwrotne finansowe wsparci</w:t>
      </w:r>
      <w:r>
        <w:rPr>
          <w:rFonts w:ascii="Times New Roman" w:eastAsia="Times New Roman" w:hAnsi="Times New Roman" w:cs="Times New Roman"/>
          <w:lang w:eastAsia="zh-CN"/>
        </w:rPr>
        <w:t>e</w:t>
      </w:r>
      <w:r w:rsidR="00094F11">
        <w:rPr>
          <w:rFonts w:ascii="Times New Roman" w:eastAsia="Times New Roman" w:hAnsi="Times New Roman" w:cs="Times New Roman"/>
          <w:lang w:eastAsia="zh-CN"/>
        </w:rPr>
        <w:t xml:space="preserve"> </w:t>
      </w:r>
      <w:r w:rsidR="007C4693">
        <w:rPr>
          <w:rFonts w:ascii="Times New Roman" w:eastAsia="Times New Roman" w:hAnsi="Times New Roman" w:cs="Times New Roman"/>
          <w:lang w:eastAsia="zh-CN"/>
        </w:rPr>
        <w:t xml:space="preserve">inne niż Finansowe Wsparcie </w:t>
      </w:r>
      <w:r w:rsidR="00094F11">
        <w:rPr>
          <w:rFonts w:ascii="Times New Roman" w:eastAsia="Times New Roman" w:hAnsi="Times New Roman" w:cs="Times New Roman"/>
          <w:lang w:eastAsia="zh-CN"/>
        </w:rPr>
        <w:t xml:space="preserve">stanowi rekompensatę z tytułu świadczenia </w:t>
      </w:r>
      <w:r w:rsidR="00754973">
        <w:rPr>
          <w:rFonts w:ascii="Times New Roman" w:eastAsia="Times New Roman" w:hAnsi="Times New Roman" w:cs="Times New Roman"/>
          <w:lang w:eastAsia="zh-CN"/>
        </w:rPr>
        <w:t xml:space="preserve">przez Spółkę </w:t>
      </w:r>
      <w:r w:rsidR="00094F11">
        <w:rPr>
          <w:rFonts w:ascii="Times New Roman" w:eastAsia="Times New Roman" w:hAnsi="Times New Roman" w:cs="Times New Roman"/>
          <w:lang w:eastAsia="zh-CN"/>
        </w:rPr>
        <w:t>usług publicznych w</w:t>
      </w:r>
      <w:r w:rsidR="00E56534">
        <w:rPr>
          <w:rFonts w:ascii="Times New Roman" w:eastAsia="Times New Roman" w:hAnsi="Times New Roman" w:cs="Times New Roman"/>
          <w:lang w:eastAsia="zh-CN"/>
        </w:rPr>
        <w:t> </w:t>
      </w:r>
      <w:r w:rsidR="00094F11">
        <w:rPr>
          <w:rFonts w:ascii="Times New Roman" w:eastAsia="Times New Roman" w:hAnsi="Times New Roman" w:cs="Times New Roman"/>
          <w:lang w:eastAsia="zh-CN"/>
        </w:rPr>
        <w:t xml:space="preserve">rozumieniu przepisów prawa Unii Europejskiej </w:t>
      </w:r>
      <w:r w:rsidR="007B30EF">
        <w:rPr>
          <w:rFonts w:ascii="Times New Roman" w:eastAsia="Times New Roman" w:hAnsi="Times New Roman" w:cs="Times New Roman"/>
          <w:lang w:eastAsia="zh-CN"/>
        </w:rPr>
        <w:t>dotyczących pomocy publicznej z </w:t>
      </w:r>
      <w:r w:rsidR="00094F11">
        <w:rPr>
          <w:rFonts w:ascii="Times New Roman" w:eastAsia="Times New Roman" w:hAnsi="Times New Roman" w:cs="Times New Roman"/>
          <w:lang w:eastAsia="zh-CN"/>
        </w:rPr>
        <w:t xml:space="preserve">tytułu świadczenia usług w ogólnym </w:t>
      </w:r>
      <w:r w:rsidR="00A3271A">
        <w:rPr>
          <w:rFonts w:ascii="Times New Roman" w:eastAsia="Times New Roman" w:hAnsi="Times New Roman" w:cs="Times New Roman"/>
          <w:lang w:eastAsia="zh-CN"/>
        </w:rPr>
        <w:t>interesie gospodarczym</w:t>
      </w:r>
      <w:r w:rsidR="00480842">
        <w:rPr>
          <w:rFonts w:ascii="Times New Roman" w:eastAsia="Times New Roman" w:hAnsi="Times New Roman" w:cs="Times New Roman"/>
          <w:lang w:eastAsia="zh-CN"/>
        </w:rPr>
        <w:t xml:space="preserve">. </w:t>
      </w:r>
      <w:r w:rsidR="00E56534">
        <w:rPr>
          <w:rFonts w:ascii="Times New Roman" w:eastAsia="Times New Roman" w:hAnsi="Times New Roman" w:cs="Times New Roman"/>
          <w:lang w:eastAsia="zh-CN"/>
        </w:rPr>
        <w:t>Odnosi się to</w:t>
      </w:r>
      <w:r w:rsidR="00480842">
        <w:rPr>
          <w:rFonts w:ascii="Times New Roman" w:eastAsia="Times New Roman" w:hAnsi="Times New Roman" w:cs="Times New Roman"/>
          <w:lang w:eastAsia="zh-CN"/>
        </w:rPr>
        <w:t xml:space="preserve"> w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754973">
        <w:rPr>
          <w:rFonts w:ascii="Times New Roman" w:eastAsia="Times New Roman" w:hAnsi="Times New Roman" w:cs="Times New Roman"/>
          <w:lang w:eastAsia="zh-CN"/>
        </w:rPr>
        <w:t xml:space="preserve">szczególności </w:t>
      </w:r>
      <w:r w:rsidR="00E56534">
        <w:rPr>
          <w:rFonts w:ascii="Times New Roman" w:eastAsia="Times New Roman" w:hAnsi="Times New Roman" w:cs="Times New Roman"/>
          <w:lang w:eastAsia="zh-CN"/>
        </w:rPr>
        <w:t>do</w:t>
      </w:r>
      <w:r w:rsidR="00840B2D">
        <w:rPr>
          <w:rFonts w:ascii="Times New Roman" w:eastAsia="Times New Roman" w:hAnsi="Times New Roman" w:cs="Times New Roman"/>
          <w:lang w:eastAsia="zh-CN"/>
        </w:rPr>
        <w:t> </w:t>
      </w:r>
      <w:r w:rsidR="00754973">
        <w:rPr>
          <w:rFonts w:ascii="Times New Roman" w:eastAsia="Times New Roman" w:hAnsi="Times New Roman" w:cs="Times New Roman"/>
          <w:lang w:eastAsia="zh-CN"/>
        </w:rPr>
        <w:t>Finansowania z F</w:t>
      </w:r>
      <w:r w:rsidR="007B30EF">
        <w:rPr>
          <w:rFonts w:ascii="Times New Roman" w:eastAsia="Times New Roman" w:hAnsi="Times New Roman" w:cs="Times New Roman"/>
          <w:lang w:eastAsia="zh-CN"/>
        </w:rPr>
        <w:t>unduszu</w:t>
      </w:r>
      <w:r w:rsidR="00754973">
        <w:rPr>
          <w:rFonts w:ascii="Times New Roman" w:eastAsia="Times New Roman" w:hAnsi="Times New Roman" w:cs="Times New Roman"/>
          <w:lang w:eastAsia="zh-CN"/>
        </w:rPr>
        <w:t>. W takim przypadku</w:t>
      </w:r>
      <w:r w:rsidR="007B30EF">
        <w:rPr>
          <w:rFonts w:ascii="Times New Roman" w:eastAsia="Times New Roman" w:hAnsi="Times New Roman" w:cs="Times New Roman"/>
          <w:lang w:eastAsia="zh-CN"/>
        </w:rPr>
        <w:t>:</w:t>
      </w:r>
    </w:p>
    <w:p w14:paraId="6EE34458" w14:textId="77777777" w:rsidR="00A3271A" w:rsidRDefault="00393DF7" w:rsidP="00A3271A">
      <w:pPr>
        <w:pStyle w:val="Akapitzlist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wartoś</w:t>
      </w:r>
      <w:r w:rsidR="00754973">
        <w:rPr>
          <w:rFonts w:ascii="Times New Roman" w:eastAsia="Times New Roman" w:hAnsi="Times New Roman" w:cs="Times New Roman"/>
          <w:lang w:eastAsia="zh-CN"/>
        </w:rPr>
        <w:t>ć</w:t>
      </w:r>
      <w:r>
        <w:rPr>
          <w:rFonts w:ascii="Times New Roman" w:eastAsia="Times New Roman" w:hAnsi="Times New Roman" w:cs="Times New Roman"/>
          <w:lang w:eastAsia="zh-CN"/>
        </w:rPr>
        <w:t xml:space="preserve"> otrzymanej przez Spółkę rekompensaty ustalana jest zgodnie z </w:t>
      </w:r>
      <w:r w:rsidR="002420BD">
        <w:rPr>
          <w:rFonts w:ascii="Times New Roman" w:eastAsia="Times New Roman" w:hAnsi="Times New Roman" w:cs="Times New Roman"/>
          <w:lang w:eastAsia="zh-CN"/>
        </w:rPr>
        <w:t>Rozporządzeniem EDB,</w:t>
      </w:r>
    </w:p>
    <w:p w14:paraId="1FC1E3B9" w14:textId="73CC9B2D" w:rsidR="00AE57BE" w:rsidRDefault="002420BD" w:rsidP="00AE57BE">
      <w:pPr>
        <w:pStyle w:val="Akapitzlist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wartość kosztów netto Spółki wynikających ze świadczenia usługi w ogólnym interesie gospodarczym ustalana jest </w:t>
      </w:r>
      <w:r w:rsidR="00E56534">
        <w:rPr>
          <w:rFonts w:ascii="Times New Roman" w:eastAsia="Times New Roman" w:hAnsi="Times New Roman" w:cs="Times New Roman"/>
          <w:lang w:eastAsia="zh-CN"/>
        </w:rPr>
        <w:t>na podstawie Rozporządzenia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ws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. Finansowego Wsparcia,</w:t>
      </w:r>
    </w:p>
    <w:p w14:paraId="6C49FE81" w14:textId="6570FFA6" w:rsidR="002420BD" w:rsidRPr="00AE57BE" w:rsidRDefault="002420BD" w:rsidP="00AE57BE">
      <w:pPr>
        <w:pStyle w:val="Akapitzlist"/>
        <w:widowControl w:val="0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AE57BE">
        <w:rPr>
          <w:rFonts w:ascii="Times New Roman" w:eastAsia="Times New Roman" w:hAnsi="Times New Roman" w:cs="Times New Roman"/>
          <w:lang w:eastAsia="zh-CN"/>
        </w:rPr>
        <w:t>wartość rozsądneg</w:t>
      </w:r>
      <w:r w:rsidR="009C3EAD" w:rsidRPr="00AE57BE">
        <w:rPr>
          <w:rFonts w:ascii="Times New Roman" w:eastAsia="Times New Roman" w:hAnsi="Times New Roman" w:cs="Times New Roman"/>
          <w:lang w:eastAsia="zh-CN"/>
        </w:rPr>
        <w:t xml:space="preserve">o zysku ustalana jest </w:t>
      </w:r>
      <w:r w:rsidR="00E56534">
        <w:rPr>
          <w:rFonts w:ascii="Times New Roman" w:eastAsia="Times New Roman" w:hAnsi="Times New Roman" w:cs="Times New Roman"/>
          <w:lang w:eastAsia="zh-CN"/>
        </w:rPr>
        <w:t>na podstawie</w:t>
      </w:r>
      <w:r w:rsidR="009C3EAD" w:rsidRPr="00AE57BE">
        <w:rPr>
          <w:rFonts w:ascii="Times New Roman" w:eastAsia="Times New Roman" w:hAnsi="Times New Roman" w:cs="Times New Roman"/>
          <w:lang w:eastAsia="zh-CN"/>
        </w:rPr>
        <w:t xml:space="preserve"> Rozporządzeni</w:t>
      </w:r>
      <w:r w:rsidR="00E56534">
        <w:rPr>
          <w:rFonts w:ascii="Times New Roman" w:eastAsia="Times New Roman" w:hAnsi="Times New Roman" w:cs="Times New Roman"/>
          <w:lang w:eastAsia="zh-CN"/>
        </w:rPr>
        <w:t>a</w:t>
      </w:r>
      <w:r w:rsidRPr="00AE57BE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AE57BE">
        <w:rPr>
          <w:rFonts w:ascii="Times New Roman" w:eastAsia="Times New Roman" w:hAnsi="Times New Roman" w:cs="Times New Roman"/>
          <w:lang w:eastAsia="zh-CN"/>
        </w:rPr>
        <w:t>ws</w:t>
      </w:r>
      <w:proofErr w:type="spellEnd"/>
      <w:r w:rsidRPr="00AE57BE">
        <w:rPr>
          <w:rFonts w:ascii="Times New Roman" w:eastAsia="Times New Roman" w:hAnsi="Times New Roman" w:cs="Times New Roman"/>
          <w:lang w:eastAsia="zh-CN"/>
        </w:rPr>
        <w:t>. Finansowego Wsparcia</w:t>
      </w:r>
      <w:r w:rsidR="00D17054" w:rsidRPr="00AE57BE">
        <w:rPr>
          <w:rFonts w:ascii="Times New Roman" w:eastAsia="Times New Roman" w:hAnsi="Times New Roman" w:cs="Times New Roman"/>
          <w:lang w:eastAsia="zh-CN"/>
        </w:rPr>
        <w:t xml:space="preserve">, a w przypadku finansowania </w:t>
      </w:r>
      <w:r w:rsidR="00BC4AEE">
        <w:rPr>
          <w:rFonts w:ascii="Times New Roman" w:eastAsia="Times New Roman" w:hAnsi="Times New Roman" w:cs="Times New Roman"/>
          <w:lang w:eastAsia="zh-CN"/>
        </w:rPr>
        <w:t xml:space="preserve">Zadania </w:t>
      </w:r>
      <w:r w:rsidR="00D17054" w:rsidRPr="00AE57BE">
        <w:rPr>
          <w:rFonts w:ascii="Times New Roman" w:eastAsia="Times New Roman" w:hAnsi="Times New Roman" w:cs="Times New Roman"/>
          <w:lang w:eastAsia="zh-CN"/>
        </w:rPr>
        <w:t xml:space="preserve">przy </w:t>
      </w:r>
      <w:r w:rsidR="007C4693">
        <w:rPr>
          <w:rFonts w:ascii="Times New Roman" w:eastAsia="Times New Roman" w:hAnsi="Times New Roman" w:cs="Times New Roman"/>
          <w:lang w:eastAsia="zh-CN"/>
        </w:rPr>
        <w:t>udziale</w:t>
      </w:r>
      <w:r w:rsidR="007C4693" w:rsidRPr="00AE57BE">
        <w:rPr>
          <w:rFonts w:ascii="Times New Roman" w:eastAsia="Times New Roman" w:hAnsi="Times New Roman" w:cs="Times New Roman"/>
          <w:lang w:eastAsia="zh-CN"/>
        </w:rPr>
        <w:t xml:space="preserve"> </w:t>
      </w:r>
      <w:r w:rsidR="00D17054" w:rsidRPr="00AE57BE">
        <w:rPr>
          <w:rFonts w:ascii="Times New Roman" w:eastAsia="Times New Roman" w:hAnsi="Times New Roman" w:cs="Times New Roman"/>
          <w:lang w:eastAsia="zh-CN"/>
        </w:rPr>
        <w:t>Fi</w:t>
      </w:r>
      <w:r w:rsidR="009C3EAD" w:rsidRPr="00AE57BE">
        <w:rPr>
          <w:rFonts w:ascii="Times New Roman" w:eastAsia="Times New Roman" w:hAnsi="Times New Roman" w:cs="Times New Roman"/>
          <w:lang w:eastAsia="zh-CN"/>
        </w:rPr>
        <w:t xml:space="preserve">nansowania Zwrotnego – </w:t>
      </w:r>
      <w:r w:rsidR="00E56534">
        <w:rPr>
          <w:rFonts w:ascii="Times New Roman" w:eastAsia="Times New Roman" w:hAnsi="Times New Roman" w:cs="Times New Roman"/>
          <w:lang w:eastAsia="zh-CN"/>
        </w:rPr>
        <w:t>na podstawie</w:t>
      </w:r>
      <w:r w:rsidR="009C3EAD" w:rsidRPr="00AE57BE">
        <w:rPr>
          <w:rFonts w:ascii="Times New Roman" w:eastAsia="Times New Roman" w:hAnsi="Times New Roman" w:cs="Times New Roman"/>
          <w:lang w:eastAsia="zh-CN"/>
        </w:rPr>
        <w:t xml:space="preserve"> Rozporządzeni</w:t>
      </w:r>
      <w:r w:rsidR="00E56534">
        <w:rPr>
          <w:rFonts w:ascii="Times New Roman" w:eastAsia="Times New Roman" w:hAnsi="Times New Roman" w:cs="Times New Roman"/>
          <w:lang w:eastAsia="zh-CN"/>
        </w:rPr>
        <w:t>a</w:t>
      </w:r>
      <w:r w:rsidR="00D17054" w:rsidRPr="00AE57BE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="00D17054" w:rsidRPr="00AE57BE">
        <w:rPr>
          <w:rFonts w:ascii="Times New Roman" w:eastAsia="Times New Roman" w:hAnsi="Times New Roman" w:cs="Times New Roman"/>
          <w:lang w:eastAsia="zh-CN"/>
        </w:rPr>
        <w:t>ws</w:t>
      </w:r>
      <w:proofErr w:type="spellEnd"/>
      <w:r w:rsidR="00D17054" w:rsidRPr="00AE57BE">
        <w:rPr>
          <w:rFonts w:ascii="Times New Roman" w:eastAsia="Times New Roman" w:hAnsi="Times New Roman" w:cs="Times New Roman"/>
          <w:lang w:eastAsia="zh-CN"/>
        </w:rPr>
        <w:t>. Finansowania Zwrotnego</w:t>
      </w:r>
      <w:r w:rsidR="007B30EF" w:rsidRPr="00AE57BE">
        <w:rPr>
          <w:rFonts w:ascii="Times New Roman" w:eastAsia="Times New Roman" w:hAnsi="Times New Roman" w:cs="Times New Roman"/>
          <w:lang w:eastAsia="zh-CN"/>
        </w:rPr>
        <w:t>, przy czym w wynikającej ze </w:t>
      </w:r>
      <w:r w:rsidRPr="00AE57BE">
        <w:rPr>
          <w:rFonts w:ascii="Times New Roman" w:eastAsia="Times New Roman" w:hAnsi="Times New Roman" w:cs="Times New Roman"/>
          <w:lang w:eastAsia="zh-CN"/>
        </w:rPr>
        <w:t xml:space="preserve">wzoru na obliczenie rozsądnego zysku pozycji, pt. </w:t>
      </w:r>
      <w:r w:rsidRPr="00AE57BE">
        <w:rPr>
          <w:rFonts w:ascii="Times New Roman" w:eastAsia="Times New Roman" w:hAnsi="Times New Roman" w:cs="Times New Roman"/>
          <w:i/>
          <w:lang w:eastAsia="zh-CN"/>
        </w:rPr>
        <w:t xml:space="preserve">FW – kwota </w:t>
      </w:r>
      <w:r w:rsidR="00263BEC" w:rsidRPr="00AE57BE">
        <w:rPr>
          <w:rFonts w:ascii="Times New Roman" w:eastAsia="Times New Roman" w:hAnsi="Times New Roman" w:cs="Times New Roman"/>
          <w:i/>
          <w:lang w:eastAsia="zh-CN"/>
        </w:rPr>
        <w:t xml:space="preserve">udzielonego </w:t>
      </w:r>
      <w:r w:rsidR="00263BEC" w:rsidRPr="00AE57BE">
        <w:rPr>
          <w:rFonts w:ascii="Times New Roman" w:eastAsia="Times New Roman" w:hAnsi="Times New Roman" w:cs="Times New Roman"/>
          <w:i/>
          <w:lang w:eastAsia="zh-CN"/>
        </w:rPr>
        <w:lastRenderedPageBreak/>
        <w:t>finansowego</w:t>
      </w:r>
      <w:r w:rsidRPr="00AE57BE">
        <w:rPr>
          <w:rFonts w:ascii="Times New Roman" w:eastAsia="Times New Roman" w:hAnsi="Times New Roman" w:cs="Times New Roman"/>
          <w:i/>
          <w:lang w:eastAsia="zh-CN"/>
        </w:rPr>
        <w:t xml:space="preserve"> wsparcia</w:t>
      </w:r>
      <w:r w:rsidRPr="00AE57BE">
        <w:rPr>
          <w:rFonts w:ascii="Times New Roman" w:eastAsia="Times New Roman" w:hAnsi="Times New Roman" w:cs="Times New Roman"/>
          <w:lang w:eastAsia="zh-CN"/>
        </w:rPr>
        <w:t xml:space="preserve"> </w:t>
      </w:r>
      <w:r w:rsidR="007B30EF" w:rsidRPr="00AE57BE">
        <w:rPr>
          <w:rFonts w:ascii="Times New Roman" w:eastAsia="Times New Roman" w:hAnsi="Times New Roman" w:cs="Times New Roman"/>
          <w:lang w:eastAsia="zh-CN"/>
        </w:rPr>
        <w:t>uwzględnia się również kwotę</w:t>
      </w:r>
      <w:r w:rsidR="007C4693">
        <w:rPr>
          <w:rFonts w:ascii="Times New Roman" w:eastAsia="Times New Roman" w:hAnsi="Times New Roman" w:cs="Times New Roman"/>
          <w:lang w:eastAsia="zh-CN"/>
        </w:rPr>
        <w:t xml:space="preserve"> </w:t>
      </w:r>
      <w:r w:rsidR="007C4693" w:rsidRPr="00AE57BE">
        <w:rPr>
          <w:rFonts w:ascii="Times New Roman" w:eastAsia="Times New Roman" w:hAnsi="Times New Roman" w:cs="Times New Roman"/>
          <w:lang w:eastAsia="zh-CN"/>
        </w:rPr>
        <w:t>bezzwrotnego finansowego wsparcia</w:t>
      </w:r>
      <w:r w:rsidR="00263BEC" w:rsidRPr="00AE57BE">
        <w:rPr>
          <w:rFonts w:ascii="Times New Roman" w:eastAsia="Times New Roman" w:hAnsi="Times New Roman" w:cs="Times New Roman"/>
          <w:lang w:eastAsia="zh-CN"/>
        </w:rPr>
        <w:t>,</w:t>
      </w:r>
      <w:r w:rsidR="007C4693" w:rsidRPr="00AE57BE">
        <w:rPr>
          <w:rFonts w:ascii="Times New Roman" w:eastAsia="Times New Roman" w:hAnsi="Times New Roman" w:cs="Times New Roman"/>
          <w:lang w:eastAsia="zh-CN"/>
        </w:rPr>
        <w:t xml:space="preserve"> innego niż Finansowe Wsparcie</w:t>
      </w:r>
      <w:r w:rsidR="007C4693">
        <w:rPr>
          <w:rFonts w:ascii="Times New Roman" w:eastAsia="Times New Roman" w:hAnsi="Times New Roman" w:cs="Times New Roman"/>
          <w:lang w:eastAsia="zh-CN"/>
        </w:rPr>
        <w:t>,</w:t>
      </w:r>
      <w:r w:rsidR="00263BEC" w:rsidRPr="00AE57BE">
        <w:rPr>
          <w:rFonts w:ascii="Times New Roman" w:eastAsia="Times New Roman" w:hAnsi="Times New Roman" w:cs="Times New Roman"/>
          <w:lang w:eastAsia="zh-CN"/>
        </w:rPr>
        <w:t xml:space="preserve"> w tym Finansowania z Funduszu</w:t>
      </w:r>
      <w:r w:rsidR="00FA2B61" w:rsidRPr="00AE57BE">
        <w:rPr>
          <w:rFonts w:ascii="Times New Roman" w:eastAsia="Times New Roman" w:hAnsi="Times New Roman" w:cs="Times New Roman"/>
          <w:lang w:eastAsia="zh-CN"/>
        </w:rPr>
        <w:t>.</w:t>
      </w:r>
    </w:p>
    <w:p w14:paraId="6DB593F2" w14:textId="560E2B03" w:rsidR="002420BD" w:rsidRDefault="002420BD" w:rsidP="002420BD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 przypadku otrzymania przez Spółkę w celu realizacji Zadania</w:t>
      </w:r>
      <w:r w:rsidR="00F67C0B">
        <w:rPr>
          <w:rFonts w:ascii="Times New Roman" w:eastAsia="Times New Roman" w:hAnsi="Times New Roman" w:cs="Times New Roman"/>
          <w:lang w:eastAsia="zh-CN"/>
        </w:rPr>
        <w:t xml:space="preserve"> </w:t>
      </w:r>
      <w:r w:rsidR="00263BEC">
        <w:rPr>
          <w:rFonts w:ascii="Times New Roman" w:eastAsia="Times New Roman" w:hAnsi="Times New Roman" w:cs="Times New Roman"/>
          <w:lang w:eastAsia="zh-CN"/>
        </w:rPr>
        <w:t>finansowania</w:t>
      </w:r>
      <w:r>
        <w:rPr>
          <w:rFonts w:ascii="Times New Roman" w:eastAsia="Times New Roman" w:hAnsi="Times New Roman" w:cs="Times New Roman"/>
          <w:lang w:eastAsia="zh-CN"/>
        </w:rPr>
        <w:t xml:space="preserve"> zwrotnego</w:t>
      </w:r>
      <w:r w:rsidR="00F67C0B">
        <w:rPr>
          <w:rFonts w:ascii="Times New Roman" w:eastAsia="Times New Roman" w:hAnsi="Times New Roman" w:cs="Times New Roman"/>
          <w:lang w:eastAsia="zh-CN"/>
        </w:rPr>
        <w:t>, innego niż Finansowanie Zwrotne,</w:t>
      </w:r>
      <w:r>
        <w:rPr>
          <w:rFonts w:ascii="Times New Roman" w:eastAsia="Times New Roman" w:hAnsi="Times New Roman" w:cs="Times New Roman"/>
          <w:lang w:eastAsia="zh-CN"/>
        </w:rPr>
        <w:t xml:space="preserve"> stanowi</w:t>
      </w:r>
      <w:r w:rsidR="00BC4AEE">
        <w:rPr>
          <w:rFonts w:ascii="Times New Roman" w:eastAsia="Times New Roman" w:hAnsi="Times New Roman" w:cs="Times New Roman"/>
          <w:lang w:eastAsia="zh-CN"/>
        </w:rPr>
        <w:t xml:space="preserve">ącego </w:t>
      </w:r>
      <w:r>
        <w:rPr>
          <w:rFonts w:ascii="Times New Roman" w:eastAsia="Times New Roman" w:hAnsi="Times New Roman" w:cs="Times New Roman"/>
          <w:lang w:eastAsia="zh-CN"/>
        </w:rPr>
        <w:t>rekompensatę z tytułu świadczenia usług publicznych w</w:t>
      </w:r>
      <w:r w:rsidR="007B30EF">
        <w:rPr>
          <w:rFonts w:ascii="Times New Roman" w:eastAsia="Times New Roman" w:hAnsi="Times New Roman" w:cs="Times New Roman"/>
          <w:lang w:eastAsia="zh-CN"/>
        </w:rPr>
        <w:t> </w:t>
      </w:r>
      <w:r>
        <w:rPr>
          <w:rFonts w:ascii="Times New Roman" w:eastAsia="Times New Roman" w:hAnsi="Times New Roman" w:cs="Times New Roman"/>
          <w:lang w:eastAsia="zh-CN"/>
        </w:rPr>
        <w:t xml:space="preserve">rozumieniu przepisów prawa Unii Europejskiej dotyczących pomocy publicznej z tytułu świadczenia usług w ogólnym </w:t>
      </w:r>
      <w:r w:rsidR="00263BEC">
        <w:rPr>
          <w:rFonts w:ascii="Times New Roman" w:eastAsia="Times New Roman" w:hAnsi="Times New Roman" w:cs="Times New Roman"/>
          <w:lang w:eastAsia="zh-CN"/>
        </w:rPr>
        <w:t>interesie gospodarczym</w:t>
      </w:r>
      <w:r w:rsidR="00CA0301">
        <w:rPr>
          <w:rFonts w:ascii="Times New Roman" w:eastAsia="Times New Roman" w:hAnsi="Times New Roman" w:cs="Times New Roman"/>
          <w:lang w:eastAsia="zh-CN"/>
        </w:rPr>
        <w:t>,</w:t>
      </w:r>
      <w:r w:rsidR="00F50FD6">
        <w:rPr>
          <w:rFonts w:ascii="Times New Roman" w:eastAsia="Times New Roman" w:hAnsi="Times New Roman" w:cs="Times New Roman"/>
          <w:lang w:eastAsia="zh-CN"/>
        </w:rPr>
        <w:t xml:space="preserve"> i braku dla tego innego finansowania zwrotnego szczególnych przepisów w zakresie ustalania w</w:t>
      </w:r>
      <w:r w:rsidR="00754973">
        <w:rPr>
          <w:rFonts w:ascii="Times New Roman" w:eastAsia="Times New Roman" w:hAnsi="Times New Roman" w:cs="Times New Roman"/>
          <w:lang w:eastAsia="zh-CN"/>
        </w:rPr>
        <w:t>ysokości</w:t>
      </w:r>
      <w:r w:rsidR="00F50FD6">
        <w:rPr>
          <w:rFonts w:ascii="Times New Roman" w:eastAsia="Times New Roman" w:hAnsi="Times New Roman" w:cs="Times New Roman"/>
          <w:lang w:eastAsia="zh-CN"/>
        </w:rPr>
        <w:t xml:space="preserve"> rekompensaty, </w:t>
      </w:r>
      <w:r w:rsidR="009C3EAD">
        <w:rPr>
          <w:rFonts w:ascii="Times New Roman" w:eastAsia="Times New Roman" w:hAnsi="Times New Roman" w:cs="Times New Roman"/>
          <w:lang w:eastAsia="zh-CN"/>
        </w:rPr>
        <w:t>kosztów netto oraz</w:t>
      </w:r>
      <w:r w:rsidR="00C15643">
        <w:rPr>
          <w:rFonts w:ascii="Times New Roman" w:eastAsia="Times New Roman" w:hAnsi="Times New Roman" w:cs="Times New Roman"/>
          <w:lang w:eastAsia="zh-CN"/>
        </w:rPr>
        <w:t xml:space="preserve"> wartości </w:t>
      </w:r>
      <w:r w:rsidR="00F50FD6">
        <w:rPr>
          <w:rFonts w:ascii="Times New Roman" w:eastAsia="Times New Roman" w:hAnsi="Times New Roman" w:cs="Times New Roman"/>
          <w:lang w:eastAsia="zh-CN"/>
        </w:rPr>
        <w:t>rozsądnego zysku</w:t>
      </w:r>
      <w:r w:rsidR="00263BEC">
        <w:rPr>
          <w:rFonts w:ascii="Times New Roman" w:eastAsia="Times New Roman" w:hAnsi="Times New Roman" w:cs="Times New Roman"/>
          <w:lang w:eastAsia="zh-CN"/>
        </w:rPr>
        <w:t>:</w:t>
      </w:r>
    </w:p>
    <w:p w14:paraId="69F99922" w14:textId="77777777" w:rsidR="002420BD" w:rsidRDefault="002420BD" w:rsidP="00263BEC">
      <w:pPr>
        <w:pStyle w:val="Akapitzlist"/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wartoś</w:t>
      </w:r>
      <w:r w:rsidR="00754973">
        <w:rPr>
          <w:rFonts w:ascii="Times New Roman" w:eastAsia="Times New Roman" w:hAnsi="Times New Roman" w:cs="Times New Roman"/>
          <w:lang w:eastAsia="zh-CN"/>
        </w:rPr>
        <w:t>ć</w:t>
      </w:r>
      <w:r>
        <w:rPr>
          <w:rFonts w:ascii="Times New Roman" w:eastAsia="Times New Roman" w:hAnsi="Times New Roman" w:cs="Times New Roman"/>
          <w:lang w:eastAsia="zh-CN"/>
        </w:rPr>
        <w:t xml:space="preserve"> otrzymanej przez Spółkę rekompensaty ustalana jest zgodnie z Rozporządzeniem EDB,</w:t>
      </w:r>
    </w:p>
    <w:p w14:paraId="27748EAF" w14:textId="26D2A680" w:rsidR="00754973" w:rsidRDefault="002420BD" w:rsidP="00754973">
      <w:pPr>
        <w:pStyle w:val="Akapitzlist"/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wartość kosztów netto Spółki wynikających ze świadczenia usługi w ogólnym interesie gospodarczym ustalana jest </w:t>
      </w:r>
      <w:r w:rsidR="00DB7DF4">
        <w:rPr>
          <w:rFonts w:ascii="Times New Roman" w:eastAsia="Times New Roman" w:hAnsi="Times New Roman" w:cs="Times New Roman"/>
          <w:lang w:eastAsia="zh-CN"/>
        </w:rPr>
        <w:t>na podstawie</w:t>
      </w:r>
      <w:r>
        <w:rPr>
          <w:rFonts w:ascii="Times New Roman" w:eastAsia="Times New Roman" w:hAnsi="Times New Roman" w:cs="Times New Roman"/>
          <w:lang w:eastAsia="zh-CN"/>
        </w:rPr>
        <w:t xml:space="preserve"> Rozporządzeni</w:t>
      </w:r>
      <w:r w:rsidR="00DB7DF4">
        <w:rPr>
          <w:rFonts w:ascii="Times New Roman" w:eastAsia="Times New Roman" w:hAnsi="Times New Roman" w:cs="Times New Roman"/>
          <w:lang w:eastAsia="zh-CN"/>
        </w:rPr>
        <w:t>a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ws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. Finansowego </w:t>
      </w:r>
      <w:r w:rsidR="00263BEC">
        <w:rPr>
          <w:rFonts w:ascii="Times New Roman" w:eastAsia="Times New Roman" w:hAnsi="Times New Roman" w:cs="Times New Roman"/>
          <w:lang w:eastAsia="zh-CN"/>
        </w:rPr>
        <w:t>Zwrotnego</w:t>
      </w:r>
      <w:r>
        <w:rPr>
          <w:rFonts w:ascii="Times New Roman" w:eastAsia="Times New Roman" w:hAnsi="Times New Roman" w:cs="Times New Roman"/>
          <w:lang w:eastAsia="zh-CN"/>
        </w:rPr>
        <w:t>,</w:t>
      </w:r>
      <w:r w:rsidR="00E943EC">
        <w:rPr>
          <w:rFonts w:ascii="Times New Roman" w:eastAsia="Times New Roman" w:hAnsi="Times New Roman" w:cs="Times New Roman"/>
          <w:lang w:eastAsia="zh-CN"/>
        </w:rPr>
        <w:t xml:space="preserve"> z </w:t>
      </w:r>
      <w:r w:rsidR="00263BEC">
        <w:rPr>
          <w:rFonts w:ascii="Times New Roman" w:eastAsia="Times New Roman" w:hAnsi="Times New Roman" w:cs="Times New Roman"/>
          <w:lang w:eastAsia="zh-CN"/>
        </w:rPr>
        <w:t xml:space="preserve">uwzględnieniem również kosztów </w:t>
      </w:r>
      <w:r w:rsidR="00FA2B61">
        <w:rPr>
          <w:rFonts w:ascii="Times New Roman" w:eastAsia="Times New Roman" w:hAnsi="Times New Roman" w:cs="Times New Roman"/>
          <w:lang w:eastAsia="zh-CN"/>
        </w:rPr>
        <w:t>netto dotyczących bezpośrednio</w:t>
      </w:r>
      <w:r w:rsidR="00F67C0B">
        <w:rPr>
          <w:rFonts w:ascii="Times New Roman" w:eastAsia="Times New Roman" w:hAnsi="Times New Roman" w:cs="Times New Roman"/>
          <w:lang w:eastAsia="zh-CN"/>
        </w:rPr>
        <w:t xml:space="preserve">, </w:t>
      </w:r>
      <w:r w:rsidR="00263BEC">
        <w:rPr>
          <w:rFonts w:ascii="Times New Roman" w:eastAsia="Times New Roman" w:hAnsi="Times New Roman" w:cs="Times New Roman"/>
          <w:lang w:eastAsia="zh-CN"/>
        </w:rPr>
        <w:t>finansowania zwrotnego</w:t>
      </w:r>
      <w:r w:rsidR="00F67C0B">
        <w:rPr>
          <w:rFonts w:ascii="Times New Roman" w:eastAsia="Times New Roman" w:hAnsi="Times New Roman" w:cs="Times New Roman"/>
          <w:lang w:eastAsia="zh-CN"/>
        </w:rPr>
        <w:t>,</w:t>
      </w:r>
      <w:r w:rsidR="00F67C0B" w:rsidRPr="00F67C0B">
        <w:rPr>
          <w:rFonts w:ascii="Times New Roman" w:eastAsia="Times New Roman" w:hAnsi="Times New Roman" w:cs="Times New Roman"/>
          <w:lang w:eastAsia="zh-CN"/>
        </w:rPr>
        <w:t xml:space="preserve"> </w:t>
      </w:r>
      <w:r w:rsidR="00F67C0B">
        <w:rPr>
          <w:rFonts w:ascii="Times New Roman" w:eastAsia="Times New Roman" w:hAnsi="Times New Roman" w:cs="Times New Roman"/>
          <w:lang w:eastAsia="zh-CN"/>
        </w:rPr>
        <w:t>innego niż Finansowanie Zwrotne</w:t>
      </w:r>
      <w:r w:rsidR="00263BEC">
        <w:rPr>
          <w:rFonts w:ascii="Times New Roman" w:eastAsia="Times New Roman" w:hAnsi="Times New Roman" w:cs="Times New Roman"/>
          <w:lang w:eastAsia="zh-CN"/>
        </w:rPr>
        <w:t>,</w:t>
      </w:r>
      <w:r w:rsidR="00754973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3D92A78A" w14:textId="7EED95C5" w:rsidR="00561746" w:rsidRPr="00754973" w:rsidRDefault="002420BD" w:rsidP="00754973">
      <w:pPr>
        <w:pStyle w:val="Akapitzlist"/>
        <w:widowControl w:val="0"/>
        <w:numPr>
          <w:ilvl w:val="0"/>
          <w:numId w:val="1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754973">
        <w:rPr>
          <w:rFonts w:ascii="Times New Roman" w:eastAsia="Times New Roman" w:hAnsi="Times New Roman" w:cs="Times New Roman"/>
          <w:lang w:eastAsia="zh-CN"/>
        </w:rPr>
        <w:t>wartość rozsądne</w:t>
      </w:r>
      <w:r w:rsidR="009C3EAD" w:rsidRPr="00754973">
        <w:rPr>
          <w:rFonts w:ascii="Times New Roman" w:eastAsia="Times New Roman" w:hAnsi="Times New Roman" w:cs="Times New Roman"/>
          <w:lang w:eastAsia="zh-CN"/>
        </w:rPr>
        <w:t xml:space="preserve">go zysku ustalana jest </w:t>
      </w:r>
      <w:r w:rsidR="00F5431D">
        <w:rPr>
          <w:rFonts w:ascii="Times New Roman" w:eastAsia="Times New Roman" w:hAnsi="Times New Roman" w:cs="Times New Roman"/>
          <w:lang w:eastAsia="zh-CN"/>
        </w:rPr>
        <w:t>na podstawie</w:t>
      </w:r>
      <w:r w:rsidR="009C3EAD" w:rsidRPr="00754973">
        <w:rPr>
          <w:rFonts w:ascii="Times New Roman" w:eastAsia="Times New Roman" w:hAnsi="Times New Roman" w:cs="Times New Roman"/>
          <w:lang w:eastAsia="zh-CN"/>
        </w:rPr>
        <w:t xml:space="preserve"> o Rozporządzeni</w:t>
      </w:r>
      <w:r w:rsidR="00F5431D">
        <w:rPr>
          <w:rFonts w:ascii="Times New Roman" w:eastAsia="Times New Roman" w:hAnsi="Times New Roman" w:cs="Times New Roman"/>
          <w:lang w:eastAsia="zh-CN"/>
        </w:rPr>
        <w:t>a</w:t>
      </w:r>
      <w:r w:rsidRPr="00754973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754973">
        <w:rPr>
          <w:rFonts w:ascii="Times New Roman" w:eastAsia="Times New Roman" w:hAnsi="Times New Roman" w:cs="Times New Roman"/>
          <w:lang w:eastAsia="zh-CN"/>
        </w:rPr>
        <w:t>ws</w:t>
      </w:r>
      <w:proofErr w:type="spellEnd"/>
      <w:r w:rsidRPr="00754973">
        <w:rPr>
          <w:rFonts w:ascii="Times New Roman" w:eastAsia="Times New Roman" w:hAnsi="Times New Roman" w:cs="Times New Roman"/>
          <w:lang w:eastAsia="zh-CN"/>
        </w:rPr>
        <w:t xml:space="preserve">. </w:t>
      </w:r>
      <w:r w:rsidR="00263BEC" w:rsidRPr="00754973">
        <w:rPr>
          <w:rFonts w:ascii="Times New Roman" w:eastAsia="Times New Roman" w:hAnsi="Times New Roman" w:cs="Times New Roman"/>
          <w:lang w:eastAsia="zh-CN"/>
        </w:rPr>
        <w:t>Finansowego Zwrotnego</w:t>
      </w:r>
      <w:r w:rsidRPr="00754973">
        <w:rPr>
          <w:rFonts w:ascii="Times New Roman" w:eastAsia="Times New Roman" w:hAnsi="Times New Roman" w:cs="Times New Roman"/>
          <w:lang w:eastAsia="zh-CN"/>
        </w:rPr>
        <w:t>, przy czym w wynikającej ze wzoru na obliczeni</w:t>
      </w:r>
      <w:r w:rsidR="00565FA1">
        <w:rPr>
          <w:rFonts w:ascii="Times New Roman" w:eastAsia="Times New Roman" w:hAnsi="Times New Roman" w:cs="Times New Roman"/>
          <w:lang w:eastAsia="zh-CN"/>
        </w:rPr>
        <w:t>e rozsądnego zysku pozycji, pt. </w:t>
      </w:r>
      <w:r w:rsidR="00263BEC" w:rsidRPr="00754973">
        <w:rPr>
          <w:rFonts w:ascii="Times New Roman" w:eastAsia="Times New Roman" w:hAnsi="Times New Roman" w:cs="Times New Roman"/>
          <w:i/>
          <w:lang w:eastAsia="zh-CN"/>
        </w:rPr>
        <w:t>FZ</w:t>
      </w:r>
      <w:r w:rsidRPr="00754973">
        <w:rPr>
          <w:rFonts w:ascii="Times New Roman" w:eastAsia="Times New Roman" w:hAnsi="Times New Roman" w:cs="Times New Roman"/>
          <w:i/>
          <w:lang w:eastAsia="zh-CN"/>
        </w:rPr>
        <w:t xml:space="preserve"> – kwota </w:t>
      </w:r>
      <w:r w:rsidR="00263BEC" w:rsidRPr="00754973">
        <w:rPr>
          <w:rFonts w:ascii="Times New Roman" w:eastAsia="Times New Roman" w:hAnsi="Times New Roman" w:cs="Times New Roman"/>
          <w:i/>
          <w:lang w:eastAsia="zh-CN"/>
        </w:rPr>
        <w:t>udzielonego finansowania zwrotneg</w:t>
      </w:r>
      <w:r w:rsidR="00263BEC" w:rsidRPr="00754973">
        <w:rPr>
          <w:rFonts w:ascii="Times New Roman" w:eastAsia="Times New Roman" w:hAnsi="Times New Roman" w:cs="Times New Roman"/>
          <w:lang w:eastAsia="zh-CN"/>
        </w:rPr>
        <w:t>o</w:t>
      </w:r>
      <w:r w:rsidRPr="00754973">
        <w:rPr>
          <w:rFonts w:ascii="Times New Roman" w:eastAsia="Times New Roman" w:hAnsi="Times New Roman" w:cs="Times New Roman"/>
          <w:lang w:eastAsia="zh-CN"/>
        </w:rPr>
        <w:t xml:space="preserve"> uwzględnia się również kwotę </w:t>
      </w:r>
      <w:r w:rsidR="00263BEC" w:rsidRPr="00754973">
        <w:rPr>
          <w:rFonts w:ascii="Times New Roman" w:eastAsia="Times New Roman" w:hAnsi="Times New Roman" w:cs="Times New Roman"/>
          <w:lang w:eastAsia="zh-CN"/>
        </w:rPr>
        <w:t>finansowania zwrotnego</w:t>
      </w:r>
      <w:r w:rsidR="00F67C0B">
        <w:rPr>
          <w:rFonts w:ascii="Times New Roman" w:eastAsia="Times New Roman" w:hAnsi="Times New Roman" w:cs="Times New Roman"/>
          <w:lang w:eastAsia="zh-CN"/>
        </w:rPr>
        <w:t>,</w:t>
      </w:r>
      <w:r w:rsidR="00F67C0B" w:rsidRPr="00F67C0B">
        <w:rPr>
          <w:rFonts w:ascii="Times New Roman" w:eastAsia="Times New Roman" w:hAnsi="Times New Roman" w:cs="Times New Roman"/>
          <w:lang w:eastAsia="zh-CN"/>
        </w:rPr>
        <w:t xml:space="preserve"> </w:t>
      </w:r>
      <w:r w:rsidR="00F67C0B" w:rsidRPr="00754973">
        <w:rPr>
          <w:rFonts w:ascii="Times New Roman" w:eastAsia="Times New Roman" w:hAnsi="Times New Roman" w:cs="Times New Roman"/>
          <w:lang w:eastAsia="zh-CN"/>
        </w:rPr>
        <w:t>innego niż Finansowanie Zwrotne</w:t>
      </w:r>
      <w:r w:rsidR="00561746" w:rsidRPr="00754973">
        <w:rPr>
          <w:rFonts w:ascii="Times New Roman" w:eastAsia="Times New Roman" w:hAnsi="Times New Roman" w:cs="Times New Roman"/>
          <w:lang w:eastAsia="zh-CN"/>
        </w:rPr>
        <w:t>.</w:t>
      </w:r>
    </w:p>
    <w:p w14:paraId="3E323C6A" w14:textId="3E7A7225" w:rsidR="006A72AD" w:rsidRDefault="0009318F" w:rsidP="00E30B3A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611803">
        <w:rPr>
          <w:rFonts w:ascii="Times New Roman" w:eastAsia="Times New Roman" w:hAnsi="Times New Roman" w:cs="Times New Roman"/>
          <w:lang w:eastAsia="zh-CN"/>
        </w:rPr>
        <w:t>Spółka zobowiązana jest prowadzić odrębną ewidencję księgową kosztów</w:t>
      </w:r>
      <w:r w:rsidR="00C15643">
        <w:rPr>
          <w:rFonts w:ascii="Times New Roman" w:eastAsia="Times New Roman" w:hAnsi="Times New Roman" w:cs="Times New Roman"/>
          <w:lang w:eastAsia="zh-CN"/>
        </w:rPr>
        <w:t xml:space="preserve"> netto</w:t>
      </w:r>
      <w:r w:rsidRPr="00611803">
        <w:rPr>
          <w:rFonts w:ascii="Times New Roman" w:eastAsia="Times New Roman" w:hAnsi="Times New Roman" w:cs="Times New Roman"/>
          <w:lang w:eastAsia="zh-CN"/>
        </w:rPr>
        <w:t xml:space="preserve"> </w:t>
      </w:r>
      <w:r w:rsidR="00F50FD6">
        <w:rPr>
          <w:rFonts w:ascii="Times New Roman" w:eastAsia="Times New Roman" w:hAnsi="Times New Roman" w:cs="Times New Roman"/>
          <w:lang w:eastAsia="zh-CN"/>
        </w:rPr>
        <w:t>oraz przysporzeń ze środków publicznych</w:t>
      </w:r>
      <w:r w:rsidR="00CA0301">
        <w:rPr>
          <w:rFonts w:ascii="Times New Roman" w:eastAsia="Times New Roman" w:hAnsi="Times New Roman" w:cs="Times New Roman"/>
          <w:lang w:eastAsia="zh-CN"/>
        </w:rPr>
        <w:t>,</w:t>
      </w:r>
      <w:r w:rsidR="00F50FD6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611803">
        <w:rPr>
          <w:rFonts w:ascii="Times New Roman" w:eastAsia="Times New Roman" w:hAnsi="Times New Roman" w:cs="Times New Roman"/>
          <w:lang w:eastAsia="zh-CN"/>
        </w:rPr>
        <w:t xml:space="preserve">umożliwiającą identyfikację wszystkich operacji księgowych związanych z realizacją </w:t>
      </w:r>
      <w:r w:rsidR="008810DE">
        <w:rPr>
          <w:rFonts w:ascii="Times New Roman" w:eastAsia="Times New Roman" w:hAnsi="Times New Roman" w:cs="Times New Roman"/>
          <w:lang w:eastAsia="zh-CN"/>
        </w:rPr>
        <w:t xml:space="preserve">każdego </w:t>
      </w:r>
      <w:r w:rsidRPr="00611803">
        <w:rPr>
          <w:rFonts w:ascii="Times New Roman" w:eastAsia="Times New Roman" w:hAnsi="Times New Roman" w:cs="Times New Roman"/>
          <w:lang w:eastAsia="zh-CN"/>
        </w:rPr>
        <w:t>Zadania.</w:t>
      </w:r>
      <w:r w:rsidR="002D19BB" w:rsidRPr="00611803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28447BD6" w14:textId="77CDCFC7" w:rsidR="0009318F" w:rsidRPr="00611803" w:rsidRDefault="006A72AD" w:rsidP="00E30B3A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Wszystkie dokumenty związane z ewidencją księgową każdego Zadania oraz pozostałą dokumentację potwierdzającą zgodność przyznanej rekompe</w:t>
      </w:r>
      <w:r w:rsidR="00DE3A6A">
        <w:rPr>
          <w:rFonts w:ascii="Times New Roman" w:eastAsia="Times New Roman" w:hAnsi="Times New Roman" w:cs="Times New Roman"/>
          <w:lang w:eastAsia="zh-CN"/>
        </w:rPr>
        <w:t>nsaty z warunkami określonymi w </w:t>
      </w:r>
      <w:r>
        <w:rPr>
          <w:rFonts w:ascii="Times New Roman" w:eastAsia="Times New Roman" w:hAnsi="Times New Roman" w:cs="Times New Roman"/>
          <w:lang w:eastAsia="zh-CN"/>
        </w:rPr>
        <w:t xml:space="preserve">Decyzji Komisji </w:t>
      </w:r>
      <w:r w:rsidR="0009318F" w:rsidRPr="00611803">
        <w:rPr>
          <w:rFonts w:ascii="Times New Roman" w:eastAsia="Times New Roman" w:hAnsi="Times New Roman" w:cs="Times New Roman"/>
          <w:lang w:eastAsia="zh-CN"/>
        </w:rPr>
        <w:t>Spółka zobowiązana</w:t>
      </w:r>
      <w:r>
        <w:rPr>
          <w:rFonts w:ascii="Times New Roman" w:eastAsia="Times New Roman" w:hAnsi="Times New Roman" w:cs="Times New Roman"/>
          <w:lang w:eastAsia="zh-CN"/>
        </w:rPr>
        <w:t xml:space="preserve"> jest</w:t>
      </w:r>
      <w:r w:rsidR="0009318F" w:rsidRPr="00611803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przechowywać </w:t>
      </w:r>
      <w:r w:rsidR="00C15643">
        <w:rPr>
          <w:rFonts w:ascii="Times New Roman" w:eastAsia="Times New Roman" w:hAnsi="Times New Roman" w:cs="Times New Roman"/>
          <w:lang w:eastAsia="zh-CN"/>
        </w:rPr>
        <w:t xml:space="preserve">przez Okres </w:t>
      </w:r>
      <w:r w:rsidR="00F327E5">
        <w:rPr>
          <w:rFonts w:ascii="Times New Roman" w:eastAsia="Times New Roman" w:hAnsi="Times New Roman" w:cs="Times New Roman"/>
          <w:lang w:eastAsia="zh-CN"/>
        </w:rPr>
        <w:t>Realizacji</w:t>
      </w:r>
      <w:r w:rsidR="00F4568E">
        <w:rPr>
          <w:rFonts w:ascii="Times New Roman" w:eastAsia="Times New Roman" w:hAnsi="Times New Roman" w:cs="Times New Roman"/>
          <w:lang w:eastAsia="zh-CN"/>
        </w:rPr>
        <w:t xml:space="preserve"> Zadania</w:t>
      </w:r>
      <w:r w:rsidR="00264246">
        <w:rPr>
          <w:rFonts w:ascii="Times New Roman" w:eastAsia="Times New Roman" w:hAnsi="Times New Roman" w:cs="Times New Roman"/>
          <w:lang w:eastAsia="zh-CN"/>
        </w:rPr>
        <w:t xml:space="preserve"> ora</w:t>
      </w:r>
      <w:r w:rsidR="00DE3A6A">
        <w:rPr>
          <w:rFonts w:ascii="Times New Roman" w:eastAsia="Times New Roman" w:hAnsi="Times New Roman" w:cs="Times New Roman"/>
          <w:lang w:eastAsia="zh-CN"/>
        </w:rPr>
        <w:t>z </w:t>
      </w:r>
      <w:r w:rsidR="0009318F" w:rsidRPr="00611803">
        <w:rPr>
          <w:rFonts w:ascii="Times New Roman" w:eastAsia="Times New Roman" w:hAnsi="Times New Roman" w:cs="Times New Roman"/>
          <w:lang w:eastAsia="zh-CN"/>
        </w:rPr>
        <w:t xml:space="preserve">przez okres </w:t>
      </w:r>
      <w:r w:rsidR="00264246">
        <w:rPr>
          <w:rFonts w:ascii="Times New Roman" w:eastAsia="Times New Roman" w:hAnsi="Times New Roman" w:cs="Times New Roman"/>
          <w:lang w:eastAsia="zh-CN"/>
        </w:rPr>
        <w:t xml:space="preserve">co najmniej </w:t>
      </w:r>
      <w:r w:rsidR="002F2434" w:rsidRPr="00611803">
        <w:rPr>
          <w:rFonts w:ascii="Times New Roman" w:eastAsia="Times New Roman" w:hAnsi="Times New Roman" w:cs="Times New Roman"/>
          <w:lang w:eastAsia="zh-CN"/>
        </w:rPr>
        <w:t xml:space="preserve">10 </w:t>
      </w:r>
      <w:r w:rsidR="0009318F" w:rsidRPr="00611803">
        <w:rPr>
          <w:rFonts w:ascii="Times New Roman" w:eastAsia="Times New Roman" w:hAnsi="Times New Roman" w:cs="Times New Roman"/>
          <w:lang w:eastAsia="zh-CN"/>
        </w:rPr>
        <w:t xml:space="preserve">lat od daty zakończenia </w:t>
      </w:r>
      <w:r w:rsidR="00F4568E">
        <w:rPr>
          <w:rFonts w:ascii="Times New Roman" w:eastAsia="Times New Roman" w:hAnsi="Times New Roman" w:cs="Times New Roman"/>
          <w:lang w:eastAsia="zh-CN"/>
        </w:rPr>
        <w:t>tego okresu.</w:t>
      </w:r>
    </w:p>
    <w:p w14:paraId="664F8599" w14:textId="77777777" w:rsidR="0009318F" w:rsidRPr="0009318F" w:rsidRDefault="0009318F" w:rsidP="0013695C">
      <w:pPr>
        <w:widowControl w:val="0"/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318F">
        <w:rPr>
          <w:rFonts w:ascii="Times New Roman" w:eastAsia="Times New Roman" w:hAnsi="Times New Roman" w:cs="Times New Roman"/>
          <w:lang w:eastAsia="zh-CN"/>
        </w:rPr>
        <w:t>Spółka zobowiązana jest do zdefiniowana i pisemnego opisania kluczy podziałowych stosowanych przy podziale kosztów pośrednich na działalność związaną z realizacją</w:t>
      </w:r>
      <w:r w:rsidR="00953405">
        <w:rPr>
          <w:rFonts w:ascii="Times New Roman" w:eastAsia="Times New Roman" w:hAnsi="Times New Roman" w:cs="Times New Roman"/>
          <w:lang w:eastAsia="zh-CN"/>
        </w:rPr>
        <w:t xml:space="preserve"> </w:t>
      </w:r>
      <w:r w:rsidR="00754973">
        <w:rPr>
          <w:rFonts w:ascii="Times New Roman" w:eastAsia="Times New Roman" w:hAnsi="Times New Roman" w:cs="Times New Roman"/>
          <w:lang w:eastAsia="zh-CN"/>
        </w:rPr>
        <w:t>każdego</w:t>
      </w:r>
      <w:r w:rsidRPr="0009318F">
        <w:rPr>
          <w:rFonts w:ascii="Times New Roman" w:eastAsia="Times New Roman" w:hAnsi="Times New Roman" w:cs="Times New Roman"/>
          <w:lang w:eastAsia="zh-CN"/>
        </w:rPr>
        <w:t xml:space="preserve"> Zadania</w:t>
      </w:r>
      <w:r w:rsidR="004F06A2">
        <w:rPr>
          <w:rFonts w:ascii="Times New Roman" w:eastAsia="Times New Roman" w:hAnsi="Times New Roman" w:cs="Times New Roman"/>
          <w:lang w:eastAsia="zh-CN"/>
        </w:rPr>
        <w:t>, lokale użytkowe</w:t>
      </w:r>
      <w:r w:rsidR="00953405">
        <w:rPr>
          <w:rFonts w:ascii="Times New Roman" w:eastAsia="Times New Roman" w:hAnsi="Times New Roman" w:cs="Times New Roman"/>
          <w:lang w:eastAsia="zh-CN"/>
        </w:rPr>
        <w:t xml:space="preserve"> zrealizowane </w:t>
      </w:r>
      <w:r w:rsidR="00754973">
        <w:rPr>
          <w:rFonts w:ascii="Times New Roman" w:eastAsia="Times New Roman" w:hAnsi="Times New Roman" w:cs="Times New Roman"/>
          <w:lang w:eastAsia="zh-CN"/>
        </w:rPr>
        <w:t>w ramach danego Zadania</w:t>
      </w:r>
      <w:r w:rsidRPr="0009318F">
        <w:rPr>
          <w:rFonts w:ascii="Times New Roman" w:eastAsia="Times New Roman" w:hAnsi="Times New Roman" w:cs="Times New Roman"/>
          <w:lang w:eastAsia="zh-CN"/>
        </w:rPr>
        <w:t xml:space="preserve"> oraz inne działalności prowadzone przez Spółkę.</w:t>
      </w:r>
    </w:p>
    <w:p w14:paraId="13C53C04" w14:textId="77777777" w:rsidR="0009318F" w:rsidRPr="0009318F" w:rsidRDefault="0009318F" w:rsidP="00322FC6">
      <w:pPr>
        <w:pStyle w:val="Akapitzlist"/>
        <w:keepNext/>
        <w:widowControl w:val="0"/>
        <w:numPr>
          <w:ilvl w:val="0"/>
          <w:numId w:val="15"/>
        </w:numPr>
        <w:tabs>
          <w:tab w:val="left" w:pos="426"/>
        </w:tabs>
        <w:suppressAutoHyphens/>
        <w:spacing w:before="360" w:after="0" w:line="36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 w:rsidRPr="0009318F">
        <w:rPr>
          <w:rFonts w:ascii="Times New Roman" w:eastAsia="Times New Roman" w:hAnsi="Times New Roman" w:cs="Times New Roman"/>
          <w:b/>
          <w:lang w:eastAsia="zh-CN"/>
        </w:rPr>
        <w:t>KONTROLA I NADZÓR</w:t>
      </w:r>
    </w:p>
    <w:p w14:paraId="109C1B7B" w14:textId="77777777" w:rsidR="007167E9" w:rsidRDefault="007167E9" w:rsidP="007167E9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Miasto </w:t>
      </w:r>
      <w:r w:rsidRPr="007167E9">
        <w:rPr>
          <w:rFonts w:ascii="Times New Roman" w:eastAsia="Times New Roman" w:hAnsi="Times New Roman" w:cs="Times New Roman"/>
          <w:lang w:eastAsia="zh-CN"/>
        </w:rPr>
        <w:t xml:space="preserve">ma prawo w każdym czasie kontrolować </w:t>
      </w:r>
      <w:r>
        <w:rPr>
          <w:rFonts w:ascii="Times New Roman" w:eastAsia="Times New Roman" w:hAnsi="Times New Roman" w:cs="Times New Roman"/>
          <w:lang w:eastAsia="zh-CN"/>
        </w:rPr>
        <w:t>realizację</w:t>
      </w:r>
      <w:r w:rsidRPr="007167E9">
        <w:rPr>
          <w:rFonts w:ascii="Times New Roman" w:eastAsia="Times New Roman" w:hAnsi="Times New Roman" w:cs="Times New Roman"/>
          <w:lang w:eastAsia="zh-CN"/>
        </w:rPr>
        <w:t xml:space="preserve"> </w:t>
      </w:r>
      <w:r w:rsidR="00953405">
        <w:rPr>
          <w:rFonts w:ascii="Times New Roman" w:eastAsia="Times New Roman" w:hAnsi="Times New Roman" w:cs="Times New Roman"/>
          <w:lang w:eastAsia="zh-CN"/>
        </w:rPr>
        <w:t>Zadań</w:t>
      </w:r>
      <w:r w:rsidR="00754973">
        <w:rPr>
          <w:rFonts w:ascii="Times New Roman" w:eastAsia="Times New Roman" w:hAnsi="Times New Roman" w:cs="Times New Roman"/>
          <w:lang w:eastAsia="zh-CN"/>
        </w:rPr>
        <w:t xml:space="preserve"> przez Spółkę</w:t>
      </w:r>
      <w:r w:rsidRPr="007167E9">
        <w:rPr>
          <w:rFonts w:ascii="Times New Roman" w:eastAsia="Times New Roman" w:hAnsi="Times New Roman" w:cs="Times New Roman"/>
          <w:lang w:eastAsia="zh-CN"/>
        </w:rPr>
        <w:t>.</w:t>
      </w:r>
    </w:p>
    <w:p w14:paraId="4FD6EFBC" w14:textId="49D295AA" w:rsidR="0009318F" w:rsidRPr="0009318F" w:rsidRDefault="0009318F" w:rsidP="00D81CC1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318F">
        <w:rPr>
          <w:rFonts w:ascii="Times New Roman" w:eastAsia="Times New Roman" w:hAnsi="Times New Roman" w:cs="Times New Roman"/>
          <w:lang w:eastAsia="zh-CN"/>
        </w:rPr>
        <w:t>W celu umożliwienia Miastu sprawowania nadzoru nad realizacją Zadania Spółka zobowiązana jest do:</w:t>
      </w:r>
    </w:p>
    <w:p w14:paraId="03B7E607" w14:textId="18E27C48" w:rsidR="0009318F" w:rsidRPr="0009318F" w:rsidRDefault="0009318F" w:rsidP="00D81CC1">
      <w:pPr>
        <w:widowControl w:val="0"/>
        <w:numPr>
          <w:ilvl w:val="1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318F">
        <w:rPr>
          <w:rFonts w:ascii="Times New Roman" w:eastAsia="Times New Roman" w:hAnsi="Times New Roman" w:cs="Times New Roman"/>
          <w:lang w:eastAsia="zh-CN"/>
        </w:rPr>
        <w:t>przedstawiania w planie rzeczowo-finansowym Spółki informacji o prognozowanych wydatkach inwestycyjnych, przychodach i kosztach</w:t>
      </w:r>
      <w:r w:rsidR="00953405">
        <w:rPr>
          <w:rFonts w:ascii="Times New Roman" w:eastAsia="Times New Roman" w:hAnsi="Times New Roman" w:cs="Times New Roman"/>
          <w:lang w:eastAsia="zh-CN"/>
        </w:rPr>
        <w:t xml:space="preserve"> każdego</w:t>
      </w:r>
      <w:r w:rsidRPr="0009318F">
        <w:rPr>
          <w:rFonts w:ascii="Times New Roman" w:eastAsia="Times New Roman" w:hAnsi="Times New Roman" w:cs="Times New Roman"/>
          <w:lang w:eastAsia="zh-CN"/>
        </w:rPr>
        <w:t xml:space="preserve"> Zadania</w:t>
      </w:r>
      <w:r w:rsidR="00953405">
        <w:rPr>
          <w:rFonts w:ascii="Times New Roman" w:eastAsia="Times New Roman" w:hAnsi="Times New Roman" w:cs="Times New Roman"/>
          <w:lang w:eastAsia="zh-CN"/>
        </w:rPr>
        <w:t xml:space="preserve"> </w:t>
      </w:r>
      <w:r w:rsidR="00C15643">
        <w:rPr>
          <w:rFonts w:ascii="Times New Roman" w:eastAsia="Times New Roman" w:hAnsi="Times New Roman" w:cs="Times New Roman"/>
          <w:lang w:eastAsia="zh-CN"/>
        </w:rPr>
        <w:t xml:space="preserve">oraz prognozowanych przysporzeniach ze środków publicznych </w:t>
      </w:r>
      <w:r w:rsidR="00953405">
        <w:rPr>
          <w:rFonts w:ascii="Times New Roman" w:eastAsia="Times New Roman" w:hAnsi="Times New Roman" w:cs="Times New Roman"/>
          <w:lang w:eastAsia="zh-CN"/>
        </w:rPr>
        <w:t>odrębnie i razem dla wszystkich Zadań</w:t>
      </w:r>
      <w:r w:rsidRPr="0009318F">
        <w:rPr>
          <w:rFonts w:ascii="Times New Roman" w:eastAsia="Times New Roman" w:hAnsi="Times New Roman" w:cs="Times New Roman"/>
          <w:lang w:eastAsia="zh-CN"/>
        </w:rPr>
        <w:t>,</w:t>
      </w:r>
    </w:p>
    <w:p w14:paraId="41004F25" w14:textId="77777777" w:rsidR="0009318F" w:rsidRPr="0009318F" w:rsidRDefault="0009318F" w:rsidP="00D81CC1">
      <w:pPr>
        <w:widowControl w:val="0"/>
        <w:numPr>
          <w:ilvl w:val="1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318F">
        <w:rPr>
          <w:rFonts w:ascii="Times New Roman" w:eastAsia="Times New Roman" w:hAnsi="Times New Roman" w:cs="Times New Roman"/>
          <w:lang w:eastAsia="zh-CN"/>
        </w:rPr>
        <w:lastRenderedPageBreak/>
        <w:t>przedstawiania BSL</w:t>
      </w:r>
      <w:r w:rsidR="0078639D">
        <w:rPr>
          <w:rFonts w:ascii="Times New Roman" w:eastAsia="Times New Roman" w:hAnsi="Times New Roman" w:cs="Times New Roman"/>
          <w:lang w:eastAsia="zh-CN"/>
        </w:rPr>
        <w:t>, w terminie do dnia 31 marca</w:t>
      </w:r>
      <w:r w:rsidRPr="0009318F">
        <w:rPr>
          <w:rFonts w:ascii="Times New Roman" w:eastAsia="Times New Roman" w:hAnsi="Times New Roman" w:cs="Times New Roman"/>
          <w:lang w:eastAsia="zh-CN"/>
        </w:rPr>
        <w:t xml:space="preserve"> każdego roku, Raportu Rocznego</w:t>
      </w:r>
      <w:r w:rsidR="00D67F8B">
        <w:rPr>
          <w:rFonts w:ascii="Times New Roman" w:eastAsia="Times New Roman" w:hAnsi="Times New Roman" w:cs="Times New Roman"/>
          <w:lang w:eastAsia="zh-CN"/>
        </w:rPr>
        <w:t xml:space="preserve"> </w:t>
      </w:r>
      <w:r w:rsidR="00DE3A6A">
        <w:rPr>
          <w:rFonts w:ascii="Times New Roman" w:eastAsia="Times New Roman" w:hAnsi="Times New Roman" w:cs="Times New Roman"/>
          <w:lang w:eastAsia="zh-CN"/>
        </w:rPr>
        <w:t>dla </w:t>
      </w:r>
      <w:r w:rsidR="00D67F8B">
        <w:rPr>
          <w:rFonts w:ascii="Times New Roman" w:eastAsia="Times New Roman" w:hAnsi="Times New Roman" w:cs="Times New Roman"/>
          <w:lang w:eastAsia="zh-CN"/>
        </w:rPr>
        <w:t>każdego Zadania</w:t>
      </w:r>
      <w:r w:rsidR="00C15643">
        <w:rPr>
          <w:rFonts w:ascii="Times New Roman" w:eastAsia="Times New Roman" w:hAnsi="Times New Roman" w:cs="Times New Roman"/>
          <w:lang w:eastAsia="zh-CN"/>
        </w:rPr>
        <w:t xml:space="preserve"> osobno</w:t>
      </w:r>
      <w:r w:rsidR="00D971A1">
        <w:rPr>
          <w:rFonts w:ascii="Times New Roman" w:eastAsia="Times New Roman" w:hAnsi="Times New Roman" w:cs="Times New Roman"/>
          <w:lang w:eastAsia="zh-CN"/>
        </w:rPr>
        <w:t>,</w:t>
      </w:r>
      <w:r w:rsidR="00953405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43E9058C" w14:textId="69D05FDB" w:rsidR="0009318F" w:rsidRPr="0009318F" w:rsidRDefault="0009318F" w:rsidP="00D81CC1">
      <w:pPr>
        <w:widowControl w:val="0"/>
        <w:numPr>
          <w:ilvl w:val="1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318F">
        <w:rPr>
          <w:rFonts w:ascii="Times New Roman" w:eastAsia="Times New Roman" w:hAnsi="Times New Roman" w:cs="Times New Roman"/>
          <w:lang w:eastAsia="zh-CN"/>
        </w:rPr>
        <w:t>okazywania na wniosek BSL dokumentów niezbędnych do przeprowadzenia czynności nadzorczych lub kontrolnych,</w:t>
      </w:r>
    </w:p>
    <w:p w14:paraId="5D86B428" w14:textId="6FDAE1D6" w:rsidR="0009318F" w:rsidRPr="0009318F" w:rsidRDefault="0009318F" w:rsidP="00D81CC1">
      <w:pPr>
        <w:widowControl w:val="0"/>
        <w:numPr>
          <w:ilvl w:val="1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318F">
        <w:rPr>
          <w:rFonts w:ascii="Times New Roman" w:eastAsia="Times New Roman" w:hAnsi="Times New Roman" w:cs="Times New Roman"/>
          <w:lang w:eastAsia="zh-CN"/>
        </w:rPr>
        <w:t>sporządzania na wniosek BSL informacji, wyjaśnień, sprawozdań, projektów oraz prezentacji,</w:t>
      </w:r>
    </w:p>
    <w:p w14:paraId="13BA5CBE" w14:textId="77777777" w:rsidR="0009318F" w:rsidRPr="003752C9" w:rsidRDefault="0009318F" w:rsidP="00E30B3A">
      <w:pPr>
        <w:widowControl w:val="0"/>
        <w:numPr>
          <w:ilvl w:val="1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752C9">
        <w:rPr>
          <w:rFonts w:ascii="Times New Roman" w:eastAsia="Times New Roman" w:hAnsi="Times New Roman" w:cs="Times New Roman"/>
          <w:lang w:eastAsia="zh-CN"/>
        </w:rPr>
        <w:t>wykonywania zaleceń B</w:t>
      </w:r>
      <w:r w:rsidR="00953405">
        <w:rPr>
          <w:rFonts w:ascii="Times New Roman" w:eastAsia="Times New Roman" w:hAnsi="Times New Roman" w:cs="Times New Roman"/>
          <w:lang w:eastAsia="zh-CN"/>
        </w:rPr>
        <w:t>SL w zakresie realizacji Zadań</w:t>
      </w:r>
      <w:r w:rsidRPr="003752C9">
        <w:rPr>
          <w:rFonts w:ascii="Times New Roman" w:eastAsia="Times New Roman" w:hAnsi="Times New Roman" w:cs="Times New Roman"/>
          <w:lang w:eastAsia="zh-CN"/>
        </w:rPr>
        <w:t>, w</w:t>
      </w:r>
      <w:r w:rsidR="003752C9" w:rsidRPr="003752C9">
        <w:rPr>
          <w:rFonts w:ascii="Times New Roman" w:eastAsia="Times New Roman" w:hAnsi="Times New Roman" w:cs="Times New Roman"/>
          <w:lang w:eastAsia="zh-CN"/>
        </w:rPr>
        <w:t>e wskazanych</w:t>
      </w:r>
      <w:r w:rsidRPr="003752C9">
        <w:rPr>
          <w:rFonts w:ascii="Times New Roman" w:eastAsia="Times New Roman" w:hAnsi="Times New Roman" w:cs="Times New Roman"/>
          <w:lang w:eastAsia="zh-CN"/>
        </w:rPr>
        <w:t xml:space="preserve"> terminach, </w:t>
      </w:r>
      <w:r w:rsidR="003752C9" w:rsidRPr="003752C9">
        <w:rPr>
          <w:rFonts w:ascii="Times New Roman" w:eastAsia="Times New Roman" w:hAnsi="Times New Roman" w:cs="Times New Roman"/>
          <w:lang w:eastAsia="zh-CN"/>
        </w:rPr>
        <w:t xml:space="preserve">w tym wdrażania zaleceń wynikających z </w:t>
      </w:r>
      <w:r w:rsidRPr="003752C9">
        <w:rPr>
          <w:rFonts w:ascii="Times New Roman" w:eastAsia="Times New Roman" w:hAnsi="Times New Roman" w:cs="Times New Roman"/>
          <w:lang w:eastAsia="zh-CN"/>
        </w:rPr>
        <w:t>przeprowadzonej kontroli</w:t>
      </w:r>
      <w:r w:rsidR="003752C9">
        <w:rPr>
          <w:rFonts w:ascii="Times New Roman" w:eastAsia="Times New Roman" w:hAnsi="Times New Roman" w:cs="Times New Roman"/>
          <w:lang w:eastAsia="zh-CN"/>
        </w:rPr>
        <w:t>.</w:t>
      </w:r>
    </w:p>
    <w:p w14:paraId="6F84A250" w14:textId="6BC25F94" w:rsidR="00233909" w:rsidRDefault="0009318F" w:rsidP="00C0534A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318F">
        <w:rPr>
          <w:rFonts w:ascii="Times New Roman" w:eastAsia="Times New Roman" w:hAnsi="Times New Roman" w:cs="Times New Roman"/>
          <w:lang w:eastAsia="zh-CN"/>
        </w:rPr>
        <w:t xml:space="preserve">W każdym </w:t>
      </w:r>
      <w:r w:rsidRPr="00D67F8B">
        <w:rPr>
          <w:rFonts w:ascii="Times New Roman" w:eastAsia="Times New Roman" w:hAnsi="Times New Roman" w:cs="Times New Roman"/>
          <w:lang w:eastAsia="zh-CN"/>
        </w:rPr>
        <w:t xml:space="preserve">czasie </w:t>
      </w:r>
      <w:r w:rsidR="00D46870" w:rsidRPr="00D67F8B">
        <w:rPr>
          <w:rFonts w:ascii="Times New Roman" w:eastAsia="Times New Roman" w:hAnsi="Times New Roman" w:cs="Times New Roman"/>
          <w:lang w:eastAsia="zh-CN"/>
        </w:rPr>
        <w:t xml:space="preserve">Okresu </w:t>
      </w:r>
      <w:r w:rsidR="004236C7" w:rsidRPr="00D67F8B">
        <w:rPr>
          <w:rFonts w:ascii="Times New Roman" w:eastAsia="Times New Roman" w:hAnsi="Times New Roman" w:cs="Times New Roman"/>
          <w:lang w:eastAsia="zh-CN"/>
        </w:rPr>
        <w:t>Realizacji</w:t>
      </w:r>
      <w:r w:rsidR="00733A5A">
        <w:rPr>
          <w:rFonts w:ascii="Times New Roman" w:eastAsia="Times New Roman" w:hAnsi="Times New Roman" w:cs="Times New Roman"/>
          <w:lang w:eastAsia="zh-CN"/>
        </w:rPr>
        <w:t xml:space="preserve"> Zadania</w:t>
      </w:r>
      <w:r w:rsidR="00D46870" w:rsidRPr="00D67F8B">
        <w:rPr>
          <w:rFonts w:ascii="Times New Roman" w:eastAsia="Times New Roman" w:hAnsi="Times New Roman" w:cs="Times New Roman"/>
          <w:lang w:eastAsia="zh-CN"/>
        </w:rPr>
        <w:t xml:space="preserve"> </w:t>
      </w:r>
      <w:r w:rsidR="00733A5A">
        <w:rPr>
          <w:rFonts w:ascii="Times New Roman" w:eastAsia="Times New Roman" w:hAnsi="Times New Roman" w:cs="Times New Roman"/>
          <w:lang w:eastAsia="zh-CN"/>
        </w:rPr>
        <w:t>oraz w roku obrotow</w:t>
      </w:r>
      <w:r w:rsidR="007C56FF">
        <w:rPr>
          <w:rFonts w:ascii="Times New Roman" w:eastAsia="Times New Roman" w:hAnsi="Times New Roman" w:cs="Times New Roman"/>
          <w:lang w:eastAsia="zh-CN"/>
        </w:rPr>
        <w:t>ym następującym</w:t>
      </w:r>
      <w:r w:rsidR="00E943EC">
        <w:rPr>
          <w:rFonts w:ascii="Times New Roman" w:eastAsia="Times New Roman" w:hAnsi="Times New Roman" w:cs="Times New Roman"/>
          <w:lang w:eastAsia="zh-CN"/>
        </w:rPr>
        <w:t xml:space="preserve"> po </w:t>
      </w:r>
      <w:r w:rsidR="00733A5A">
        <w:rPr>
          <w:rFonts w:ascii="Times New Roman" w:eastAsia="Times New Roman" w:hAnsi="Times New Roman" w:cs="Times New Roman"/>
          <w:lang w:eastAsia="zh-CN"/>
        </w:rPr>
        <w:t>zakończeniu</w:t>
      </w:r>
      <w:r w:rsidR="007C56FF">
        <w:rPr>
          <w:rFonts w:ascii="Times New Roman" w:eastAsia="Times New Roman" w:hAnsi="Times New Roman" w:cs="Times New Roman"/>
          <w:lang w:eastAsia="zh-CN"/>
        </w:rPr>
        <w:t xml:space="preserve"> </w:t>
      </w:r>
      <w:r w:rsidR="00CA0301">
        <w:rPr>
          <w:rFonts w:ascii="Times New Roman" w:eastAsia="Times New Roman" w:hAnsi="Times New Roman" w:cs="Times New Roman"/>
          <w:lang w:eastAsia="zh-CN"/>
        </w:rPr>
        <w:t>Okresu Realizacji</w:t>
      </w:r>
      <w:r w:rsidR="00C0534A">
        <w:rPr>
          <w:rFonts w:ascii="Times New Roman" w:eastAsia="Times New Roman" w:hAnsi="Times New Roman" w:cs="Times New Roman"/>
          <w:lang w:eastAsia="zh-CN"/>
        </w:rPr>
        <w:t xml:space="preserve"> Zadania</w:t>
      </w:r>
      <w:r w:rsidR="00F67C0B">
        <w:rPr>
          <w:rFonts w:ascii="Times New Roman" w:eastAsia="Times New Roman" w:hAnsi="Times New Roman" w:cs="Times New Roman"/>
          <w:lang w:eastAsia="zh-CN"/>
        </w:rPr>
        <w:t xml:space="preserve"> </w:t>
      </w:r>
      <w:r w:rsidR="00733A5A">
        <w:rPr>
          <w:rFonts w:ascii="Times New Roman" w:eastAsia="Times New Roman" w:hAnsi="Times New Roman" w:cs="Times New Roman"/>
          <w:lang w:eastAsia="zh-CN"/>
        </w:rPr>
        <w:t xml:space="preserve">BSL </w:t>
      </w:r>
      <w:r w:rsidRPr="0009318F">
        <w:rPr>
          <w:rFonts w:ascii="Times New Roman" w:eastAsia="Times New Roman" w:hAnsi="Times New Roman" w:cs="Times New Roman"/>
          <w:lang w:eastAsia="zh-CN"/>
        </w:rPr>
        <w:t xml:space="preserve">jest uprawnione do przeprowadzania na własny koszt audytu </w:t>
      </w:r>
      <w:r w:rsidR="00920DC5">
        <w:rPr>
          <w:rFonts w:ascii="Times New Roman" w:eastAsia="Times New Roman" w:hAnsi="Times New Roman" w:cs="Times New Roman"/>
          <w:lang w:eastAsia="zh-CN"/>
        </w:rPr>
        <w:t xml:space="preserve">rekompensaty otrzymanej przez Spółkę w związku z realizacją </w:t>
      </w:r>
      <w:r w:rsidR="00953405">
        <w:rPr>
          <w:rFonts w:ascii="Times New Roman" w:eastAsia="Times New Roman" w:hAnsi="Times New Roman" w:cs="Times New Roman"/>
          <w:lang w:eastAsia="zh-CN"/>
        </w:rPr>
        <w:t>Zadań</w:t>
      </w:r>
      <w:r w:rsidRPr="0009318F">
        <w:rPr>
          <w:rFonts w:ascii="Times New Roman" w:eastAsia="Times New Roman" w:hAnsi="Times New Roman" w:cs="Times New Roman"/>
          <w:lang w:eastAsia="zh-CN"/>
        </w:rPr>
        <w:t>, zarówno bezpośrednio, jak i</w:t>
      </w:r>
      <w:r w:rsidR="00C0534A">
        <w:rPr>
          <w:rFonts w:ascii="Times New Roman" w:eastAsia="Times New Roman" w:hAnsi="Times New Roman" w:cs="Times New Roman"/>
          <w:lang w:eastAsia="zh-CN"/>
        </w:rPr>
        <w:t> </w:t>
      </w:r>
      <w:r w:rsidRPr="0009318F">
        <w:rPr>
          <w:rFonts w:ascii="Times New Roman" w:eastAsia="Times New Roman" w:hAnsi="Times New Roman" w:cs="Times New Roman"/>
          <w:lang w:eastAsia="zh-CN"/>
        </w:rPr>
        <w:t xml:space="preserve">poprzez wybrane przez siebie podmioty zewnętrzne. </w:t>
      </w:r>
    </w:p>
    <w:p w14:paraId="4E53C73B" w14:textId="5C0E8832" w:rsidR="00233909" w:rsidRDefault="00D46870" w:rsidP="00C0534A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C2942">
        <w:rPr>
          <w:rFonts w:ascii="Times New Roman" w:eastAsia="Times New Roman" w:hAnsi="Times New Roman" w:cs="Times New Roman"/>
          <w:lang w:eastAsia="zh-CN"/>
        </w:rPr>
        <w:t>Audyt rekompensaty</w:t>
      </w:r>
      <w:r w:rsidR="008810DE" w:rsidRPr="009C2942">
        <w:rPr>
          <w:rFonts w:ascii="Times New Roman" w:eastAsia="Times New Roman" w:hAnsi="Times New Roman" w:cs="Times New Roman"/>
          <w:lang w:eastAsia="zh-CN"/>
        </w:rPr>
        <w:t xml:space="preserve"> dla każdego Zadania </w:t>
      </w:r>
      <w:r w:rsidRPr="009C2942">
        <w:rPr>
          <w:rFonts w:ascii="Times New Roman" w:eastAsia="Times New Roman" w:hAnsi="Times New Roman" w:cs="Times New Roman"/>
          <w:lang w:eastAsia="zh-CN"/>
        </w:rPr>
        <w:t>powinien być przeprowadzany nie rzadziej ni</w:t>
      </w:r>
      <w:r w:rsidR="009C2942">
        <w:rPr>
          <w:rFonts w:ascii="Times New Roman" w:eastAsia="Times New Roman" w:hAnsi="Times New Roman" w:cs="Times New Roman"/>
          <w:lang w:eastAsia="zh-CN"/>
        </w:rPr>
        <w:t>ż</w:t>
      </w:r>
      <w:r w:rsidRPr="009C2942">
        <w:rPr>
          <w:rFonts w:ascii="Times New Roman" w:eastAsia="Times New Roman" w:hAnsi="Times New Roman" w:cs="Times New Roman"/>
          <w:lang w:eastAsia="zh-CN"/>
        </w:rPr>
        <w:t xml:space="preserve"> co </w:t>
      </w:r>
      <w:r w:rsidR="009C2942">
        <w:rPr>
          <w:rFonts w:ascii="Times New Roman" w:eastAsia="Times New Roman" w:hAnsi="Times New Roman" w:cs="Times New Roman"/>
          <w:lang w:eastAsia="zh-CN"/>
        </w:rPr>
        <w:t>trzy</w:t>
      </w:r>
      <w:r w:rsidRPr="009C2942">
        <w:rPr>
          <w:rFonts w:ascii="Times New Roman" w:eastAsia="Times New Roman" w:hAnsi="Times New Roman" w:cs="Times New Roman"/>
          <w:lang w:eastAsia="zh-CN"/>
        </w:rPr>
        <w:t xml:space="preserve"> lata obrotowe oraz na koniec Okresu </w:t>
      </w:r>
      <w:r w:rsidR="004236C7" w:rsidRPr="009C2942">
        <w:rPr>
          <w:rFonts w:ascii="Times New Roman" w:eastAsia="Times New Roman" w:hAnsi="Times New Roman" w:cs="Times New Roman"/>
          <w:lang w:eastAsia="zh-CN"/>
        </w:rPr>
        <w:t>Realizacji</w:t>
      </w:r>
      <w:r w:rsidR="00C0534A">
        <w:rPr>
          <w:rFonts w:ascii="Times New Roman" w:eastAsia="Times New Roman" w:hAnsi="Times New Roman" w:cs="Times New Roman"/>
          <w:lang w:eastAsia="zh-CN"/>
        </w:rPr>
        <w:t xml:space="preserve"> Zadania</w:t>
      </w:r>
      <w:r w:rsidRPr="009C2942">
        <w:rPr>
          <w:rFonts w:ascii="Times New Roman" w:eastAsia="Times New Roman" w:hAnsi="Times New Roman" w:cs="Times New Roman"/>
          <w:lang w:eastAsia="zh-CN"/>
        </w:rPr>
        <w:t xml:space="preserve">. </w:t>
      </w:r>
      <w:r w:rsidR="009633E3" w:rsidRPr="009C2942">
        <w:rPr>
          <w:rFonts w:ascii="Times New Roman" w:eastAsia="Times New Roman" w:hAnsi="Times New Roman" w:cs="Times New Roman"/>
          <w:lang w:eastAsia="zh-CN"/>
        </w:rPr>
        <w:t xml:space="preserve">Audyt rekompensaty </w:t>
      </w:r>
      <w:r w:rsidR="00B842F9">
        <w:rPr>
          <w:rFonts w:ascii="Times New Roman" w:eastAsia="Times New Roman" w:hAnsi="Times New Roman" w:cs="Times New Roman"/>
          <w:lang w:eastAsia="zh-CN"/>
        </w:rPr>
        <w:t xml:space="preserve">dla każdego Zadania </w:t>
      </w:r>
      <w:r w:rsidR="009633E3" w:rsidRPr="009C2942">
        <w:rPr>
          <w:rFonts w:ascii="Times New Roman" w:eastAsia="Times New Roman" w:hAnsi="Times New Roman" w:cs="Times New Roman"/>
          <w:lang w:eastAsia="zh-CN"/>
        </w:rPr>
        <w:t>dotyczyć będzie okresu wskazanego przez BSL, z</w:t>
      </w:r>
      <w:r w:rsidR="00FC6645">
        <w:rPr>
          <w:rFonts w:ascii="Times New Roman" w:eastAsia="Times New Roman" w:hAnsi="Times New Roman" w:cs="Times New Roman"/>
          <w:lang w:eastAsia="zh-CN"/>
        </w:rPr>
        <w:t xml:space="preserve"> </w:t>
      </w:r>
      <w:r w:rsidR="009633E3" w:rsidRPr="009C2942">
        <w:rPr>
          <w:rFonts w:ascii="Times New Roman" w:eastAsia="Times New Roman" w:hAnsi="Times New Roman" w:cs="Times New Roman"/>
          <w:lang w:eastAsia="zh-CN"/>
        </w:rPr>
        <w:t>uwzględnieniem skutków dla całego Okresu Realizacji</w:t>
      </w:r>
      <w:r w:rsidR="00B842F9">
        <w:rPr>
          <w:rFonts w:ascii="Times New Roman" w:eastAsia="Times New Roman" w:hAnsi="Times New Roman" w:cs="Times New Roman"/>
          <w:lang w:eastAsia="zh-CN"/>
        </w:rPr>
        <w:t xml:space="preserve"> Zadania</w:t>
      </w:r>
      <w:r w:rsidR="009633E3" w:rsidRPr="009C2942"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9C2942">
        <w:rPr>
          <w:rFonts w:ascii="Times New Roman" w:eastAsia="Times New Roman" w:hAnsi="Times New Roman" w:cs="Times New Roman"/>
          <w:lang w:eastAsia="zh-CN"/>
        </w:rPr>
        <w:t xml:space="preserve">Pierwszy audyt rekompensaty </w:t>
      </w:r>
      <w:r w:rsidR="00280F86">
        <w:rPr>
          <w:rFonts w:ascii="Times New Roman" w:eastAsia="Times New Roman" w:hAnsi="Times New Roman" w:cs="Times New Roman"/>
          <w:lang w:eastAsia="zh-CN"/>
        </w:rPr>
        <w:t xml:space="preserve">dla danego Zadania </w:t>
      </w:r>
      <w:r w:rsidRPr="009C2942">
        <w:rPr>
          <w:rFonts w:ascii="Times New Roman" w:eastAsia="Times New Roman" w:hAnsi="Times New Roman" w:cs="Times New Roman"/>
          <w:lang w:eastAsia="zh-CN"/>
        </w:rPr>
        <w:t xml:space="preserve">powinien być przeprowadzony za okres od </w:t>
      </w:r>
      <w:r w:rsidR="009C2942">
        <w:rPr>
          <w:rFonts w:ascii="Times New Roman" w:eastAsia="Times New Roman" w:hAnsi="Times New Roman" w:cs="Times New Roman"/>
          <w:lang w:eastAsia="zh-CN"/>
        </w:rPr>
        <w:t xml:space="preserve">dnia </w:t>
      </w:r>
      <w:r w:rsidR="007C56FF">
        <w:rPr>
          <w:rFonts w:ascii="Times New Roman" w:eastAsia="Times New Roman" w:hAnsi="Times New Roman" w:cs="Times New Roman"/>
          <w:lang w:eastAsia="zh-CN"/>
        </w:rPr>
        <w:t>otrzymania przez Spółkę w</w:t>
      </w:r>
      <w:r w:rsidR="0085774B">
        <w:rPr>
          <w:rFonts w:ascii="Times New Roman" w:eastAsia="Times New Roman" w:hAnsi="Times New Roman" w:cs="Times New Roman"/>
          <w:lang w:eastAsia="zh-CN"/>
        </w:rPr>
        <w:t xml:space="preserve"> celu realizacji tego Zadania</w:t>
      </w:r>
      <w:r w:rsidR="00280F86">
        <w:rPr>
          <w:rFonts w:ascii="Times New Roman" w:eastAsia="Times New Roman" w:hAnsi="Times New Roman" w:cs="Times New Roman"/>
          <w:lang w:eastAsia="zh-CN"/>
        </w:rPr>
        <w:t xml:space="preserve"> </w:t>
      </w:r>
      <w:r w:rsidR="009C2942">
        <w:rPr>
          <w:rFonts w:ascii="Times New Roman" w:eastAsia="Times New Roman" w:hAnsi="Times New Roman" w:cs="Times New Roman"/>
          <w:lang w:eastAsia="zh-CN"/>
        </w:rPr>
        <w:t>środków stanowiących rekompensatę za świadczenie usług publicznych w ogólnym interesie gospodarczym, w tym zwłaszcza Finansowego Wsparcia i Finansowania z Funduszu</w:t>
      </w:r>
      <w:r w:rsidR="00F24E7A">
        <w:rPr>
          <w:rFonts w:ascii="Times New Roman" w:eastAsia="Times New Roman" w:hAnsi="Times New Roman" w:cs="Times New Roman"/>
          <w:lang w:eastAsia="zh-CN"/>
        </w:rPr>
        <w:t>,</w:t>
      </w:r>
      <w:r w:rsidR="009C2942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C2942">
        <w:rPr>
          <w:rFonts w:ascii="Times New Roman" w:eastAsia="Times New Roman" w:hAnsi="Times New Roman" w:cs="Times New Roman"/>
          <w:lang w:eastAsia="zh-CN"/>
        </w:rPr>
        <w:t>do końca roku</w:t>
      </w:r>
      <w:r w:rsidR="008810DE" w:rsidRPr="009C2942">
        <w:rPr>
          <w:rFonts w:ascii="Times New Roman" w:eastAsia="Times New Roman" w:hAnsi="Times New Roman" w:cs="Times New Roman"/>
          <w:lang w:eastAsia="zh-CN"/>
        </w:rPr>
        <w:t xml:space="preserve"> obrotowego następującego po</w:t>
      </w:r>
      <w:r w:rsidRPr="009C2942">
        <w:rPr>
          <w:rFonts w:ascii="Times New Roman" w:eastAsia="Times New Roman" w:hAnsi="Times New Roman" w:cs="Times New Roman"/>
          <w:lang w:eastAsia="zh-CN"/>
        </w:rPr>
        <w:t xml:space="preserve"> roku</w:t>
      </w:r>
      <w:r w:rsidR="009C2942">
        <w:rPr>
          <w:rFonts w:ascii="Times New Roman" w:eastAsia="Times New Roman" w:hAnsi="Times New Roman" w:cs="Times New Roman"/>
          <w:lang w:eastAsia="zh-CN"/>
        </w:rPr>
        <w:t>,</w:t>
      </w:r>
      <w:r w:rsidRPr="009C2942">
        <w:rPr>
          <w:rFonts w:ascii="Times New Roman" w:eastAsia="Times New Roman" w:hAnsi="Times New Roman" w:cs="Times New Roman"/>
          <w:lang w:eastAsia="zh-CN"/>
        </w:rPr>
        <w:t xml:space="preserve"> </w:t>
      </w:r>
      <w:r w:rsidR="008810DE" w:rsidRPr="009C2942">
        <w:rPr>
          <w:rFonts w:ascii="Times New Roman" w:eastAsia="Times New Roman" w:hAnsi="Times New Roman" w:cs="Times New Roman"/>
          <w:lang w:eastAsia="zh-CN"/>
        </w:rPr>
        <w:t xml:space="preserve">w którym Spółka </w:t>
      </w:r>
      <w:r w:rsidR="001D236E" w:rsidRPr="009C2942">
        <w:rPr>
          <w:rFonts w:ascii="Times New Roman" w:eastAsia="Times New Roman" w:hAnsi="Times New Roman" w:cs="Times New Roman"/>
          <w:lang w:eastAsia="zh-CN"/>
        </w:rPr>
        <w:t>otrzym</w:t>
      </w:r>
      <w:r w:rsidR="008810DE" w:rsidRPr="009C2942">
        <w:rPr>
          <w:rFonts w:ascii="Times New Roman" w:eastAsia="Times New Roman" w:hAnsi="Times New Roman" w:cs="Times New Roman"/>
          <w:lang w:eastAsia="zh-CN"/>
        </w:rPr>
        <w:t>ała</w:t>
      </w:r>
      <w:r w:rsidR="00A14677">
        <w:rPr>
          <w:rFonts w:ascii="Times New Roman" w:eastAsia="Times New Roman" w:hAnsi="Times New Roman" w:cs="Times New Roman"/>
          <w:lang w:eastAsia="zh-CN"/>
        </w:rPr>
        <w:t xml:space="preserve"> </w:t>
      </w:r>
      <w:r w:rsidR="009C2942">
        <w:rPr>
          <w:rFonts w:ascii="Times New Roman" w:eastAsia="Times New Roman" w:hAnsi="Times New Roman" w:cs="Times New Roman"/>
          <w:lang w:eastAsia="zh-CN"/>
        </w:rPr>
        <w:t>te środki</w:t>
      </w:r>
      <w:r w:rsidRPr="009C2942">
        <w:rPr>
          <w:rFonts w:ascii="Times New Roman" w:eastAsia="Times New Roman" w:hAnsi="Times New Roman" w:cs="Times New Roman"/>
          <w:lang w:eastAsia="zh-CN"/>
        </w:rPr>
        <w:t>.</w:t>
      </w:r>
      <w:r w:rsidR="00AB49E3">
        <w:rPr>
          <w:rFonts w:ascii="Times New Roman" w:eastAsia="Times New Roman" w:hAnsi="Times New Roman" w:cs="Times New Roman"/>
          <w:lang w:eastAsia="zh-CN"/>
        </w:rPr>
        <w:t xml:space="preserve"> </w:t>
      </w:r>
      <w:r w:rsidR="009633E3">
        <w:rPr>
          <w:rFonts w:ascii="Times New Roman" w:eastAsia="Times New Roman" w:hAnsi="Times New Roman" w:cs="Times New Roman"/>
          <w:lang w:eastAsia="zh-CN"/>
        </w:rPr>
        <w:t>Audyt rekompensaty każdorazowo uwzględnia koszty netto oraz wszystkie przysporzenia ze środków publicznych przek</w:t>
      </w:r>
      <w:r w:rsidR="00ED6732">
        <w:rPr>
          <w:rFonts w:ascii="Times New Roman" w:eastAsia="Times New Roman" w:hAnsi="Times New Roman" w:cs="Times New Roman"/>
          <w:lang w:eastAsia="zh-CN"/>
        </w:rPr>
        <w:t>azane w ce</w:t>
      </w:r>
      <w:r w:rsidR="00A56263">
        <w:rPr>
          <w:rFonts w:ascii="Times New Roman" w:eastAsia="Times New Roman" w:hAnsi="Times New Roman" w:cs="Times New Roman"/>
          <w:lang w:eastAsia="zh-CN"/>
        </w:rPr>
        <w:t>lu realizacji danego Z</w:t>
      </w:r>
      <w:r w:rsidR="009633E3">
        <w:rPr>
          <w:rFonts w:ascii="Times New Roman" w:eastAsia="Times New Roman" w:hAnsi="Times New Roman" w:cs="Times New Roman"/>
          <w:lang w:eastAsia="zh-CN"/>
        </w:rPr>
        <w:t>adania</w:t>
      </w:r>
      <w:r w:rsidR="003F515F">
        <w:rPr>
          <w:rFonts w:ascii="Times New Roman" w:eastAsia="Times New Roman" w:hAnsi="Times New Roman" w:cs="Times New Roman"/>
          <w:lang w:eastAsia="zh-CN"/>
        </w:rPr>
        <w:t xml:space="preserve"> od początku</w:t>
      </w:r>
      <w:r w:rsidR="00E343A7">
        <w:rPr>
          <w:rFonts w:ascii="Times New Roman" w:eastAsia="Times New Roman" w:hAnsi="Times New Roman" w:cs="Times New Roman"/>
          <w:lang w:eastAsia="zh-CN"/>
        </w:rPr>
        <w:t xml:space="preserve"> Okresu Realizacji Zadania</w:t>
      </w:r>
      <w:r w:rsidR="003F515F">
        <w:rPr>
          <w:rFonts w:ascii="Times New Roman" w:eastAsia="Times New Roman" w:hAnsi="Times New Roman" w:cs="Times New Roman"/>
          <w:lang w:eastAsia="zh-CN"/>
        </w:rPr>
        <w:t>.</w:t>
      </w:r>
      <w:r w:rsidR="00FC6645">
        <w:rPr>
          <w:rFonts w:ascii="Times New Roman" w:eastAsia="Times New Roman" w:hAnsi="Times New Roman" w:cs="Times New Roman"/>
          <w:lang w:eastAsia="zh-CN"/>
        </w:rPr>
        <w:t xml:space="preserve"> Audyt </w:t>
      </w:r>
      <w:r w:rsidR="00ED6732">
        <w:rPr>
          <w:rFonts w:ascii="Times New Roman" w:eastAsia="Times New Roman" w:hAnsi="Times New Roman" w:cs="Times New Roman"/>
          <w:lang w:eastAsia="zh-CN"/>
        </w:rPr>
        <w:t>rekompensaty</w:t>
      </w:r>
      <w:r w:rsidR="00FC6645">
        <w:rPr>
          <w:rFonts w:ascii="Times New Roman" w:eastAsia="Times New Roman" w:hAnsi="Times New Roman" w:cs="Times New Roman"/>
          <w:lang w:eastAsia="zh-CN"/>
        </w:rPr>
        <w:t xml:space="preserve"> sporządzony na koniec Okresu Realizacji Zadania winien obejmować okres do końca roku obrotowego, w którym następuje zakończenie Okresu Realizacji Zadania</w:t>
      </w:r>
      <w:r w:rsidR="00ED6732">
        <w:rPr>
          <w:rFonts w:ascii="Times New Roman" w:eastAsia="Times New Roman" w:hAnsi="Times New Roman" w:cs="Times New Roman"/>
          <w:lang w:eastAsia="zh-CN"/>
        </w:rPr>
        <w:t>.</w:t>
      </w:r>
    </w:p>
    <w:p w14:paraId="7F0EF91F" w14:textId="071FAF0F" w:rsidR="00233909" w:rsidRDefault="0009318F" w:rsidP="00C0534A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D236E">
        <w:rPr>
          <w:rFonts w:ascii="Times New Roman" w:eastAsia="Times New Roman" w:hAnsi="Times New Roman" w:cs="Times New Roman"/>
          <w:lang w:eastAsia="zh-CN"/>
        </w:rPr>
        <w:t xml:space="preserve">Spółka jest zobowiązana udostępniać </w:t>
      </w:r>
      <w:r w:rsidR="00E83B56" w:rsidRPr="001D236E">
        <w:rPr>
          <w:rFonts w:ascii="Times New Roman" w:eastAsia="Times New Roman" w:hAnsi="Times New Roman" w:cs="Times New Roman"/>
          <w:lang w:eastAsia="zh-CN"/>
        </w:rPr>
        <w:t xml:space="preserve">BSL oraz wskazanym przez BSL podmiotom </w:t>
      </w:r>
      <w:r w:rsidRPr="001D236E">
        <w:rPr>
          <w:rFonts w:ascii="Times New Roman" w:eastAsia="Times New Roman" w:hAnsi="Times New Roman" w:cs="Times New Roman"/>
          <w:lang w:eastAsia="zh-CN"/>
        </w:rPr>
        <w:t>księgi, dokumenty źródłowe oraz wszystkie materiały i</w:t>
      </w:r>
      <w:r w:rsidR="00E83B56" w:rsidRPr="001D236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1D236E">
        <w:rPr>
          <w:rFonts w:ascii="Times New Roman" w:eastAsia="Times New Roman" w:hAnsi="Times New Roman" w:cs="Times New Roman"/>
          <w:lang w:eastAsia="zh-CN"/>
        </w:rPr>
        <w:t xml:space="preserve">informacje, na każde wezwanie w terminie do </w:t>
      </w:r>
      <w:r w:rsidR="00E83B56" w:rsidRPr="001D236E">
        <w:rPr>
          <w:rFonts w:ascii="Times New Roman" w:eastAsia="Times New Roman" w:hAnsi="Times New Roman" w:cs="Times New Roman"/>
          <w:lang w:eastAsia="zh-CN"/>
        </w:rPr>
        <w:t>7</w:t>
      </w:r>
      <w:r w:rsidR="00C0534A">
        <w:rPr>
          <w:rFonts w:ascii="Times New Roman" w:eastAsia="Times New Roman" w:hAnsi="Times New Roman" w:cs="Times New Roman"/>
          <w:lang w:eastAsia="zh-CN"/>
        </w:rPr>
        <w:t> </w:t>
      </w:r>
      <w:r w:rsidRPr="001D236E">
        <w:rPr>
          <w:rFonts w:ascii="Times New Roman" w:eastAsia="Times New Roman" w:hAnsi="Times New Roman" w:cs="Times New Roman"/>
          <w:lang w:eastAsia="zh-CN"/>
        </w:rPr>
        <w:t>dni.</w:t>
      </w:r>
    </w:p>
    <w:p w14:paraId="7C782088" w14:textId="0DD5C048" w:rsidR="00233909" w:rsidRDefault="005C1311" w:rsidP="00756EDF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Obowiązki Spółki, o których mowa w ust. 2 i 5, są </w:t>
      </w:r>
      <w:r w:rsidR="00294E40">
        <w:rPr>
          <w:rFonts w:ascii="Times New Roman" w:eastAsia="Times New Roman" w:hAnsi="Times New Roman" w:cs="Times New Roman"/>
          <w:lang w:eastAsia="zh-CN"/>
        </w:rPr>
        <w:t>niezależn</w:t>
      </w:r>
      <w:r>
        <w:rPr>
          <w:rFonts w:ascii="Times New Roman" w:eastAsia="Times New Roman" w:hAnsi="Times New Roman" w:cs="Times New Roman"/>
          <w:lang w:eastAsia="zh-CN"/>
        </w:rPr>
        <w:t>e</w:t>
      </w:r>
      <w:r w:rsidR="00294E40">
        <w:rPr>
          <w:rFonts w:ascii="Times New Roman" w:eastAsia="Times New Roman" w:hAnsi="Times New Roman" w:cs="Times New Roman"/>
          <w:lang w:eastAsia="zh-CN"/>
        </w:rPr>
        <w:t xml:space="preserve"> od obowiązków sprawozdawczych wynikających z </w:t>
      </w:r>
      <w:r w:rsidR="00F24E7A">
        <w:rPr>
          <w:rFonts w:ascii="Times New Roman" w:eastAsia="Times New Roman" w:hAnsi="Times New Roman" w:cs="Times New Roman"/>
          <w:lang w:eastAsia="zh-CN"/>
        </w:rPr>
        <w:t>U</w:t>
      </w:r>
      <w:r w:rsidR="00294E40">
        <w:rPr>
          <w:rFonts w:ascii="Times New Roman" w:eastAsia="Times New Roman" w:hAnsi="Times New Roman" w:cs="Times New Roman"/>
          <w:lang w:eastAsia="zh-CN"/>
        </w:rPr>
        <w:t xml:space="preserve">mów </w:t>
      </w:r>
      <w:r w:rsidR="00F24E7A">
        <w:rPr>
          <w:rFonts w:ascii="Times New Roman" w:eastAsia="Times New Roman" w:hAnsi="Times New Roman" w:cs="Times New Roman"/>
          <w:lang w:eastAsia="zh-CN"/>
        </w:rPr>
        <w:t>z Inwestorem</w:t>
      </w:r>
      <w:r w:rsidR="00A56263">
        <w:rPr>
          <w:rFonts w:ascii="Times New Roman" w:eastAsia="Times New Roman" w:hAnsi="Times New Roman" w:cs="Times New Roman"/>
          <w:lang w:eastAsia="zh-CN"/>
        </w:rPr>
        <w:t>.</w:t>
      </w:r>
    </w:p>
    <w:p w14:paraId="2784EE6E" w14:textId="5C9FC88F" w:rsidR="00233909" w:rsidRDefault="0009318F" w:rsidP="00C0534A">
      <w:pPr>
        <w:widowControl w:val="0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09318F">
        <w:rPr>
          <w:rFonts w:ascii="Times New Roman" w:eastAsia="Times New Roman" w:hAnsi="Times New Roman" w:cs="Times New Roman"/>
          <w:lang w:eastAsia="zh-CN"/>
        </w:rPr>
        <w:t>Wynik audytu rekompensaty będzie wiążący dla Miasta i Spółki</w:t>
      </w:r>
      <w:r w:rsidR="00AA46E2">
        <w:rPr>
          <w:rFonts w:ascii="Times New Roman" w:eastAsia="Times New Roman" w:hAnsi="Times New Roman" w:cs="Times New Roman"/>
          <w:lang w:eastAsia="zh-CN"/>
        </w:rPr>
        <w:t>, o ile podmioty uprawnione</w:t>
      </w:r>
      <w:r w:rsidR="00244DED">
        <w:rPr>
          <w:rFonts w:ascii="Times New Roman" w:eastAsia="Times New Roman" w:hAnsi="Times New Roman" w:cs="Times New Roman"/>
          <w:lang w:eastAsia="zh-CN"/>
        </w:rPr>
        <w:t>,</w:t>
      </w:r>
      <w:r w:rsidR="00AA46E2">
        <w:rPr>
          <w:rFonts w:ascii="Times New Roman" w:eastAsia="Times New Roman" w:hAnsi="Times New Roman" w:cs="Times New Roman"/>
          <w:lang w:eastAsia="zh-CN"/>
        </w:rPr>
        <w:t xml:space="preserve"> na</w:t>
      </w:r>
      <w:r w:rsidR="00A03AB6">
        <w:rPr>
          <w:rFonts w:ascii="Times New Roman" w:eastAsia="Times New Roman" w:hAnsi="Times New Roman" w:cs="Times New Roman"/>
          <w:lang w:eastAsia="zh-CN"/>
        </w:rPr>
        <w:t> </w:t>
      </w:r>
      <w:r w:rsidR="00AA46E2">
        <w:rPr>
          <w:rFonts w:ascii="Times New Roman" w:eastAsia="Times New Roman" w:hAnsi="Times New Roman" w:cs="Times New Roman"/>
          <w:lang w:eastAsia="zh-CN"/>
        </w:rPr>
        <w:t>podstawie obowiązujących przepisów lub umów zawartych przez Miasto lub Spółkę, do</w:t>
      </w:r>
      <w:r w:rsidR="00A03AB6">
        <w:rPr>
          <w:rFonts w:ascii="Times New Roman" w:eastAsia="Times New Roman" w:hAnsi="Times New Roman" w:cs="Times New Roman"/>
          <w:lang w:eastAsia="zh-CN"/>
        </w:rPr>
        <w:t> </w:t>
      </w:r>
      <w:r w:rsidR="00AA46E2">
        <w:rPr>
          <w:rFonts w:ascii="Times New Roman" w:eastAsia="Times New Roman" w:hAnsi="Times New Roman" w:cs="Times New Roman"/>
          <w:lang w:eastAsia="zh-CN"/>
        </w:rPr>
        <w:t>weryfikacji rozliczenia rekompensaty nie zgłoszą zastrzeżeń</w:t>
      </w:r>
      <w:r w:rsidRPr="0009318F">
        <w:rPr>
          <w:rFonts w:ascii="Times New Roman" w:eastAsia="Times New Roman" w:hAnsi="Times New Roman" w:cs="Times New Roman"/>
          <w:lang w:eastAsia="zh-CN"/>
        </w:rPr>
        <w:t xml:space="preserve">. Raport Roczny zbadany przez audytora rekompensaty uznaje się za ostateczny </w:t>
      </w:r>
      <w:r w:rsidR="00AA46E2">
        <w:rPr>
          <w:rFonts w:ascii="Times New Roman" w:eastAsia="Times New Roman" w:hAnsi="Times New Roman" w:cs="Times New Roman"/>
          <w:lang w:eastAsia="zh-CN"/>
        </w:rPr>
        <w:t>po</w:t>
      </w:r>
      <w:r w:rsidRPr="0009318F">
        <w:rPr>
          <w:rFonts w:ascii="Times New Roman" w:eastAsia="Times New Roman" w:hAnsi="Times New Roman" w:cs="Times New Roman"/>
          <w:lang w:eastAsia="zh-CN"/>
        </w:rPr>
        <w:t xml:space="preserve"> odebrani</w:t>
      </w:r>
      <w:r w:rsidR="00AA46E2">
        <w:rPr>
          <w:rFonts w:ascii="Times New Roman" w:eastAsia="Times New Roman" w:hAnsi="Times New Roman" w:cs="Times New Roman"/>
          <w:lang w:eastAsia="zh-CN"/>
        </w:rPr>
        <w:t>u</w:t>
      </w:r>
      <w:r w:rsidRPr="0009318F">
        <w:rPr>
          <w:rFonts w:ascii="Times New Roman" w:eastAsia="Times New Roman" w:hAnsi="Times New Roman" w:cs="Times New Roman"/>
          <w:lang w:eastAsia="zh-CN"/>
        </w:rPr>
        <w:t xml:space="preserve"> przez Miasto raportu od audytora rekompensaty</w:t>
      </w:r>
      <w:r w:rsidR="00AA46E2">
        <w:rPr>
          <w:rFonts w:ascii="Times New Roman" w:eastAsia="Times New Roman" w:hAnsi="Times New Roman" w:cs="Times New Roman"/>
          <w:lang w:eastAsia="zh-CN"/>
        </w:rPr>
        <w:t xml:space="preserve"> z dniem upływu terminu na zgłoszenie uwag przez podmioty uprawnione do</w:t>
      </w:r>
      <w:r w:rsidR="00A03AB6">
        <w:rPr>
          <w:rFonts w:ascii="Times New Roman" w:eastAsia="Times New Roman" w:hAnsi="Times New Roman" w:cs="Times New Roman"/>
          <w:lang w:eastAsia="zh-CN"/>
        </w:rPr>
        <w:t> </w:t>
      </w:r>
      <w:r w:rsidR="00AA46E2">
        <w:rPr>
          <w:rFonts w:ascii="Times New Roman" w:eastAsia="Times New Roman" w:hAnsi="Times New Roman" w:cs="Times New Roman"/>
          <w:lang w:eastAsia="zh-CN"/>
        </w:rPr>
        <w:t>weryfikacji rozliczenia rekompensaty</w:t>
      </w:r>
      <w:r w:rsidRPr="0009318F">
        <w:rPr>
          <w:rFonts w:ascii="Times New Roman" w:eastAsia="Times New Roman" w:hAnsi="Times New Roman" w:cs="Times New Roman"/>
          <w:lang w:eastAsia="zh-CN"/>
        </w:rPr>
        <w:t>.</w:t>
      </w:r>
    </w:p>
    <w:p w14:paraId="31BBB087" w14:textId="77777777" w:rsidR="00480842" w:rsidRDefault="00480842" w:rsidP="00322FC6">
      <w:pPr>
        <w:pStyle w:val="Akapitzlist"/>
        <w:keepNext/>
        <w:widowControl w:val="0"/>
        <w:numPr>
          <w:ilvl w:val="0"/>
          <w:numId w:val="15"/>
        </w:numPr>
        <w:tabs>
          <w:tab w:val="left" w:pos="426"/>
        </w:tabs>
        <w:suppressAutoHyphens/>
        <w:spacing w:before="360" w:after="0" w:line="360" w:lineRule="auto"/>
        <w:ind w:left="357" w:hanging="357"/>
        <w:jc w:val="both"/>
        <w:outlineLvl w:val="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lastRenderedPageBreak/>
        <w:t>ZASADY ROZLICZANIA I ZWROTU NADWYŻEK REKOMPENSATY PRZEZ SPÓŁKĘ</w:t>
      </w:r>
    </w:p>
    <w:p w14:paraId="086FF839" w14:textId="2EB242FA" w:rsidR="00480842" w:rsidRDefault="008C6036" w:rsidP="008C6036">
      <w:pPr>
        <w:pStyle w:val="Akapitzlist"/>
        <w:keepNext/>
        <w:widowControl w:val="0"/>
        <w:numPr>
          <w:ilvl w:val="0"/>
          <w:numId w:val="21"/>
        </w:numPr>
        <w:tabs>
          <w:tab w:val="left" w:pos="426"/>
        </w:tabs>
        <w:suppressAutoHyphens/>
        <w:spacing w:before="360" w:after="0" w:line="36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W przypadku potwierdzenia, że Spółka otrzymała nadmierną rekompensatę zastosowanie mają odpowiednio Rozporządzenie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ws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. Finansowego Wsparcia</w:t>
      </w:r>
      <w:r w:rsidR="00281C4D">
        <w:rPr>
          <w:rFonts w:ascii="Times New Roman" w:eastAsia="Times New Roman" w:hAnsi="Times New Roman" w:cs="Times New Roman"/>
          <w:lang w:eastAsia="zh-CN"/>
        </w:rPr>
        <w:t>,</w:t>
      </w:r>
      <w:r>
        <w:rPr>
          <w:rFonts w:ascii="Times New Roman" w:eastAsia="Times New Roman" w:hAnsi="Times New Roman" w:cs="Times New Roman"/>
          <w:lang w:eastAsia="zh-CN"/>
        </w:rPr>
        <w:t xml:space="preserve"> Rozporządzenie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ws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. Finansowania Zwrotnego</w:t>
      </w:r>
      <w:r w:rsidR="00244DED">
        <w:rPr>
          <w:rFonts w:ascii="Times New Roman" w:eastAsia="Times New Roman" w:hAnsi="Times New Roman" w:cs="Times New Roman"/>
          <w:lang w:eastAsia="zh-CN"/>
        </w:rPr>
        <w:t xml:space="preserve"> lub Um</w:t>
      </w:r>
      <w:r w:rsidR="00756EDF">
        <w:rPr>
          <w:rFonts w:ascii="Times New Roman" w:eastAsia="Times New Roman" w:hAnsi="Times New Roman" w:cs="Times New Roman"/>
          <w:lang w:eastAsia="zh-CN"/>
        </w:rPr>
        <w:t>owy</w:t>
      </w:r>
      <w:r w:rsidR="00244DED">
        <w:rPr>
          <w:rFonts w:ascii="Times New Roman" w:eastAsia="Times New Roman" w:hAnsi="Times New Roman" w:cs="Times New Roman"/>
          <w:lang w:eastAsia="zh-CN"/>
        </w:rPr>
        <w:t xml:space="preserve"> z Inwestorem</w:t>
      </w:r>
      <w:r>
        <w:rPr>
          <w:rFonts w:ascii="Times New Roman" w:eastAsia="Times New Roman" w:hAnsi="Times New Roman" w:cs="Times New Roman"/>
          <w:lang w:eastAsia="zh-CN"/>
        </w:rPr>
        <w:t>. W przypadku gdy nadmierna rekompensata wynika z</w:t>
      </w:r>
      <w:r w:rsidR="00756EDF">
        <w:rPr>
          <w:rFonts w:ascii="Times New Roman" w:eastAsia="Times New Roman" w:hAnsi="Times New Roman" w:cs="Times New Roman"/>
          <w:lang w:eastAsia="zh-CN"/>
        </w:rPr>
        <w:t> </w:t>
      </w:r>
      <w:r>
        <w:rPr>
          <w:rFonts w:ascii="Times New Roman" w:eastAsia="Times New Roman" w:hAnsi="Times New Roman" w:cs="Times New Roman"/>
          <w:lang w:eastAsia="zh-CN"/>
        </w:rPr>
        <w:t>otrzymania środków, o których mowa w §</w:t>
      </w:r>
      <w:r w:rsidR="005C1311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4 ust. 10 lub 11</w:t>
      </w:r>
      <w:r w:rsidR="005C1311">
        <w:rPr>
          <w:rFonts w:ascii="Times New Roman" w:eastAsia="Times New Roman" w:hAnsi="Times New Roman" w:cs="Times New Roman"/>
          <w:lang w:eastAsia="zh-CN"/>
        </w:rPr>
        <w:t>,</w:t>
      </w:r>
      <w:r>
        <w:rPr>
          <w:rFonts w:ascii="Times New Roman" w:eastAsia="Times New Roman" w:hAnsi="Times New Roman" w:cs="Times New Roman"/>
          <w:lang w:eastAsia="zh-CN"/>
        </w:rPr>
        <w:t xml:space="preserve"> Rozporządzenie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ws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. Finansowego Wsparcia lub Rozporządzenie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ws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. Finansowania Zwrotnego stosuje się odpowiednio.</w:t>
      </w:r>
    </w:p>
    <w:p w14:paraId="4A9259A1" w14:textId="7BA2D20B" w:rsidR="008C6036" w:rsidRDefault="008C6036" w:rsidP="008C6036">
      <w:pPr>
        <w:pStyle w:val="Akapitzlist"/>
        <w:keepNext/>
        <w:widowControl w:val="0"/>
        <w:numPr>
          <w:ilvl w:val="0"/>
          <w:numId w:val="21"/>
        </w:numPr>
        <w:tabs>
          <w:tab w:val="left" w:pos="426"/>
        </w:tabs>
        <w:suppressAutoHyphens/>
        <w:spacing w:before="360" w:after="0" w:line="36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Termin zwrotu przez Spółkę nadmiernej rekompensaty wskazuje Miasto, podając w wezwaniu numer rachunku bankowego i kwotę podlegając</w:t>
      </w:r>
      <w:r w:rsidR="00756EDF">
        <w:rPr>
          <w:rFonts w:ascii="Times New Roman" w:eastAsia="Times New Roman" w:hAnsi="Times New Roman" w:cs="Times New Roman"/>
          <w:lang w:eastAsia="zh-CN"/>
        </w:rPr>
        <w:t>ą</w:t>
      </w:r>
      <w:r>
        <w:rPr>
          <w:rFonts w:ascii="Times New Roman" w:eastAsia="Times New Roman" w:hAnsi="Times New Roman" w:cs="Times New Roman"/>
          <w:lang w:eastAsia="zh-CN"/>
        </w:rPr>
        <w:t xml:space="preserve"> zwrotowi.</w:t>
      </w:r>
    </w:p>
    <w:p w14:paraId="6B8554CB" w14:textId="4EF9FCB5" w:rsidR="008C6036" w:rsidRPr="00480842" w:rsidRDefault="008C6036" w:rsidP="008C6036">
      <w:pPr>
        <w:pStyle w:val="Akapitzlist"/>
        <w:keepNext/>
        <w:widowControl w:val="0"/>
        <w:numPr>
          <w:ilvl w:val="0"/>
          <w:numId w:val="21"/>
        </w:numPr>
        <w:tabs>
          <w:tab w:val="left" w:pos="426"/>
        </w:tabs>
        <w:suppressAutoHyphens/>
        <w:spacing w:before="360" w:after="0" w:line="360" w:lineRule="auto"/>
        <w:ind w:left="426" w:hanging="426"/>
        <w:jc w:val="both"/>
        <w:outlineLvl w:val="0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W przypadku gdy kwota nadmiernej rekompensaty może, zgodnie z Rozporządzeniem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ws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. Finansowego Wsparcia lub Rozporządzeniem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ws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. Finansowania Zwrotnego, zostać rozliczona w kolejnych latach, Miasto przekazuje Spółce informację pisemną o wysokości kwoty nadmiernej rekompensaty podlegającej rozliczeniu w kolejnym roku. </w:t>
      </w:r>
    </w:p>
    <w:sectPr w:rsidR="008C6036" w:rsidRPr="00480842" w:rsidSect="009D651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0981A3" w16cid:durableId="25013F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6F635" w14:textId="77777777" w:rsidR="00307C0D" w:rsidRDefault="00307C0D">
      <w:pPr>
        <w:spacing w:after="0" w:line="240" w:lineRule="auto"/>
      </w:pPr>
      <w:r>
        <w:separator/>
      </w:r>
    </w:p>
  </w:endnote>
  <w:endnote w:type="continuationSeparator" w:id="0">
    <w:p w14:paraId="71A7C19C" w14:textId="77777777" w:rsidR="00307C0D" w:rsidRDefault="00307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223626"/>
      <w:docPartObj>
        <w:docPartGallery w:val="Page Numbers (Bottom of Page)"/>
        <w:docPartUnique/>
      </w:docPartObj>
    </w:sdtPr>
    <w:sdtEndPr/>
    <w:sdtContent>
      <w:p w14:paraId="1244C6B2" w14:textId="4AD8FFEA" w:rsidR="00AA46E2" w:rsidRDefault="00434294">
        <w:pPr>
          <w:pStyle w:val="Stopka"/>
          <w:jc w:val="right"/>
        </w:pPr>
        <w:r w:rsidRPr="004911E4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AA46E2" w:rsidRPr="004911E4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4911E4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44014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4911E4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73874E83" w14:textId="77777777" w:rsidR="00AA46E2" w:rsidRDefault="00AA46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56CB2E" w14:textId="77777777" w:rsidR="00307C0D" w:rsidRDefault="00307C0D">
      <w:pPr>
        <w:spacing w:after="0" w:line="240" w:lineRule="auto"/>
      </w:pPr>
      <w:r>
        <w:separator/>
      </w:r>
    </w:p>
  </w:footnote>
  <w:footnote w:type="continuationSeparator" w:id="0">
    <w:p w14:paraId="120173CE" w14:textId="77777777" w:rsidR="00307C0D" w:rsidRDefault="00307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1D0"/>
    <w:multiLevelType w:val="hybridMultilevel"/>
    <w:tmpl w:val="735AB5A0"/>
    <w:lvl w:ilvl="0" w:tplc="3F9A5770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C01007"/>
    <w:multiLevelType w:val="multilevel"/>
    <w:tmpl w:val="EC843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37" w:hanging="37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07C41CD4"/>
    <w:multiLevelType w:val="hybridMultilevel"/>
    <w:tmpl w:val="E732F258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74BCC"/>
    <w:multiLevelType w:val="hybridMultilevel"/>
    <w:tmpl w:val="23C4704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9E0D0F"/>
    <w:multiLevelType w:val="multilevel"/>
    <w:tmpl w:val="02980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18BA5085"/>
    <w:multiLevelType w:val="multilevel"/>
    <w:tmpl w:val="02980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194F3490"/>
    <w:multiLevelType w:val="hybridMultilevel"/>
    <w:tmpl w:val="AB5423D0"/>
    <w:lvl w:ilvl="0" w:tplc="44C6BF2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971122"/>
    <w:multiLevelType w:val="hybridMultilevel"/>
    <w:tmpl w:val="E4ECF138"/>
    <w:lvl w:ilvl="0" w:tplc="F8F43AE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7A05CE9"/>
    <w:multiLevelType w:val="hybridMultilevel"/>
    <w:tmpl w:val="133A1360"/>
    <w:lvl w:ilvl="0" w:tplc="4F7489E2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940B7"/>
    <w:multiLevelType w:val="hybridMultilevel"/>
    <w:tmpl w:val="CEF2A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126FE"/>
    <w:multiLevelType w:val="multilevel"/>
    <w:tmpl w:val="02980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>
    <w:nsid w:val="49632B54"/>
    <w:multiLevelType w:val="hybridMultilevel"/>
    <w:tmpl w:val="D608A6A4"/>
    <w:lvl w:ilvl="0" w:tplc="F8F43AE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  <w:sz w:val="22"/>
      </w:rPr>
    </w:lvl>
    <w:lvl w:ilvl="1" w:tplc="F8F43AEE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54CA1FCC"/>
    <w:multiLevelType w:val="hybridMultilevel"/>
    <w:tmpl w:val="CE4E3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221E87"/>
    <w:multiLevelType w:val="hybridMultilevel"/>
    <w:tmpl w:val="8FD6822C"/>
    <w:lvl w:ilvl="0" w:tplc="5A4EDF7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AF24F85"/>
    <w:multiLevelType w:val="hybridMultilevel"/>
    <w:tmpl w:val="D2244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241B17"/>
    <w:multiLevelType w:val="hybridMultilevel"/>
    <w:tmpl w:val="27A44792"/>
    <w:lvl w:ilvl="0" w:tplc="425C50D4">
      <w:start w:val="1"/>
      <w:numFmt w:val="lowerLetter"/>
      <w:lvlText w:val="%1."/>
      <w:lvlJc w:val="left"/>
      <w:pPr>
        <w:ind w:left="177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63504E00"/>
    <w:multiLevelType w:val="hybridMultilevel"/>
    <w:tmpl w:val="2E0A9A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932DB2"/>
    <w:multiLevelType w:val="hybridMultilevel"/>
    <w:tmpl w:val="B6F8F1CA"/>
    <w:lvl w:ilvl="0" w:tplc="556A3768">
      <w:start w:val="1"/>
      <w:numFmt w:val="lowerRoman"/>
      <w:lvlText w:val="%1."/>
      <w:lvlJc w:val="left"/>
      <w:pPr>
        <w:ind w:left="1788" w:hanging="720"/>
      </w:pPr>
      <w:rPr>
        <w:rFonts w:ascii="Times New Roman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65C23EF"/>
    <w:multiLevelType w:val="multilevel"/>
    <w:tmpl w:val="02980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7" w:hanging="37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>
    <w:nsid w:val="7F203968"/>
    <w:multiLevelType w:val="hybridMultilevel"/>
    <w:tmpl w:val="EF121252"/>
    <w:lvl w:ilvl="0" w:tplc="F8F43AE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4"/>
    <w:lvlOverride w:ilvl="0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15"/>
  </w:num>
  <w:num w:numId="6">
    <w:abstractNumId w:val="1"/>
  </w:num>
  <w:num w:numId="7">
    <w:abstractNumId w:val="6"/>
  </w:num>
  <w:num w:numId="8">
    <w:abstractNumId w:val="13"/>
  </w:num>
  <w:num w:numId="9">
    <w:abstractNumId w:val="17"/>
  </w:num>
  <w:num w:numId="10">
    <w:abstractNumId w:val="7"/>
  </w:num>
  <w:num w:numId="11">
    <w:abstractNumId w:val="19"/>
  </w:num>
  <w:num w:numId="12">
    <w:abstractNumId w:val="11"/>
  </w:num>
  <w:num w:numId="13">
    <w:abstractNumId w:val="10"/>
  </w:num>
  <w:num w:numId="14">
    <w:abstractNumId w:val="14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12"/>
  </w:num>
  <w:num w:numId="20">
    <w:abstractNumId w:val="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8F"/>
    <w:rsid w:val="0000439A"/>
    <w:rsid w:val="000447D3"/>
    <w:rsid w:val="0004662C"/>
    <w:rsid w:val="000547A4"/>
    <w:rsid w:val="00055DD5"/>
    <w:rsid w:val="0006465A"/>
    <w:rsid w:val="00072A11"/>
    <w:rsid w:val="0009318F"/>
    <w:rsid w:val="0009369C"/>
    <w:rsid w:val="00094F11"/>
    <w:rsid w:val="00097715"/>
    <w:rsid w:val="000A19A2"/>
    <w:rsid w:val="000A6E49"/>
    <w:rsid w:val="000B655D"/>
    <w:rsid w:val="000C2227"/>
    <w:rsid w:val="000E327D"/>
    <w:rsid w:val="000F3F4A"/>
    <w:rsid w:val="000F5008"/>
    <w:rsid w:val="000F52A2"/>
    <w:rsid w:val="001023DB"/>
    <w:rsid w:val="00103A10"/>
    <w:rsid w:val="00107918"/>
    <w:rsid w:val="00107F61"/>
    <w:rsid w:val="0012034F"/>
    <w:rsid w:val="00125683"/>
    <w:rsid w:val="0013695C"/>
    <w:rsid w:val="00154812"/>
    <w:rsid w:val="00162BA4"/>
    <w:rsid w:val="00162C37"/>
    <w:rsid w:val="0016364D"/>
    <w:rsid w:val="00165258"/>
    <w:rsid w:val="00174B7E"/>
    <w:rsid w:val="00182E1C"/>
    <w:rsid w:val="00191CDB"/>
    <w:rsid w:val="00192518"/>
    <w:rsid w:val="001947C2"/>
    <w:rsid w:val="001A350E"/>
    <w:rsid w:val="001A7AAB"/>
    <w:rsid w:val="001B2E6D"/>
    <w:rsid w:val="001B306A"/>
    <w:rsid w:val="001C7535"/>
    <w:rsid w:val="001D236E"/>
    <w:rsid w:val="001E7E9C"/>
    <w:rsid w:val="001F2D2B"/>
    <w:rsid w:val="001F68A5"/>
    <w:rsid w:val="00220ADB"/>
    <w:rsid w:val="00233909"/>
    <w:rsid w:val="00237D31"/>
    <w:rsid w:val="00237E45"/>
    <w:rsid w:val="002420BD"/>
    <w:rsid w:val="00244DED"/>
    <w:rsid w:val="0024521B"/>
    <w:rsid w:val="00263BEC"/>
    <w:rsid w:val="00264246"/>
    <w:rsid w:val="00264D2E"/>
    <w:rsid w:val="002708DF"/>
    <w:rsid w:val="002801C2"/>
    <w:rsid w:val="00280F86"/>
    <w:rsid w:val="00281C4D"/>
    <w:rsid w:val="0028732E"/>
    <w:rsid w:val="00294E40"/>
    <w:rsid w:val="002B0291"/>
    <w:rsid w:val="002B3D47"/>
    <w:rsid w:val="002C1308"/>
    <w:rsid w:val="002C2796"/>
    <w:rsid w:val="002C71BD"/>
    <w:rsid w:val="002D19BB"/>
    <w:rsid w:val="002D792A"/>
    <w:rsid w:val="002E50AA"/>
    <w:rsid w:val="002F2434"/>
    <w:rsid w:val="002F46A5"/>
    <w:rsid w:val="00302633"/>
    <w:rsid w:val="00307C0D"/>
    <w:rsid w:val="00313C2F"/>
    <w:rsid w:val="00322FC6"/>
    <w:rsid w:val="003326C1"/>
    <w:rsid w:val="00355598"/>
    <w:rsid w:val="003709AE"/>
    <w:rsid w:val="00373833"/>
    <w:rsid w:val="003752C9"/>
    <w:rsid w:val="00393DF7"/>
    <w:rsid w:val="003942BA"/>
    <w:rsid w:val="003A74FC"/>
    <w:rsid w:val="003B26ED"/>
    <w:rsid w:val="003B673B"/>
    <w:rsid w:val="003B7689"/>
    <w:rsid w:val="003D0BC4"/>
    <w:rsid w:val="003E0AD3"/>
    <w:rsid w:val="003F0C8E"/>
    <w:rsid w:val="003F515F"/>
    <w:rsid w:val="003F5EAB"/>
    <w:rsid w:val="00403F21"/>
    <w:rsid w:val="004236C7"/>
    <w:rsid w:val="00426E30"/>
    <w:rsid w:val="00434294"/>
    <w:rsid w:val="00480842"/>
    <w:rsid w:val="004A27DD"/>
    <w:rsid w:val="004C01AB"/>
    <w:rsid w:val="004F06A2"/>
    <w:rsid w:val="004F5816"/>
    <w:rsid w:val="005130B7"/>
    <w:rsid w:val="0055291A"/>
    <w:rsid w:val="00557B80"/>
    <w:rsid w:val="00561746"/>
    <w:rsid w:val="0056198C"/>
    <w:rsid w:val="00565FA1"/>
    <w:rsid w:val="00574292"/>
    <w:rsid w:val="005775E9"/>
    <w:rsid w:val="00582814"/>
    <w:rsid w:val="005875D8"/>
    <w:rsid w:val="00593C40"/>
    <w:rsid w:val="005951B9"/>
    <w:rsid w:val="005A2545"/>
    <w:rsid w:val="005A5944"/>
    <w:rsid w:val="005A7340"/>
    <w:rsid w:val="005C1311"/>
    <w:rsid w:val="005E301C"/>
    <w:rsid w:val="005E5F87"/>
    <w:rsid w:val="005E654C"/>
    <w:rsid w:val="005F7BCF"/>
    <w:rsid w:val="00611803"/>
    <w:rsid w:val="00620003"/>
    <w:rsid w:val="00633F53"/>
    <w:rsid w:val="00644014"/>
    <w:rsid w:val="00662007"/>
    <w:rsid w:val="0066660C"/>
    <w:rsid w:val="00674F8F"/>
    <w:rsid w:val="0067581F"/>
    <w:rsid w:val="00676034"/>
    <w:rsid w:val="00681FC9"/>
    <w:rsid w:val="00682B57"/>
    <w:rsid w:val="006919DE"/>
    <w:rsid w:val="00696D64"/>
    <w:rsid w:val="006A04BC"/>
    <w:rsid w:val="006A72AD"/>
    <w:rsid w:val="006A7625"/>
    <w:rsid w:val="006B1FD8"/>
    <w:rsid w:val="006B2C7A"/>
    <w:rsid w:val="006B5DD4"/>
    <w:rsid w:val="006B7A6D"/>
    <w:rsid w:val="006C4752"/>
    <w:rsid w:val="006D0449"/>
    <w:rsid w:val="006D78E0"/>
    <w:rsid w:val="006F1109"/>
    <w:rsid w:val="006F36FE"/>
    <w:rsid w:val="007102AB"/>
    <w:rsid w:val="00710DF2"/>
    <w:rsid w:val="007167E9"/>
    <w:rsid w:val="007258AB"/>
    <w:rsid w:val="00732C18"/>
    <w:rsid w:val="00733A5A"/>
    <w:rsid w:val="007350CF"/>
    <w:rsid w:val="0073663A"/>
    <w:rsid w:val="00740110"/>
    <w:rsid w:val="0074249E"/>
    <w:rsid w:val="0074534D"/>
    <w:rsid w:val="00754973"/>
    <w:rsid w:val="00756EDF"/>
    <w:rsid w:val="00757425"/>
    <w:rsid w:val="00765E31"/>
    <w:rsid w:val="0078639D"/>
    <w:rsid w:val="00791BD4"/>
    <w:rsid w:val="007A0A96"/>
    <w:rsid w:val="007B30EF"/>
    <w:rsid w:val="007B424C"/>
    <w:rsid w:val="007C4693"/>
    <w:rsid w:val="007C56FF"/>
    <w:rsid w:val="007E19CC"/>
    <w:rsid w:val="007E3A8C"/>
    <w:rsid w:val="00806D1F"/>
    <w:rsid w:val="008303F6"/>
    <w:rsid w:val="00836155"/>
    <w:rsid w:val="00840B2D"/>
    <w:rsid w:val="00846A07"/>
    <w:rsid w:val="0085774B"/>
    <w:rsid w:val="008810DE"/>
    <w:rsid w:val="00887BCC"/>
    <w:rsid w:val="00895486"/>
    <w:rsid w:val="00897A73"/>
    <w:rsid w:val="008A24FB"/>
    <w:rsid w:val="008A5DD6"/>
    <w:rsid w:val="008B4D94"/>
    <w:rsid w:val="008B7ADA"/>
    <w:rsid w:val="008C6036"/>
    <w:rsid w:val="008D7251"/>
    <w:rsid w:val="008E1030"/>
    <w:rsid w:val="008E618F"/>
    <w:rsid w:val="00900865"/>
    <w:rsid w:val="00920DC5"/>
    <w:rsid w:val="00932CB4"/>
    <w:rsid w:val="00942A14"/>
    <w:rsid w:val="0095025B"/>
    <w:rsid w:val="00953405"/>
    <w:rsid w:val="009633E3"/>
    <w:rsid w:val="00970E37"/>
    <w:rsid w:val="0098172D"/>
    <w:rsid w:val="009844C6"/>
    <w:rsid w:val="00984774"/>
    <w:rsid w:val="00996834"/>
    <w:rsid w:val="009A56B8"/>
    <w:rsid w:val="009B353B"/>
    <w:rsid w:val="009B4FAF"/>
    <w:rsid w:val="009C2942"/>
    <w:rsid w:val="009C3B04"/>
    <w:rsid w:val="009C3EAD"/>
    <w:rsid w:val="009D26BD"/>
    <w:rsid w:val="009D6511"/>
    <w:rsid w:val="009D690D"/>
    <w:rsid w:val="009E3447"/>
    <w:rsid w:val="009E5410"/>
    <w:rsid w:val="00A03AB6"/>
    <w:rsid w:val="00A116A8"/>
    <w:rsid w:val="00A14677"/>
    <w:rsid w:val="00A154C2"/>
    <w:rsid w:val="00A21A45"/>
    <w:rsid w:val="00A22F1B"/>
    <w:rsid w:val="00A3271A"/>
    <w:rsid w:val="00A34500"/>
    <w:rsid w:val="00A37902"/>
    <w:rsid w:val="00A4668D"/>
    <w:rsid w:val="00A56263"/>
    <w:rsid w:val="00A7212F"/>
    <w:rsid w:val="00A7297E"/>
    <w:rsid w:val="00A832A1"/>
    <w:rsid w:val="00A85036"/>
    <w:rsid w:val="00A87D99"/>
    <w:rsid w:val="00A92532"/>
    <w:rsid w:val="00AA4604"/>
    <w:rsid w:val="00AA46E2"/>
    <w:rsid w:val="00AA6879"/>
    <w:rsid w:val="00AB49E3"/>
    <w:rsid w:val="00AC70EC"/>
    <w:rsid w:val="00AE57BE"/>
    <w:rsid w:val="00AF76F3"/>
    <w:rsid w:val="00B07269"/>
    <w:rsid w:val="00B12FC9"/>
    <w:rsid w:val="00B16C15"/>
    <w:rsid w:val="00B2189C"/>
    <w:rsid w:val="00B5717C"/>
    <w:rsid w:val="00B666DC"/>
    <w:rsid w:val="00B770FB"/>
    <w:rsid w:val="00B842F9"/>
    <w:rsid w:val="00B91469"/>
    <w:rsid w:val="00BA0955"/>
    <w:rsid w:val="00BC3BA6"/>
    <w:rsid w:val="00BC4AEE"/>
    <w:rsid w:val="00BE113E"/>
    <w:rsid w:val="00BE20FF"/>
    <w:rsid w:val="00BF31DE"/>
    <w:rsid w:val="00C0534A"/>
    <w:rsid w:val="00C1118A"/>
    <w:rsid w:val="00C15643"/>
    <w:rsid w:val="00C37EAD"/>
    <w:rsid w:val="00C50723"/>
    <w:rsid w:val="00C61F9A"/>
    <w:rsid w:val="00C638E7"/>
    <w:rsid w:val="00C77EC0"/>
    <w:rsid w:val="00C81C7E"/>
    <w:rsid w:val="00C9032D"/>
    <w:rsid w:val="00C94CB2"/>
    <w:rsid w:val="00C95BB6"/>
    <w:rsid w:val="00C97C23"/>
    <w:rsid w:val="00CA0301"/>
    <w:rsid w:val="00CD1D55"/>
    <w:rsid w:val="00CF3DCD"/>
    <w:rsid w:val="00CF5B0E"/>
    <w:rsid w:val="00CF7AA4"/>
    <w:rsid w:val="00D169BB"/>
    <w:rsid w:val="00D17054"/>
    <w:rsid w:val="00D229ED"/>
    <w:rsid w:val="00D25FCC"/>
    <w:rsid w:val="00D33AFD"/>
    <w:rsid w:val="00D347EB"/>
    <w:rsid w:val="00D46870"/>
    <w:rsid w:val="00D66221"/>
    <w:rsid w:val="00D67F8B"/>
    <w:rsid w:val="00D81CC1"/>
    <w:rsid w:val="00D855D2"/>
    <w:rsid w:val="00D8619C"/>
    <w:rsid w:val="00D874E4"/>
    <w:rsid w:val="00D92C8E"/>
    <w:rsid w:val="00D971A1"/>
    <w:rsid w:val="00DB6A88"/>
    <w:rsid w:val="00DB7DF4"/>
    <w:rsid w:val="00DD0D41"/>
    <w:rsid w:val="00DE3A6A"/>
    <w:rsid w:val="00DF0224"/>
    <w:rsid w:val="00DF4BF1"/>
    <w:rsid w:val="00E00F63"/>
    <w:rsid w:val="00E027F5"/>
    <w:rsid w:val="00E23BB2"/>
    <w:rsid w:val="00E24990"/>
    <w:rsid w:val="00E2541F"/>
    <w:rsid w:val="00E26CBF"/>
    <w:rsid w:val="00E30B3A"/>
    <w:rsid w:val="00E30F4D"/>
    <w:rsid w:val="00E343A7"/>
    <w:rsid w:val="00E347CF"/>
    <w:rsid w:val="00E55A8B"/>
    <w:rsid w:val="00E56534"/>
    <w:rsid w:val="00E611EE"/>
    <w:rsid w:val="00E6705A"/>
    <w:rsid w:val="00E73E42"/>
    <w:rsid w:val="00E83B56"/>
    <w:rsid w:val="00E87B67"/>
    <w:rsid w:val="00E9074C"/>
    <w:rsid w:val="00E90FC2"/>
    <w:rsid w:val="00E943EC"/>
    <w:rsid w:val="00EA651F"/>
    <w:rsid w:val="00EB0151"/>
    <w:rsid w:val="00ED57B3"/>
    <w:rsid w:val="00ED6732"/>
    <w:rsid w:val="00EE5061"/>
    <w:rsid w:val="00F119E8"/>
    <w:rsid w:val="00F166D6"/>
    <w:rsid w:val="00F247C8"/>
    <w:rsid w:val="00F24E7A"/>
    <w:rsid w:val="00F31417"/>
    <w:rsid w:val="00F327E5"/>
    <w:rsid w:val="00F4568E"/>
    <w:rsid w:val="00F50FD6"/>
    <w:rsid w:val="00F5431D"/>
    <w:rsid w:val="00F67C0B"/>
    <w:rsid w:val="00F716B6"/>
    <w:rsid w:val="00F92704"/>
    <w:rsid w:val="00FA2B61"/>
    <w:rsid w:val="00FA6843"/>
    <w:rsid w:val="00FB1F3F"/>
    <w:rsid w:val="00FC6645"/>
    <w:rsid w:val="00FD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3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5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093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931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318F"/>
    <w:pPr>
      <w:widowControl w:val="0"/>
      <w:suppressAutoHyphens/>
      <w:spacing w:after="0" w:line="240" w:lineRule="auto"/>
    </w:pPr>
    <w:rPr>
      <w:rFonts w:ascii="Arial" w:eastAsia="Times New Roman" w:hAnsi="Arial" w:cs="SansSerif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318F"/>
    <w:rPr>
      <w:rFonts w:ascii="Arial" w:eastAsia="Times New Roman" w:hAnsi="Arial" w:cs="SansSerif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9318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SansSerif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09318F"/>
    <w:rPr>
      <w:rFonts w:ascii="Arial" w:eastAsia="Times New Roman" w:hAnsi="Arial" w:cs="SansSerif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093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3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18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D79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C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C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CB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11803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BC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BC4"/>
    <w:rPr>
      <w:rFonts w:ascii="Arial" w:eastAsia="Times New Roman" w:hAnsi="Arial" w:cs="SansSerif"/>
      <w:b/>
      <w:bCs/>
      <w:sz w:val="20"/>
      <w:szCs w:val="20"/>
      <w:lang w:eastAsia="zh-CN"/>
    </w:rPr>
  </w:style>
  <w:style w:type="paragraph" w:customStyle="1" w:styleId="divpoint">
    <w:name w:val="div.point"/>
    <w:uiPriority w:val="99"/>
    <w:rsid w:val="00682B5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F4568E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5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093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931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318F"/>
    <w:pPr>
      <w:widowControl w:val="0"/>
      <w:suppressAutoHyphens/>
      <w:spacing w:after="0" w:line="240" w:lineRule="auto"/>
    </w:pPr>
    <w:rPr>
      <w:rFonts w:ascii="Arial" w:eastAsia="Times New Roman" w:hAnsi="Arial" w:cs="SansSerif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318F"/>
    <w:rPr>
      <w:rFonts w:ascii="Arial" w:eastAsia="Times New Roman" w:hAnsi="Arial" w:cs="SansSerif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9318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SansSerif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09318F"/>
    <w:rPr>
      <w:rFonts w:ascii="Arial" w:eastAsia="Times New Roman" w:hAnsi="Arial" w:cs="SansSerif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093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3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18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D792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C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C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CB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11803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BC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BC4"/>
    <w:rPr>
      <w:rFonts w:ascii="Arial" w:eastAsia="Times New Roman" w:hAnsi="Arial" w:cs="SansSerif"/>
      <w:b/>
      <w:bCs/>
      <w:sz w:val="20"/>
      <w:szCs w:val="20"/>
      <w:lang w:eastAsia="zh-CN"/>
    </w:rPr>
  </w:style>
  <w:style w:type="paragraph" w:customStyle="1" w:styleId="divpoint">
    <w:name w:val="div.point"/>
    <w:uiPriority w:val="99"/>
    <w:rsid w:val="00682B5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F4568E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B5D99-7852-4E32-BD57-BE062310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2505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Kaszubowska</dc:creator>
  <cp:lastModifiedBy>Iwona Kubicka</cp:lastModifiedBy>
  <cp:revision>5</cp:revision>
  <cp:lastPrinted>2021-09-06T12:40:00Z</cp:lastPrinted>
  <dcterms:created xsi:type="dcterms:W3CDTF">2021-10-01T08:10:00Z</dcterms:created>
  <dcterms:modified xsi:type="dcterms:W3CDTF">2021-10-05T10:14:00Z</dcterms:modified>
</cp:coreProperties>
</file>