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397C">
          <w:t>872/2021/P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397C">
        <w:rPr>
          <w:b/>
          <w:sz w:val="28"/>
        </w:rPr>
        <w:fldChar w:fldCharType="separate"/>
      </w:r>
      <w:r w:rsidR="00E3397C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397C">
              <w:rPr>
                <w:b/>
                <w:sz w:val="24"/>
                <w:szCs w:val="24"/>
              </w:rPr>
              <w:fldChar w:fldCharType="separate"/>
            </w:r>
            <w:r w:rsidR="00E3397C">
              <w:rPr>
                <w:b/>
                <w:sz w:val="24"/>
                <w:szCs w:val="24"/>
              </w:rPr>
              <w:t>przekazania Osiedlu Winiary w Poznaniu do korzystania nieruchomości położonych pomiędzy ulicami Sokoła i Winiarską.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397C" w:rsidP="00E339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397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E3397C">
        <w:rPr>
          <w:color w:val="000000"/>
          <w:sz w:val="24"/>
        </w:rPr>
        <w:t>t.j</w:t>
      </w:r>
      <w:proofErr w:type="spellEnd"/>
      <w:r w:rsidRPr="00E3397C">
        <w:rPr>
          <w:color w:val="000000"/>
          <w:sz w:val="24"/>
        </w:rPr>
        <w:t xml:space="preserve">. Dz. U. z Dz. U. z 2021 r. poz. 1372), </w:t>
      </w:r>
      <w:r w:rsidRPr="00E3397C">
        <w:rPr>
          <w:color w:val="000000"/>
          <w:sz w:val="24"/>
          <w:szCs w:val="24"/>
        </w:rPr>
        <w:t>§</w:t>
      </w:r>
      <w:r w:rsidRPr="00E3397C">
        <w:rPr>
          <w:color w:val="000000"/>
          <w:sz w:val="24"/>
        </w:rPr>
        <w:t xml:space="preserve"> 41 uchwały Nr LXXX/1202/V/2010 Rady Miasta Poznania z</w:t>
      </w:r>
      <w:r w:rsidR="00781057">
        <w:rPr>
          <w:color w:val="000000"/>
          <w:sz w:val="24"/>
        </w:rPr>
        <w:t> </w:t>
      </w:r>
      <w:r w:rsidRPr="00E3397C">
        <w:rPr>
          <w:color w:val="000000"/>
          <w:sz w:val="24"/>
        </w:rPr>
        <w:t xml:space="preserve">dnia 9 listopada 2010 r. w sprawie Statutu Miasta Poznania  (ze. zm.), </w:t>
      </w:r>
      <w:r w:rsidRPr="00E3397C">
        <w:rPr>
          <w:color w:val="000000"/>
          <w:sz w:val="24"/>
          <w:szCs w:val="24"/>
        </w:rPr>
        <w:t>§</w:t>
      </w:r>
      <w:r w:rsidRPr="00E3397C">
        <w:rPr>
          <w:color w:val="000000"/>
          <w:sz w:val="24"/>
        </w:rPr>
        <w:t xml:space="preserve"> 11 i 28 ust. 3 pkt. 4</w:t>
      </w:r>
      <w:r w:rsidR="00781057">
        <w:rPr>
          <w:color w:val="000000"/>
          <w:sz w:val="24"/>
        </w:rPr>
        <w:t> </w:t>
      </w:r>
      <w:r w:rsidRPr="00E3397C">
        <w:rPr>
          <w:color w:val="000000"/>
          <w:sz w:val="24"/>
        </w:rPr>
        <w:t xml:space="preserve">uchwały Nr LXXVI/1135/V/2010 Rady Miasta Poznania z dnia 31 sierpnia 2010 r. </w:t>
      </w:r>
      <w:proofErr w:type="spellStart"/>
      <w:r w:rsidRPr="00E3397C">
        <w:rPr>
          <w:color w:val="000000"/>
          <w:sz w:val="24"/>
        </w:rPr>
        <w:t>ws</w:t>
      </w:r>
      <w:proofErr w:type="spellEnd"/>
      <w:r w:rsidRPr="00E3397C">
        <w:rPr>
          <w:color w:val="000000"/>
          <w:sz w:val="24"/>
        </w:rPr>
        <w:t>. uchwalenia statutu Osiedla Winiary (ze. zm.) zarządza się, co następuje:</w:t>
      </w:r>
    </w:p>
    <w:p w:rsidR="00E3397C" w:rsidRDefault="00E3397C" w:rsidP="00E3397C">
      <w:pPr>
        <w:spacing w:line="360" w:lineRule="auto"/>
        <w:jc w:val="both"/>
        <w:rPr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E3397C">
        <w:rPr>
          <w:color w:val="000000"/>
          <w:sz w:val="24"/>
          <w:szCs w:val="24"/>
        </w:rPr>
        <w:t>1. Prezydent Miasta Poznania przekazuje Osiedlu Winiary w Poznaniu do korzystania nieruchomości położone pomiędzy ulicami Sokoła i Winiarską. Przekazany teren składa się z działek oznaczonych ewidencyjnie: obręb Golęcin, arkusz mapy 30, części działek nr 2, dla której prowadzona jest księga wieczysta o nr. PO1P/00015028/4, i 36/67, dla której prowadzona jest księga wieczysta o nr. PO1P/00323879/6.</w:t>
      </w:r>
      <w:r w:rsidRPr="00E3397C">
        <w:rPr>
          <w:color w:val="FF0000"/>
          <w:sz w:val="24"/>
          <w:szCs w:val="2"/>
        </w:rPr>
        <w:t>~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2. Granice przekazanego terenu określa mapa informacyjna, która stanowi załącznik nr 1 do zarządzenia.</w:t>
      </w:r>
    </w:p>
    <w:p w:rsidR="00E3397C" w:rsidRDefault="00E3397C" w:rsidP="00E339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3. Przekazanie nieruchomości następuje na cele społeczne, z możliwością urządzenia na tym obszarze miejsca rekreacji, poprzez zagospodarowanie terenu elementami małej architektury oraz zieleni.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397C">
        <w:rPr>
          <w:color w:val="000000"/>
          <w:sz w:val="24"/>
          <w:szCs w:val="24"/>
        </w:rPr>
        <w:t>1. Organy Osiedla Winiary zobowiązane są do: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1) korzystania z mienia zgodnie z przeznaczeniem;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lastRenderedPageBreak/>
        <w:t>2) utrzymania mienia w stanie niepogorszonym, w tym dokonywania niezbędnej konserwacji, napraw czy remontów;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3) prowadzenia bieżących spraw związanych z eksploatacją mienia;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4) zapewnienia ubezpieczenia od odpowiedzialności cywilnej z tytułu działalności prowadzonej na przekazanym terenie.</w:t>
      </w: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2. Rada Osiedla Winiary zapewnia zabezpieczenie środków na realizację inwestycji, utrzymanie i konserwację, naprawy i remonty oraz wykonanie pozostałych obowiązków wynikających z ust. 1.</w:t>
      </w:r>
    </w:p>
    <w:p w:rsidR="00E3397C" w:rsidRDefault="00E3397C" w:rsidP="00E339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3. Organy Osiedla udostępniają dokumenty i składają wyjaśnienia Urzędowi Miasta Poznania lub miejskim jednostkom organizacyjnym prowadzącym w imieniu Prezydenta Miasta Poznania kontrolę sposobu wykorzystania przekazanej nieruchomości.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Pr="00E3397C" w:rsidRDefault="00E3397C" w:rsidP="00E3397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397C">
        <w:rPr>
          <w:color w:val="000000"/>
          <w:sz w:val="24"/>
          <w:szCs w:val="24"/>
        </w:rPr>
        <w:t>1. Prezydent upoważnia osobę pełniącą funkcję przewodniczącego Zarządu Osiedla Winiary w Poznaniu do składania oświadczeń woli w imieniu Miasta Poznania w zakresie zwykłego zarządu przekazanymi nieruchomościami.</w:t>
      </w:r>
    </w:p>
    <w:p w:rsidR="00E3397C" w:rsidRDefault="00E3397C" w:rsidP="00E3397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397C">
        <w:rPr>
          <w:color w:val="000000"/>
          <w:sz w:val="24"/>
          <w:szCs w:val="24"/>
        </w:rPr>
        <w:t>2. Upoważnienie, o którym mowa w ust. 1, stanowi załącznik nr 2 do zarządzenia.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Default="00E3397C" w:rsidP="00E339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397C">
        <w:rPr>
          <w:color w:val="000000"/>
          <w:sz w:val="24"/>
          <w:szCs w:val="24"/>
        </w:rPr>
        <w:t xml:space="preserve">W przypadku stwierdzenia, że dana nieruchomość jest nienależycie wykorzystywana, stała się zbędna dla Osiedla albo niezbędna dla celów </w:t>
      </w:r>
      <w:proofErr w:type="spellStart"/>
      <w:r w:rsidRPr="00E3397C">
        <w:rPr>
          <w:color w:val="000000"/>
          <w:sz w:val="24"/>
          <w:szCs w:val="24"/>
        </w:rPr>
        <w:t>ogólnomiejskich</w:t>
      </w:r>
      <w:proofErr w:type="spellEnd"/>
      <w:r w:rsidRPr="00E3397C">
        <w:rPr>
          <w:color w:val="000000"/>
          <w:sz w:val="24"/>
          <w:szCs w:val="24"/>
        </w:rPr>
        <w:t xml:space="preserve"> lub realizacja zamierzonego sposobu zagospodarowania terenu stała się niewykonalna, Prezydent Miasta Poznania uchyli niniejsze zarządzenie.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Default="00E3397C" w:rsidP="00E339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397C">
        <w:rPr>
          <w:color w:val="000000"/>
          <w:sz w:val="24"/>
          <w:szCs w:val="24"/>
        </w:rPr>
        <w:t>Wykonanie zarządzenia powierza się dyrektorom: Wydziału Gospodarki Nieruchomościami i</w:t>
      </w:r>
      <w:r w:rsidR="00781057">
        <w:rPr>
          <w:color w:val="000000"/>
          <w:sz w:val="24"/>
          <w:szCs w:val="24"/>
        </w:rPr>
        <w:t> </w:t>
      </w:r>
      <w:r w:rsidRPr="00E3397C">
        <w:rPr>
          <w:color w:val="000000"/>
          <w:sz w:val="24"/>
          <w:szCs w:val="24"/>
        </w:rPr>
        <w:t>Wydziału Wspierania Jednostek Pomocniczych oraz przewodniczącemu Zarządu Osiedla Winiary.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3397C" w:rsidRDefault="00E3397C" w:rsidP="00E3397C">
      <w:pPr>
        <w:keepNext/>
        <w:spacing w:line="360" w:lineRule="auto"/>
        <w:rPr>
          <w:color w:val="000000"/>
          <w:sz w:val="24"/>
        </w:rPr>
      </w:pPr>
    </w:p>
    <w:p w:rsidR="00E3397C" w:rsidRDefault="00E3397C" w:rsidP="00E339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3397C">
        <w:rPr>
          <w:color w:val="000000"/>
          <w:sz w:val="24"/>
          <w:szCs w:val="24"/>
        </w:rPr>
        <w:t>Zarządzenie wchodzi w życie z dniem podpisania.</w:t>
      </w:r>
    </w:p>
    <w:p w:rsidR="00E3397C" w:rsidRDefault="00E3397C" w:rsidP="00E3397C">
      <w:pPr>
        <w:spacing w:line="360" w:lineRule="auto"/>
        <w:jc w:val="both"/>
        <w:rPr>
          <w:color w:val="000000"/>
          <w:sz w:val="24"/>
        </w:rPr>
      </w:pPr>
    </w:p>
    <w:p w:rsidR="00E3397C" w:rsidRDefault="00E3397C" w:rsidP="00E33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397C" w:rsidRDefault="00E3397C" w:rsidP="00E33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3397C" w:rsidRPr="00E3397C" w:rsidRDefault="00E3397C" w:rsidP="00E33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397C" w:rsidRPr="00E3397C" w:rsidSect="00E339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7C" w:rsidRDefault="00E3397C">
      <w:r>
        <w:separator/>
      </w:r>
    </w:p>
  </w:endnote>
  <w:endnote w:type="continuationSeparator" w:id="0">
    <w:p w:rsidR="00E3397C" w:rsidRDefault="00E3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7C" w:rsidRDefault="00E3397C">
      <w:r>
        <w:separator/>
      </w:r>
    </w:p>
  </w:footnote>
  <w:footnote w:type="continuationSeparator" w:id="0">
    <w:p w:rsidR="00E3397C" w:rsidRDefault="00E3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2/2021/P"/>
    <w:docVar w:name="Sprawa" w:val="przekazania Osiedlu Winiary w Poznaniu do korzystania nieruchomości położonych pomiędzy ulicami Sokoła i Winiarską."/>
  </w:docVars>
  <w:rsids>
    <w:rsidRoot w:val="00E339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05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397C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438</Words>
  <Characters>2747</Characters>
  <Application>Microsoft Office Word</Application>
  <DocSecurity>0</DocSecurity>
  <Lines>78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2021-11-23T13:08:00Z</dcterms:created>
  <dcterms:modified xsi:type="dcterms:W3CDTF">2021-11-23T13:08:00Z</dcterms:modified>
</cp:coreProperties>
</file>