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51E5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1E5C">
              <w:rPr>
                <w:b/>
              </w:rPr>
              <w:fldChar w:fldCharType="separate"/>
            </w:r>
            <w:r w:rsidR="00151E5C">
              <w:rPr>
                <w:b/>
              </w:rPr>
              <w:t>wyboru długości okresu stosowanego do wyliczenia relacji określonej w art. 243 ust. 1 ustawy o finansach publicznych w latach 2022-2025.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1E5C" w:rsidRDefault="00FA63B5" w:rsidP="00151E5C">
      <w:pPr>
        <w:spacing w:line="360" w:lineRule="auto"/>
        <w:jc w:val="both"/>
      </w:pPr>
      <w:bookmarkStart w:id="2" w:name="z1"/>
      <w:bookmarkEnd w:id="2"/>
    </w:p>
    <w:p w:rsidR="00151E5C" w:rsidRDefault="00151E5C" w:rsidP="00151E5C">
      <w:pPr>
        <w:spacing w:line="360" w:lineRule="auto"/>
        <w:jc w:val="both"/>
        <w:rPr>
          <w:color w:val="000000"/>
        </w:rPr>
      </w:pPr>
      <w:r w:rsidRPr="00151E5C">
        <w:rPr>
          <w:color w:val="000000"/>
        </w:rPr>
        <w:t>Nowelizacja art. 9 ust. 1 ustawy z dnia 14 grudnia 2018 r. o zmianie ustawy o finansach publicznych oraz niektórych innych ustaw (Dz. U. z 2018 r. poz. 2500 ze zm.), wprowadzona art. 7 pkt 1 ustawy z dnia 14 października 2021 r. o zmianie ustawy o dochodach jednostek samorządu terytorialnego oraz niektórych innych ustaw (Dz. U. z 2021 r., poz. 1927), umożliwiła organom wykonawczym jednostki samorządu terytorialnego dokonanie wyboru długości okresu stosowanego do wyliczenia relacji, o której mowa w art. 243 ust. 1 ustawy o</w:t>
      </w:r>
      <w:r w:rsidR="00695147">
        <w:rPr>
          <w:color w:val="000000"/>
        </w:rPr>
        <w:t> </w:t>
      </w:r>
      <w:r w:rsidRPr="00151E5C">
        <w:rPr>
          <w:color w:val="000000"/>
        </w:rPr>
        <w:t>finansach publicznych do trzech lub siedmiu lat. Po przeanalizowaniu danych historycznych oraz planu budżetu na koniec września 2021 r., dla Miasta Poznania korzystniejszy jest okres siedmioletni.</w:t>
      </w:r>
    </w:p>
    <w:p w:rsidR="00151E5C" w:rsidRDefault="00151E5C" w:rsidP="00151E5C">
      <w:pPr>
        <w:spacing w:line="360" w:lineRule="auto"/>
        <w:jc w:val="both"/>
      </w:pPr>
    </w:p>
    <w:p w:rsidR="00151E5C" w:rsidRDefault="00151E5C" w:rsidP="00151E5C">
      <w:pPr>
        <w:keepNext/>
        <w:spacing w:line="360" w:lineRule="auto"/>
        <w:jc w:val="center"/>
      </w:pPr>
      <w:r>
        <w:t>SKARBNIK MIASTA POZNANIA</w:t>
      </w:r>
    </w:p>
    <w:p w:rsidR="00151E5C" w:rsidRPr="00151E5C" w:rsidRDefault="00151E5C" w:rsidP="00151E5C">
      <w:pPr>
        <w:keepNext/>
        <w:spacing w:line="360" w:lineRule="auto"/>
        <w:jc w:val="center"/>
      </w:pPr>
      <w:r>
        <w:t>(-) Piotr Husejko</w:t>
      </w:r>
    </w:p>
    <w:sectPr w:rsidR="00151E5C" w:rsidRPr="00151E5C" w:rsidSect="00151E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5C" w:rsidRDefault="00151E5C">
      <w:r>
        <w:separator/>
      </w:r>
    </w:p>
  </w:endnote>
  <w:endnote w:type="continuationSeparator" w:id="0">
    <w:p w:rsidR="00151E5C" w:rsidRDefault="0015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5C" w:rsidRDefault="00151E5C">
      <w:r>
        <w:separator/>
      </w:r>
    </w:p>
  </w:footnote>
  <w:footnote w:type="continuationSeparator" w:id="0">
    <w:p w:rsidR="00151E5C" w:rsidRDefault="0015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boru długości okresu stosowanego do wyliczenia relacji określonej w art. 243 ust. 1 ustawy o finansach publicznych w latach 2022-2025."/>
  </w:docVars>
  <w:rsids>
    <w:rsidRoot w:val="00151E5C"/>
    <w:rsid w:val="000607A3"/>
    <w:rsid w:val="00151E5C"/>
    <w:rsid w:val="001B1D53"/>
    <w:rsid w:val="0022095A"/>
    <w:rsid w:val="002946C5"/>
    <w:rsid w:val="002C29F3"/>
    <w:rsid w:val="0069514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154</Words>
  <Characters>872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2021-12-08T13:04:00Z</dcterms:created>
  <dcterms:modified xsi:type="dcterms:W3CDTF">2021-12-08T13:04:00Z</dcterms:modified>
</cp:coreProperties>
</file>