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4A5B">
              <w:rPr>
                <w:b/>
              </w:rPr>
              <w:fldChar w:fldCharType="separate"/>
            </w:r>
            <w:r w:rsidR="00CA4A5B">
              <w:rPr>
                <w:b/>
              </w:rPr>
              <w:t>ogłoszenia wykazu nieruchomości stanowiącej własność Miasta Poznania, położonej w Poznaniu przy ul. Toskańskiej 12,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4A5B" w:rsidRDefault="00FA63B5" w:rsidP="00CA4A5B">
      <w:pPr>
        <w:spacing w:line="360" w:lineRule="auto"/>
        <w:jc w:val="both"/>
      </w:pPr>
      <w:bookmarkStart w:id="2" w:name="z1"/>
      <w:bookmarkEnd w:id="2"/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 xml:space="preserve">Zgodnie ze </w:t>
      </w:r>
      <w:r w:rsidRPr="00CA4A5B">
        <w:rPr>
          <w:i/>
          <w:iCs/>
          <w:color w:val="000000"/>
          <w:szCs w:val="20"/>
        </w:rPr>
        <w:t>Studium uwarunkowań i kierunków zagospodarowania przestrzennego miasta Poznania,</w:t>
      </w:r>
      <w:r w:rsidRPr="00CA4A5B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CA4A5B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CA4A5B">
        <w:rPr>
          <w:color w:val="000000"/>
          <w:szCs w:val="20"/>
        </w:rPr>
        <w:t xml:space="preserve"> </w:t>
      </w:r>
    </w:p>
    <w:p w:rsidR="00CA4A5B" w:rsidRPr="00CA4A5B" w:rsidRDefault="00CA4A5B" w:rsidP="00CA4A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>Powyższe potwierdził Wydział Urbanistyki i Architektury Urzędu Miasta Poznania w piśmie nr UA-IV.6724.451.2022  z dnia 4 kwietnia 2022 r.</w:t>
      </w:r>
    </w:p>
    <w:p w:rsidR="00CA4A5B" w:rsidRPr="00CA4A5B" w:rsidRDefault="00CA4A5B" w:rsidP="00CA4A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CF1F5F">
        <w:rPr>
          <w:color w:val="000000"/>
          <w:szCs w:val="20"/>
        </w:rPr>
        <w:t> </w:t>
      </w:r>
      <w:r w:rsidRPr="00CA4A5B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CA4A5B" w:rsidRPr="00CA4A5B" w:rsidRDefault="00CA4A5B" w:rsidP="00CA4A5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>Przedmiotem zbycia jest nieruchomość wraz z gruntem niezbędnym do racjonalnego korzystania z budynku.</w:t>
      </w:r>
    </w:p>
    <w:p w:rsidR="00CA4A5B" w:rsidRPr="00CA4A5B" w:rsidRDefault="00CA4A5B" w:rsidP="00CA4A5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CA4A5B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CA4A5B">
        <w:rPr>
          <w:b/>
          <w:bCs/>
          <w:color w:val="000000"/>
          <w:szCs w:val="20"/>
        </w:rPr>
        <w:t xml:space="preserve"> 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</w:rPr>
        <w:t>–</w:t>
      </w:r>
      <w:r w:rsidRPr="00CA4A5B">
        <w:rPr>
          <w:color w:val="000000"/>
          <w:szCs w:val="20"/>
        </w:rPr>
        <w:t xml:space="preserve"> bonifikata od ceny sprzedaży w wysokości 40%,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</w:rPr>
        <w:t>–</w:t>
      </w:r>
      <w:r w:rsidRPr="00CA4A5B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</w:rPr>
        <w:t>–</w:t>
      </w:r>
      <w:r w:rsidRPr="00CA4A5B">
        <w:rPr>
          <w:color w:val="000000"/>
          <w:szCs w:val="20"/>
        </w:rPr>
        <w:t xml:space="preserve"> w przypadku jednorazowej zapłaty całej ceny nabycia nieruchomości </w:t>
      </w:r>
      <w:r w:rsidRPr="00CA4A5B">
        <w:rPr>
          <w:color w:val="000000"/>
        </w:rPr>
        <w:t>–</w:t>
      </w:r>
      <w:r w:rsidRPr="00CA4A5B">
        <w:rPr>
          <w:color w:val="000000"/>
          <w:szCs w:val="20"/>
        </w:rPr>
        <w:t xml:space="preserve"> dodatkowa bonifikata w wysokości 20%.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>Łączna bonifikata nie może przekroczyć 80% ceny sprzedaży nieruchomości.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 xml:space="preserve">Nabywcy zobowiązani są nie później niż do dnia zawarcia umowy notarialnej uiścić cenę nieruchomości zabudowanej budynkiem mieszkalnym, a w przypadku sprzedaży na raty </w:t>
      </w:r>
      <w:r w:rsidRPr="00CA4A5B">
        <w:rPr>
          <w:color w:val="000000"/>
        </w:rPr>
        <w:t>–</w:t>
      </w:r>
      <w:r w:rsidR="00CF1F5F">
        <w:rPr>
          <w:color w:val="000000"/>
          <w:szCs w:val="20"/>
        </w:rPr>
        <w:t> </w:t>
      </w:r>
      <w:r w:rsidRPr="00CA4A5B">
        <w:rPr>
          <w:color w:val="000000"/>
          <w:szCs w:val="20"/>
        </w:rPr>
        <w:t>pierwszą ratę.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>Ponadto nabywcy nieruchomości zrzekną się wszelkich ewentualnych roszczeń związanych z</w:t>
      </w:r>
      <w:r w:rsidR="00CF1F5F">
        <w:rPr>
          <w:color w:val="000000"/>
          <w:szCs w:val="20"/>
        </w:rPr>
        <w:t> </w:t>
      </w:r>
      <w:r w:rsidRPr="00CA4A5B">
        <w:rPr>
          <w:color w:val="000000"/>
          <w:szCs w:val="20"/>
        </w:rPr>
        <w:t>poczynionymi przez nich bądź ich poprzedników prawnych nakładami.</w:t>
      </w:r>
    </w:p>
    <w:p w:rsidR="00CA4A5B" w:rsidRPr="00CA4A5B" w:rsidRDefault="00CA4A5B" w:rsidP="00CA4A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 xml:space="preserve">Na podstawie art. 35 ust. 1 ustawy z dnia 21 sierpnia 1997 r. o gospodarce nieruchomościami (Dz. U. z 2021 r. poz. 1899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CA4A5B" w:rsidRDefault="00CA4A5B" w:rsidP="00CA4A5B">
      <w:pPr>
        <w:spacing w:line="360" w:lineRule="auto"/>
        <w:jc w:val="both"/>
        <w:rPr>
          <w:color w:val="000000"/>
          <w:szCs w:val="20"/>
        </w:rPr>
      </w:pPr>
      <w:r w:rsidRPr="00CA4A5B">
        <w:rPr>
          <w:color w:val="000000"/>
          <w:szCs w:val="20"/>
        </w:rPr>
        <w:t>W tym stanie rzeczy wydanie zarządzenia jest uzasadnione.</w:t>
      </w:r>
    </w:p>
    <w:p w:rsidR="00CA4A5B" w:rsidRDefault="00CA4A5B" w:rsidP="00CA4A5B">
      <w:pPr>
        <w:spacing w:line="360" w:lineRule="auto"/>
        <w:jc w:val="both"/>
      </w:pPr>
    </w:p>
    <w:p w:rsidR="00CA4A5B" w:rsidRDefault="00CA4A5B" w:rsidP="00CA4A5B">
      <w:pPr>
        <w:keepNext/>
        <w:spacing w:line="360" w:lineRule="auto"/>
        <w:jc w:val="center"/>
      </w:pPr>
      <w:r>
        <w:t>DYREKTOR WYDZIAŁU</w:t>
      </w:r>
    </w:p>
    <w:p w:rsidR="00CA4A5B" w:rsidRPr="00CA4A5B" w:rsidRDefault="00CA4A5B" w:rsidP="00CA4A5B">
      <w:pPr>
        <w:keepNext/>
        <w:spacing w:line="360" w:lineRule="auto"/>
        <w:jc w:val="center"/>
      </w:pPr>
      <w:r>
        <w:t>(-) Magda Albińska</w:t>
      </w:r>
    </w:p>
    <w:sectPr w:rsidR="00CA4A5B" w:rsidRPr="00CA4A5B" w:rsidSect="00CA4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5B" w:rsidRDefault="00CA4A5B">
      <w:r>
        <w:separator/>
      </w:r>
    </w:p>
  </w:endnote>
  <w:endnote w:type="continuationSeparator" w:id="0">
    <w:p w:rsidR="00CA4A5B" w:rsidRDefault="00C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5B" w:rsidRDefault="00CA4A5B">
      <w:r>
        <w:separator/>
      </w:r>
    </w:p>
  </w:footnote>
  <w:footnote w:type="continuationSeparator" w:id="0">
    <w:p w:rsidR="00CA4A5B" w:rsidRDefault="00CA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skańskiej 12, zabudowanej budynkiem mieszkalnym jednolokalowym, przeznaczonej do sprzedaży w trybie bezprzetargowym."/>
  </w:docVars>
  <w:rsids>
    <w:rsidRoot w:val="00CA4A5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A4A5B"/>
    <w:rsid w:val="00CF1F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68D61-2280-46A7-80E0-55CFAED0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502</Words>
  <Characters>3344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2022-11-08T11:52:00Z</dcterms:created>
  <dcterms:modified xsi:type="dcterms:W3CDTF">2022-11-08T11:52:00Z</dcterms:modified>
</cp:coreProperties>
</file>