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6D5BFB">
          <w:t>993/2022/P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6D5BFB">
        <w:rPr>
          <w:b/>
          <w:sz w:val="28"/>
        </w:rPr>
        <w:fldChar w:fldCharType="separate"/>
      </w:r>
      <w:r w:rsidR="006D5BFB">
        <w:rPr>
          <w:b/>
          <w:sz w:val="28"/>
        </w:rPr>
        <w:t>20 grudnia 2022r.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6D5BFB">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6D5BFB">
              <w:rPr>
                <w:b/>
                <w:sz w:val="24"/>
                <w:szCs w:val="24"/>
              </w:rPr>
              <w:fldChar w:fldCharType="separate"/>
            </w:r>
            <w:r w:rsidR="006D5BFB">
              <w:rPr>
                <w:b/>
                <w:sz w:val="24"/>
                <w:szCs w:val="24"/>
              </w:rPr>
              <w:t>zarządzenie w sprawie zasad zlecania i rozliczania z realizacji zadań powierzonych do wykonania spółce Poznańskie Inwestycje Miejskie sp. z o.o.</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6D5BFB" w:rsidP="006D5BFB">
      <w:pPr>
        <w:tabs>
          <w:tab w:val="right" w:leader="dot" w:pos="7371"/>
          <w:tab w:val="left" w:leader="dot" w:pos="8505"/>
        </w:tabs>
        <w:spacing w:line="360" w:lineRule="auto"/>
        <w:jc w:val="both"/>
        <w:rPr>
          <w:color w:val="000000"/>
          <w:sz w:val="24"/>
          <w:szCs w:val="24"/>
        </w:rPr>
      </w:pPr>
      <w:bookmarkStart w:id="2" w:name="p0"/>
      <w:bookmarkEnd w:id="2"/>
      <w:r w:rsidRPr="006D5BFB">
        <w:rPr>
          <w:color w:val="000000"/>
          <w:sz w:val="24"/>
          <w:szCs w:val="24"/>
        </w:rPr>
        <w:t>Na podstawie art. 30 ust. 1 w związku z art. 30 ust. 2 pkt 2 i 4 ustawy z dnia 8 marca 1990 r. o</w:t>
      </w:r>
      <w:r w:rsidR="00A47C72">
        <w:rPr>
          <w:color w:val="000000"/>
          <w:sz w:val="24"/>
          <w:szCs w:val="24"/>
        </w:rPr>
        <w:t> </w:t>
      </w:r>
      <w:r w:rsidRPr="006D5BFB">
        <w:rPr>
          <w:color w:val="000000"/>
          <w:sz w:val="24"/>
          <w:szCs w:val="24"/>
        </w:rPr>
        <w:t>samorządzie gminnym (</w:t>
      </w:r>
      <w:proofErr w:type="spellStart"/>
      <w:r w:rsidRPr="006D5BFB">
        <w:rPr>
          <w:color w:val="000000"/>
          <w:sz w:val="24"/>
          <w:szCs w:val="24"/>
        </w:rPr>
        <w:t>t.j</w:t>
      </w:r>
      <w:proofErr w:type="spellEnd"/>
      <w:r w:rsidRPr="006D5BFB">
        <w:rPr>
          <w:color w:val="000000"/>
          <w:sz w:val="24"/>
          <w:szCs w:val="24"/>
        </w:rPr>
        <w:t xml:space="preserve">. Dz. U. z 2022 r. poz. 559 z </w:t>
      </w:r>
      <w:proofErr w:type="spellStart"/>
      <w:r w:rsidRPr="006D5BFB">
        <w:rPr>
          <w:color w:val="000000"/>
          <w:sz w:val="24"/>
          <w:szCs w:val="24"/>
        </w:rPr>
        <w:t>późn</w:t>
      </w:r>
      <w:proofErr w:type="spellEnd"/>
      <w:r w:rsidRPr="006D5BFB">
        <w:rPr>
          <w:color w:val="000000"/>
          <w:sz w:val="24"/>
          <w:szCs w:val="24"/>
        </w:rPr>
        <w:t>. zm.) oraz art. 2 ustawy z dnia 20 grudnia 1996 r. o gospodarce komunalnej (</w:t>
      </w:r>
      <w:proofErr w:type="spellStart"/>
      <w:r w:rsidRPr="006D5BFB">
        <w:rPr>
          <w:color w:val="000000"/>
          <w:sz w:val="24"/>
          <w:szCs w:val="24"/>
        </w:rPr>
        <w:t>t.j</w:t>
      </w:r>
      <w:proofErr w:type="spellEnd"/>
      <w:r w:rsidRPr="006D5BFB">
        <w:rPr>
          <w:color w:val="000000"/>
          <w:sz w:val="24"/>
          <w:szCs w:val="24"/>
        </w:rPr>
        <w:t>. Dz. U. z 2021 r. poz. 679), w związku z</w:t>
      </w:r>
      <w:r w:rsidR="00A47C72">
        <w:rPr>
          <w:color w:val="000000"/>
          <w:sz w:val="24"/>
          <w:szCs w:val="24"/>
        </w:rPr>
        <w:t> </w:t>
      </w:r>
      <w:r w:rsidRPr="006D5BFB">
        <w:rPr>
          <w:color w:val="000000"/>
          <w:sz w:val="24"/>
          <w:szCs w:val="24"/>
        </w:rPr>
        <w:t>uchwałą Nr LXII/959/VI/2014 Rady Miasta Poznania z dnia 28 stycznia 2014 r. w sprawie utworzenia spółki dotyczącej realizacji inwestycji miejskich zarządza się, co następuje:</w:t>
      </w:r>
    </w:p>
    <w:p w:rsidR="006D5BFB" w:rsidRDefault="006D5BFB" w:rsidP="006D5BFB">
      <w:pPr>
        <w:tabs>
          <w:tab w:val="right" w:leader="dot" w:pos="7371"/>
          <w:tab w:val="left" w:leader="dot" w:pos="8505"/>
        </w:tabs>
        <w:spacing w:line="360" w:lineRule="auto"/>
        <w:jc w:val="both"/>
        <w:rPr>
          <w:sz w:val="24"/>
        </w:rPr>
      </w:pPr>
    </w:p>
    <w:p w:rsidR="006D5BFB" w:rsidRDefault="006D5BFB" w:rsidP="006D5BFB">
      <w:pPr>
        <w:keepNext/>
        <w:tabs>
          <w:tab w:val="right" w:leader="dot" w:pos="7371"/>
          <w:tab w:val="left" w:leader="dot" w:pos="8505"/>
        </w:tabs>
        <w:spacing w:line="360" w:lineRule="auto"/>
        <w:jc w:val="center"/>
        <w:rPr>
          <w:b/>
          <w:color w:val="000000"/>
          <w:sz w:val="24"/>
        </w:rPr>
      </w:pPr>
      <w:r>
        <w:rPr>
          <w:b/>
          <w:color w:val="000000"/>
          <w:sz w:val="24"/>
        </w:rPr>
        <w:t>§ 1</w:t>
      </w:r>
    </w:p>
    <w:p w:rsidR="006D5BFB" w:rsidRDefault="006D5BFB" w:rsidP="006D5BFB">
      <w:pPr>
        <w:keepNext/>
        <w:tabs>
          <w:tab w:val="right" w:leader="dot" w:pos="7371"/>
          <w:tab w:val="left" w:leader="dot" w:pos="8505"/>
        </w:tabs>
        <w:spacing w:line="360" w:lineRule="auto"/>
        <w:rPr>
          <w:color w:val="000000"/>
          <w:sz w:val="24"/>
        </w:rPr>
      </w:pPr>
    </w:p>
    <w:p w:rsidR="006D5BFB" w:rsidRPr="006D5BFB" w:rsidRDefault="006D5BFB" w:rsidP="006D5BFB">
      <w:pPr>
        <w:autoSpaceDE w:val="0"/>
        <w:autoSpaceDN w:val="0"/>
        <w:adjustRightInd w:val="0"/>
        <w:spacing w:line="360" w:lineRule="auto"/>
        <w:jc w:val="both"/>
        <w:rPr>
          <w:color w:val="000000"/>
          <w:sz w:val="24"/>
          <w:szCs w:val="24"/>
        </w:rPr>
      </w:pPr>
      <w:bookmarkStart w:id="3" w:name="z1"/>
      <w:bookmarkEnd w:id="3"/>
      <w:r w:rsidRPr="006D5BFB">
        <w:rPr>
          <w:color w:val="000000"/>
          <w:sz w:val="24"/>
          <w:szCs w:val="24"/>
        </w:rPr>
        <w:t>W "Zasadach zlecania i rozliczania z realizacji zadań powierzonych do wykonania spółce Poznańskie Inwestycje Miejskie sp. o.o." (zwanych dalej Zasadami), stanowiących załącznik do zarządzenia Nr 587/2020/P Prezydenta Miasta Poznania z dnia 3 sierpnia 2020 r. w</w:t>
      </w:r>
      <w:r w:rsidR="00A47C72">
        <w:rPr>
          <w:color w:val="000000"/>
          <w:sz w:val="24"/>
          <w:szCs w:val="24"/>
        </w:rPr>
        <w:t> </w:t>
      </w:r>
      <w:r w:rsidRPr="006D5BFB">
        <w:rPr>
          <w:color w:val="000000"/>
          <w:sz w:val="24"/>
          <w:szCs w:val="24"/>
        </w:rPr>
        <w:t>sprawie zasad zlecania i rozliczania z realizacji zadań powierzonych do wykonania spółce Poznańskie Inwestycje Miejskie sp. z o.o., zmienionego zarządzeniem Nr 567/2021/P Prezydenta Miasta Poznania z dnia 7 lipca 2021 r. oraz zarządzeniem Nr 866/2021/P Prezydenta Miasta Poznania z dnia 17 listopada 2021 r., § 4 ust. 1 załącznika nr 4 do Zasad pn. „Regulamin wynagradzania spółki Poznańskie Inwestycje Miejskie sp. z o.o. za wykonywanie Działań Powierzonych” otrzymuje brzmienie:</w:t>
      </w:r>
    </w:p>
    <w:p w:rsidR="006D5BFB" w:rsidRPr="006D5BFB" w:rsidRDefault="006D5BFB" w:rsidP="006D5BFB">
      <w:pPr>
        <w:autoSpaceDE w:val="0"/>
        <w:autoSpaceDN w:val="0"/>
        <w:adjustRightInd w:val="0"/>
        <w:spacing w:line="360" w:lineRule="auto"/>
        <w:jc w:val="both"/>
        <w:rPr>
          <w:color w:val="000000"/>
          <w:sz w:val="24"/>
          <w:szCs w:val="24"/>
        </w:rPr>
      </w:pPr>
    </w:p>
    <w:p w:rsidR="006D5BFB" w:rsidRPr="006D5BFB" w:rsidRDefault="006D5BFB" w:rsidP="006D5BFB">
      <w:pPr>
        <w:autoSpaceDE w:val="0"/>
        <w:autoSpaceDN w:val="0"/>
        <w:adjustRightInd w:val="0"/>
        <w:spacing w:line="360" w:lineRule="auto"/>
        <w:jc w:val="both"/>
        <w:rPr>
          <w:b/>
          <w:bCs/>
          <w:color w:val="000000"/>
          <w:sz w:val="24"/>
          <w:szCs w:val="24"/>
        </w:rPr>
      </w:pPr>
      <w:r w:rsidRPr="006D5BFB">
        <w:rPr>
          <w:color w:val="000000"/>
          <w:sz w:val="24"/>
          <w:szCs w:val="24"/>
        </w:rPr>
        <w:t>"</w:t>
      </w:r>
      <w:r w:rsidRPr="006D5BFB">
        <w:rPr>
          <w:b/>
          <w:bCs/>
          <w:color w:val="000000"/>
          <w:sz w:val="24"/>
          <w:szCs w:val="24"/>
        </w:rPr>
        <w:t xml:space="preserve">§ 4 </w:t>
      </w:r>
    </w:p>
    <w:p w:rsidR="006D5BFB" w:rsidRPr="006D5BFB" w:rsidRDefault="006D5BFB" w:rsidP="006D5BFB">
      <w:pPr>
        <w:tabs>
          <w:tab w:val="left" w:pos="0"/>
        </w:tabs>
        <w:autoSpaceDE w:val="0"/>
        <w:autoSpaceDN w:val="0"/>
        <w:adjustRightInd w:val="0"/>
        <w:spacing w:line="360" w:lineRule="auto"/>
        <w:jc w:val="both"/>
        <w:rPr>
          <w:b/>
          <w:bCs/>
          <w:color w:val="000000"/>
          <w:sz w:val="24"/>
          <w:szCs w:val="24"/>
        </w:rPr>
      </w:pPr>
      <w:r w:rsidRPr="006D5BFB">
        <w:rPr>
          <w:b/>
          <w:bCs/>
          <w:color w:val="000000"/>
          <w:sz w:val="24"/>
          <w:szCs w:val="24"/>
        </w:rPr>
        <w:t xml:space="preserve">Płatność Wynagrodzenia </w:t>
      </w:r>
    </w:p>
    <w:p w:rsidR="006D5BFB" w:rsidRPr="006D5BFB" w:rsidRDefault="006D5BFB" w:rsidP="006D5BFB">
      <w:pPr>
        <w:tabs>
          <w:tab w:val="left" w:pos="-210"/>
        </w:tabs>
        <w:autoSpaceDE w:val="0"/>
        <w:autoSpaceDN w:val="0"/>
        <w:adjustRightInd w:val="0"/>
        <w:spacing w:line="360" w:lineRule="auto"/>
        <w:jc w:val="both"/>
        <w:rPr>
          <w:color w:val="000000"/>
          <w:sz w:val="24"/>
          <w:szCs w:val="24"/>
        </w:rPr>
      </w:pPr>
      <w:r w:rsidRPr="006D5BFB">
        <w:rPr>
          <w:color w:val="000000"/>
          <w:sz w:val="24"/>
          <w:szCs w:val="24"/>
        </w:rPr>
        <w:t>1. Ustala się następujące zasady płatności Wynagrodzenia za Zadania Inwestycyjne:</w:t>
      </w:r>
    </w:p>
    <w:p w:rsidR="006D5BFB" w:rsidRPr="006D5BFB" w:rsidRDefault="006D5BFB" w:rsidP="006D5BFB">
      <w:pPr>
        <w:tabs>
          <w:tab w:val="left" w:pos="-210"/>
          <w:tab w:val="left" w:pos="152"/>
        </w:tabs>
        <w:autoSpaceDE w:val="0"/>
        <w:autoSpaceDN w:val="0"/>
        <w:adjustRightInd w:val="0"/>
        <w:spacing w:line="360" w:lineRule="auto"/>
        <w:jc w:val="both"/>
        <w:rPr>
          <w:color w:val="000000"/>
          <w:sz w:val="24"/>
          <w:szCs w:val="24"/>
        </w:rPr>
      </w:pPr>
      <w:r w:rsidRPr="006D5BFB">
        <w:rPr>
          <w:color w:val="000000"/>
          <w:sz w:val="24"/>
          <w:szCs w:val="24"/>
        </w:rPr>
        <w:lastRenderedPageBreak/>
        <w:t>1)</w:t>
      </w:r>
      <w:r w:rsidRPr="006D5BFB">
        <w:rPr>
          <w:color w:val="000000"/>
          <w:sz w:val="24"/>
          <w:szCs w:val="24"/>
        </w:rPr>
        <w:tab/>
        <w:t>Fakturowanie wynagrodzenia należnego Spółce następuje w sześciu okresach rozliczeniowych w ciągu roku: styczeń-luty, marzec-kwiecień, maj-czerwiec, lipiec-sierpień, wrzesień-październik, listopad-grudzień, z zastrzeżeniem pkt 7. Do 5 dnia roboczego miesiąca następującego po zakończonym dwumiesięcznym okresie rozliczeniowym każdego Roku Rozliczeniowego Spółka przedstawia Dysponentom wyciąg z RKPD, wraz z fakturą dotyczącą Wynagrodzenia za dany dwumiesięczny okres rozliczeniowy w zakresie poszczególnych Zadań Inwestycyjnych zgodnie z procedurą określoną w § 3 ust. 3. W</w:t>
      </w:r>
      <w:r w:rsidR="00A47C72">
        <w:rPr>
          <w:color w:val="000000"/>
          <w:sz w:val="24"/>
          <w:szCs w:val="24"/>
        </w:rPr>
        <w:t> </w:t>
      </w:r>
      <w:r w:rsidRPr="006D5BFB">
        <w:rPr>
          <w:color w:val="000000"/>
          <w:sz w:val="24"/>
          <w:szCs w:val="24"/>
        </w:rPr>
        <w:t>przypadku okresu rozliczeniowego listopad-grudzień Spółka przedstawia Dysponentom wyżej wymienione dokumenty do ostatniego dnia roboczego przed 10 grudnia danego roku;</w:t>
      </w:r>
    </w:p>
    <w:p w:rsidR="006D5BFB" w:rsidRPr="006D5BFB" w:rsidRDefault="006D5BFB" w:rsidP="006D5BFB">
      <w:pPr>
        <w:tabs>
          <w:tab w:val="left" w:pos="-210"/>
          <w:tab w:val="left" w:pos="152"/>
        </w:tabs>
        <w:autoSpaceDE w:val="0"/>
        <w:autoSpaceDN w:val="0"/>
        <w:adjustRightInd w:val="0"/>
        <w:spacing w:line="360" w:lineRule="auto"/>
        <w:jc w:val="both"/>
        <w:rPr>
          <w:color w:val="000000"/>
          <w:sz w:val="24"/>
          <w:szCs w:val="24"/>
        </w:rPr>
      </w:pPr>
      <w:r w:rsidRPr="006D5BFB">
        <w:rPr>
          <w:color w:val="000000"/>
          <w:sz w:val="24"/>
          <w:szCs w:val="24"/>
        </w:rPr>
        <w:t>2)</w:t>
      </w:r>
      <w:r w:rsidRPr="006D5BFB">
        <w:rPr>
          <w:color w:val="000000"/>
          <w:sz w:val="24"/>
          <w:szCs w:val="24"/>
        </w:rPr>
        <w:tab/>
        <w:t xml:space="preserve">Spółka wystawia fakturę na kwotę Wynagrodzenia, wynikającą z zaakceptowanego wyciągu z RKPD przekazywanego Dysponentowi zgodnie z pkt 1, powiększoną o podatek VAT w obowiązującej stawce; </w:t>
      </w:r>
    </w:p>
    <w:p w:rsidR="006D5BFB" w:rsidRPr="006D5BFB" w:rsidRDefault="006D5BFB" w:rsidP="006D5BFB">
      <w:pPr>
        <w:tabs>
          <w:tab w:val="left" w:pos="-210"/>
          <w:tab w:val="left" w:pos="152"/>
        </w:tabs>
        <w:autoSpaceDE w:val="0"/>
        <w:autoSpaceDN w:val="0"/>
        <w:adjustRightInd w:val="0"/>
        <w:spacing w:line="360" w:lineRule="auto"/>
        <w:jc w:val="both"/>
        <w:rPr>
          <w:color w:val="000000"/>
          <w:sz w:val="24"/>
          <w:szCs w:val="24"/>
        </w:rPr>
      </w:pPr>
      <w:r w:rsidRPr="006D5BFB">
        <w:rPr>
          <w:color w:val="000000"/>
          <w:sz w:val="24"/>
          <w:szCs w:val="24"/>
        </w:rPr>
        <w:t>3)</w:t>
      </w:r>
      <w:r w:rsidRPr="006D5BFB">
        <w:rPr>
          <w:color w:val="000000"/>
          <w:sz w:val="24"/>
          <w:szCs w:val="24"/>
        </w:rPr>
        <w:tab/>
        <w:t>Faktura wystawiona przez Spółkę po zakończeniu ostatniego okresu rozliczeniowego danego Roku Rozliczeniowego lub na koniec realizacji Zadania Inwestycyjnego w danym Roku Rozliczeniowym obejmuje Wynagrodzenie i Akceptowalny Zysk przypadający na dane Zadanie Inwestycyjne powiększone o podatek VAT w obowiązującej stawce;</w:t>
      </w:r>
    </w:p>
    <w:p w:rsidR="006D5BFB" w:rsidRPr="006D5BFB" w:rsidRDefault="006D5BFB" w:rsidP="006D5BFB">
      <w:pPr>
        <w:tabs>
          <w:tab w:val="left" w:pos="152"/>
        </w:tabs>
        <w:autoSpaceDE w:val="0"/>
        <w:autoSpaceDN w:val="0"/>
        <w:adjustRightInd w:val="0"/>
        <w:spacing w:line="360" w:lineRule="auto"/>
        <w:jc w:val="both"/>
        <w:rPr>
          <w:color w:val="000000"/>
          <w:sz w:val="24"/>
          <w:szCs w:val="24"/>
        </w:rPr>
      </w:pPr>
      <w:r w:rsidRPr="006D5BFB">
        <w:rPr>
          <w:color w:val="000000"/>
          <w:sz w:val="24"/>
          <w:szCs w:val="24"/>
        </w:rPr>
        <w:t>4)</w:t>
      </w:r>
      <w:r w:rsidRPr="006D5BFB">
        <w:rPr>
          <w:color w:val="000000"/>
          <w:sz w:val="24"/>
          <w:szCs w:val="24"/>
        </w:rPr>
        <w:tab/>
        <w:t>W przypadku stwierdzenia przez Dysponenta niezgodności w treści wyciągu z RKPD Dysponent, w terminie 5 dni roboczych od jego otrzymania, wzywa Spółkę do jego niezwłocznego uzupełnienia. Spółka powinna dokonać uzupełnienia w terminie 5 dni roboczych od otrzymania wezwania. Brak wezwania do uzupełnienia oznacza akceptację wyciągu z RKPD przez Dysponenta;</w:t>
      </w:r>
    </w:p>
    <w:p w:rsidR="006D5BFB" w:rsidRPr="006D5BFB" w:rsidRDefault="006D5BFB" w:rsidP="006D5BFB">
      <w:pPr>
        <w:tabs>
          <w:tab w:val="left" w:pos="152"/>
        </w:tabs>
        <w:autoSpaceDE w:val="0"/>
        <w:autoSpaceDN w:val="0"/>
        <w:adjustRightInd w:val="0"/>
        <w:spacing w:line="360" w:lineRule="auto"/>
        <w:jc w:val="both"/>
        <w:rPr>
          <w:color w:val="000000"/>
          <w:sz w:val="24"/>
          <w:szCs w:val="24"/>
        </w:rPr>
      </w:pPr>
      <w:r w:rsidRPr="006D5BFB">
        <w:rPr>
          <w:color w:val="000000"/>
          <w:sz w:val="24"/>
          <w:szCs w:val="24"/>
        </w:rPr>
        <w:t>5)</w:t>
      </w:r>
      <w:r w:rsidRPr="006D5BFB">
        <w:rPr>
          <w:color w:val="000000"/>
          <w:sz w:val="24"/>
          <w:szCs w:val="24"/>
        </w:rPr>
        <w:tab/>
        <w:t>W przypadku odchyleń w czasie realizacji poszczególnych Zadań Inwestycyjnych oraz w przypadku braku zrealizowania przez Spółkę zaplanowanych na dany okres efektów rzeczowych bądź braku terminowego realizowania poleceń Dysponenta, Dysponent może wstrzymać odpowiednio część lub całość Wynagrodzenia, przy czym Spółka nie odpowiada za odchylenia powstałe w związku ze zmianami w prawie, działaniem siły wyższej czy też związane z działaniem Miasta, w tym związane z działaniami określonymi w § 4 ust. 15 Zasad;</w:t>
      </w:r>
    </w:p>
    <w:p w:rsidR="006D5BFB" w:rsidRPr="006D5BFB" w:rsidRDefault="006D5BFB" w:rsidP="006D5BFB">
      <w:pPr>
        <w:tabs>
          <w:tab w:val="left" w:pos="152"/>
        </w:tabs>
        <w:autoSpaceDE w:val="0"/>
        <w:autoSpaceDN w:val="0"/>
        <w:adjustRightInd w:val="0"/>
        <w:spacing w:line="360" w:lineRule="auto"/>
        <w:jc w:val="both"/>
        <w:rPr>
          <w:color w:val="000000"/>
          <w:sz w:val="24"/>
          <w:szCs w:val="24"/>
        </w:rPr>
      </w:pPr>
      <w:r w:rsidRPr="006D5BFB">
        <w:rPr>
          <w:color w:val="000000"/>
          <w:sz w:val="24"/>
          <w:szCs w:val="24"/>
        </w:rPr>
        <w:t>6)</w:t>
      </w:r>
      <w:r w:rsidRPr="006D5BFB">
        <w:rPr>
          <w:color w:val="000000"/>
          <w:sz w:val="24"/>
          <w:szCs w:val="24"/>
        </w:rPr>
        <w:tab/>
        <w:t xml:space="preserve">W przypadku wstrzymania Wynagrodzenia przez Dysponenta, zgodnie z pkt 5, Spółka wystawia odpowiednią fakturę korygującą; </w:t>
      </w:r>
    </w:p>
    <w:p w:rsidR="006D5BFB" w:rsidRPr="006D5BFB" w:rsidRDefault="006D5BFB" w:rsidP="006D5BFB">
      <w:pPr>
        <w:tabs>
          <w:tab w:val="left" w:pos="152"/>
        </w:tabs>
        <w:autoSpaceDE w:val="0"/>
        <w:autoSpaceDN w:val="0"/>
        <w:adjustRightInd w:val="0"/>
        <w:spacing w:line="360" w:lineRule="auto"/>
        <w:jc w:val="both"/>
        <w:rPr>
          <w:color w:val="000000"/>
          <w:sz w:val="24"/>
          <w:szCs w:val="24"/>
        </w:rPr>
      </w:pPr>
      <w:r w:rsidRPr="006D5BFB">
        <w:rPr>
          <w:color w:val="000000"/>
          <w:sz w:val="24"/>
          <w:szCs w:val="24"/>
        </w:rPr>
        <w:t>7)</w:t>
      </w:r>
      <w:r w:rsidRPr="006D5BFB">
        <w:rPr>
          <w:color w:val="000000"/>
          <w:sz w:val="24"/>
          <w:szCs w:val="24"/>
        </w:rPr>
        <w:tab/>
        <w:t>Faktura końcowa obejmująca rozliczenie ostatniej płatności 2/12 Wynagrodzenia może zostać wystawiona po podpisaniu Protokołu Odbioru Końcowego z Wykonawcą, nie później niż 21 dni roboczych przed wystawieniem Dokumentacji Finalizującej Zadanie;</w:t>
      </w:r>
    </w:p>
    <w:p w:rsidR="006D5BFB" w:rsidRDefault="006D5BFB" w:rsidP="006D5BFB">
      <w:pPr>
        <w:tabs>
          <w:tab w:val="right" w:leader="dot" w:pos="7371"/>
          <w:tab w:val="left" w:leader="dot" w:pos="8505"/>
        </w:tabs>
        <w:spacing w:line="360" w:lineRule="auto"/>
        <w:jc w:val="both"/>
        <w:rPr>
          <w:color w:val="000000"/>
          <w:sz w:val="24"/>
          <w:szCs w:val="24"/>
        </w:rPr>
      </w:pPr>
      <w:r w:rsidRPr="006D5BFB">
        <w:rPr>
          <w:color w:val="000000"/>
          <w:sz w:val="24"/>
          <w:szCs w:val="24"/>
        </w:rPr>
        <w:lastRenderedPageBreak/>
        <w:t>8)</w:t>
      </w:r>
      <w:r w:rsidRPr="006D5BFB">
        <w:rPr>
          <w:color w:val="000000"/>
          <w:sz w:val="24"/>
          <w:szCs w:val="24"/>
        </w:rPr>
        <w:tab/>
        <w:t>Faktury wystawiane przez Spółkę są płatne w terminie do 21 dni od daty ich otrzymania przez Dysponenta.".</w:t>
      </w:r>
    </w:p>
    <w:p w:rsidR="006D5BFB" w:rsidRDefault="006D5BFB" w:rsidP="006D5BFB">
      <w:pPr>
        <w:tabs>
          <w:tab w:val="right" w:leader="dot" w:pos="7371"/>
          <w:tab w:val="left" w:leader="dot" w:pos="8505"/>
        </w:tabs>
        <w:spacing w:line="360" w:lineRule="auto"/>
        <w:jc w:val="both"/>
        <w:rPr>
          <w:color w:val="000000"/>
          <w:sz w:val="24"/>
        </w:rPr>
      </w:pPr>
    </w:p>
    <w:p w:rsidR="006D5BFB" w:rsidRDefault="006D5BFB" w:rsidP="006D5BFB">
      <w:pPr>
        <w:keepNext/>
        <w:tabs>
          <w:tab w:val="right" w:leader="dot" w:pos="7371"/>
          <w:tab w:val="left" w:leader="dot" w:pos="8505"/>
        </w:tabs>
        <w:spacing w:line="360" w:lineRule="auto"/>
        <w:jc w:val="center"/>
        <w:rPr>
          <w:b/>
          <w:color w:val="000000"/>
          <w:sz w:val="24"/>
        </w:rPr>
      </w:pPr>
      <w:r>
        <w:rPr>
          <w:b/>
          <w:color w:val="000000"/>
          <w:sz w:val="24"/>
        </w:rPr>
        <w:t>§ 2</w:t>
      </w:r>
    </w:p>
    <w:p w:rsidR="006D5BFB" w:rsidRDefault="006D5BFB" w:rsidP="006D5BFB">
      <w:pPr>
        <w:keepNext/>
        <w:tabs>
          <w:tab w:val="right" w:leader="dot" w:pos="7371"/>
          <w:tab w:val="left" w:leader="dot" w:pos="8505"/>
        </w:tabs>
        <w:spacing w:line="360" w:lineRule="auto"/>
        <w:rPr>
          <w:color w:val="000000"/>
          <w:sz w:val="24"/>
        </w:rPr>
      </w:pPr>
    </w:p>
    <w:p w:rsidR="006D5BFB" w:rsidRDefault="006D5BFB" w:rsidP="006D5BFB">
      <w:pPr>
        <w:tabs>
          <w:tab w:val="right" w:leader="dot" w:pos="7371"/>
          <w:tab w:val="left" w:leader="dot" w:pos="8505"/>
        </w:tabs>
        <w:spacing w:line="360" w:lineRule="auto"/>
        <w:jc w:val="both"/>
        <w:rPr>
          <w:color w:val="000000"/>
          <w:sz w:val="24"/>
          <w:szCs w:val="24"/>
        </w:rPr>
      </w:pPr>
      <w:bookmarkStart w:id="4" w:name="z2"/>
      <w:bookmarkEnd w:id="4"/>
      <w:r w:rsidRPr="006D5BFB">
        <w:rPr>
          <w:color w:val="000000"/>
          <w:sz w:val="24"/>
          <w:szCs w:val="24"/>
        </w:rPr>
        <w:t>Wykonanie zarządzenia powierza się dyrektorom wydziałów Urzędu Miasta Poznania, kierownikom miejskich jednostek organizacyjnych i spółce Poznańskie Inwestycje Miejskie sp. z o.o.</w:t>
      </w:r>
    </w:p>
    <w:p w:rsidR="006D5BFB" w:rsidRDefault="006D5BFB" w:rsidP="006D5BFB">
      <w:pPr>
        <w:tabs>
          <w:tab w:val="right" w:leader="dot" w:pos="7371"/>
          <w:tab w:val="left" w:leader="dot" w:pos="8505"/>
        </w:tabs>
        <w:spacing w:line="360" w:lineRule="auto"/>
        <w:jc w:val="both"/>
        <w:rPr>
          <w:color w:val="000000"/>
          <w:sz w:val="24"/>
        </w:rPr>
      </w:pPr>
    </w:p>
    <w:p w:rsidR="006D5BFB" w:rsidRDefault="006D5BFB" w:rsidP="006D5BFB">
      <w:pPr>
        <w:keepNext/>
        <w:tabs>
          <w:tab w:val="right" w:leader="dot" w:pos="7371"/>
          <w:tab w:val="left" w:leader="dot" w:pos="8505"/>
        </w:tabs>
        <w:spacing w:line="360" w:lineRule="auto"/>
        <w:jc w:val="center"/>
        <w:rPr>
          <w:b/>
          <w:color w:val="000000"/>
          <w:sz w:val="24"/>
        </w:rPr>
      </w:pPr>
      <w:r>
        <w:rPr>
          <w:b/>
          <w:color w:val="000000"/>
          <w:sz w:val="24"/>
        </w:rPr>
        <w:t>§ 3</w:t>
      </w:r>
    </w:p>
    <w:p w:rsidR="006D5BFB" w:rsidRDefault="006D5BFB" w:rsidP="006D5BFB">
      <w:pPr>
        <w:keepNext/>
        <w:tabs>
          <w:tab w:val="right" w:leader="dot" w:pos="7371"/>
          <w:tab w:val="left" w:leader="dot" w:pos="8505"/>
        </w:tabs>
        <w:spacing w:line="360" w:lineRule="auto"/>
        <w:rPr>
          <w:color w:val="000000"/>
          <w:sz w:val="24"/>
        </w:rPr>
      </w:pPr>
    </w:p>
    <w:p w:rsidR="006D5BFB" w:rsidRDefault="006D5BFB" w:rsidP="006D5BFB">
      <w:pPr>
        <w:tabs>
          <w:tab w:val="right" w:leader="dot" w:pos="7371"/>
          <w:tab w:val="left" w:leader="dot" w:pos="8505"/>
        </w:tabs>
        <w:spacing w:line="360" w:lineRule="auto"/>
        <w:jc w:val="both"/>
        <w:rPr>
          <w:color w:val="000000"/>
          <w:sz w:val="24"/>
          <w:szCs w:val="24"/>
        </w:rPr>
      </w:pPr>
      <w:bookmarkStart w:id="5" w:name="z3"/>
      <w:bookmarkEnd w:id="5"/>
      <w:r w:rsidRPr="006D5BFB">
        <w:rPr>
          <w:color w:val="000000"/>
          <w:sz w:val="24"/>
          <w:szCs w:val="24"/>
        </w:rPr>
        <w:t>Zarządzenie wchodzi w życie z dniem 1 stycznia 2023 r.</w:t>
      </w:r>
    </w:p>
    <w:p w:rsidR="006D5BFB" w:rsidRDefault="006D5BFB" w:rsidP="006D5BFB">
      <w:pPr>
        <w:tabs>
          <w:tab w:val="right" w:leader="dot" w:pos="7371"/>
          <w:tab w:val="left" w:leader="dot" w:pos="8505"/>
        </w:tabs>
        <w:spacing w:line="360" w:lineRule="auto"/>
        <w:jc w:val="both"/>
        <w:rPr>
          <w:color w:val="000000"/>
          <w:sz w:val="24"/>
        </w:rPr>
      </w:pPr>
    </w:p>
    <w:p w:rsidR="006D5BFB" w:rsidRDefault="006D5BFB" w:rsidP="006D5BFB">
      <w:pPr>
        <w:keepNext/>
        <w:tabs>
          <w:tab w:val="right" w:leader="dot" w:pos="7371"/>
          <w:tab w:val="left" w:leader="dot" w:pos="8505"/>
        </w:tabs>
        <w:spacing w:line="360" w:lineRule="auto"/>
        <w:jc w:val="center"/>
        <w:rPr>
          <w:color w:val="000000"/>
          <w:sz w:val="24"/>
        </w:rPr>
      </w:pPr>
      <w:r>
        <w:rPr>
          <w:color w:val="000000"/>
          <w:sz w:val="24"/>
        </w:rPr>
        <w:t>PREZYDENT MIASTA POZNANIA</w:t>
      </w:r>
    </w:p>
    <w:p w:rsidR="006D5BFB" w:rsidRPr="006D5BFB" w:rsidRDefault="006D5BFB" w:rsidP="006D5BFB">
      <w:pPr>
        <w:keepNext/>
        <w:tabs>
          <w:tab w:val="right" w:leader="dot" w:pos="7371"/>
          <w:tab w:val="left" w:leader="dot" w:pos="8505"/>
        </w:tabs>
        <w:spacing w:line="360" w:lineRule="auto"/>
        <w:jc w:val="center"/>
        <w:rPr>
          <w:color w:val="000000"/>
          <w:sz w:val="24"/>
        </w:rPr>
      </w:pPr>
      <w:r>
        <w:rPr>
          <w:color w:val="000000"/>
          <w:sz w:val="24"/>
        </w:rPr>
        <w:t>(-) Jacek Jaśkowiak</w:t>
      </w:r>
    </w:p>
    <w:sectPr w:rsidR="006D5BFB" w:rsidRPr="006D5BFB" w:rsidSect="006D5BFB">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BFB" w:rsidRDefault="006D5BFB">
      <w:r>
        <w:separator/>
      </w:r>
    </w:p>
  </w:endnote>
  <w:endnote w:type="continuationSeparator" w:id="0">
    <w:p w:rsidR="006D5BFB" w:rsidRDefault="006D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BFB" w:rsidRDefault="006D5BFB">
      <w:r>
        <w:separator/>
      </w:r>
    </w:p>
  </w:footnote>
  <w:footnote w:type="continuationSeparator" w:id="0">
    <w:p w:rsidR="006D5BFB" w:rsidRDefault="006D5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0 grudnia 2022r."/>
    <w:docVar w:name="AktNr" w:val="993/2022/P"/>
    <w:docVar w:name="Sprawa" w:val="zarządzenie w sprawie zasad zlecania i rozliczania z realizacji zadań powierzonych do wykonania spółce Poznańskie Inwestycje Miejskie sp. z o.o."/>
  </w:docVars>
  <w:rsids>
    <w:rsidRoot w:val="006D5BFB"/>
    <w:rsid w:val="0003528D"/>
    <w:rsid w:val="00072485"/>
    <w:rsid w:val="000A5BC9"/>
    <w:rsid w:val="000B2C44"/>
    <w:rsid w:val="000E2E12"/>
    <w:rsid w:val="00167A3B"/>
    <w:rsid w:val="0017594F"/>
    <w:rsid w:val="001E3D52"/>
    <w:rsid w:val="00326E26"/>
    <w:rsid w:val="003679C6"/>
    <w:rsid w:val="004A64F6"/>
    <w:rsid w:val="004C5AE8"/>
    <w:rsid w:val="00565809"/>
    <w:rsid w:val="005A6C39"/>
    <w:rsid w:val="005C6BB7"/>
    <w:rsid w:val="005E453F"/>
    <w:rsid w:val="0065477E"/>
    <w:rsid w:val="006A2966"/>
    <w:rsid w:val="006B21B2"/>
    <w:rsid w:val="006D5BFB"/>
    <w:rsid w:val="00760F01"/>
    <w:rsid w:val="00853287"/>
    <w:rsid w:val="00860838"/>
    <w:rsid w:val="009773E3"/>
    <w:rsid w:val="009865C7"/>
    <w:rsid w:val="00A47C72"/>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Projekt_PZPM_zmiana</Template>
  <TotalTime>0</TotalTime>
  <Pages>3</Pages>
  <Words>638</Words>
  <Characters>3940</Characters>
  <Application>Microsoft Office Word</Application>
  <DocSecurity>0</DocSecurity>
  <Lines>83</Lines>
  <Paragraphs>29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2022-12-21T09:33:00Z</dcterms:created>
  <dcterms:modified xsi:type="dcterms:W3CDTF">2022-12-21T09:33:00Z</dcterms:modified>
</cp:coreProperties>
</file>