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B37A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B37A9">
              <w:rPr>
                <w:b/>
              </w:rPr>
              <w:fldChar w:fldCharType="separate"/>
            </w:r>
            <w:r w:rsidR="006B37A9">
              <w:rPr>
                <w:b/>
              </w:rPr>
              <w:t>ogłoszenia wykazu nieruchomości stanowiącej własność Miasta Poznania, położonej w Poznaniu przy ul. Rawickiej,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B37A9" w:rsidRDefault="00FA63B5" w:rsidP="006B37A9">
      <w:pPr>
        <w:spacing w:line="360" w:lineRule="auto"/>
        <w:jc w:val="both"/>
      </w:pPr>
      <w:bookmarkStart w:id="2" w:name="z1"/>
      <w:bookmarkEnd w:id="2"/>
    </w:p>
    <w:p w:rsidR="006B37A9" w:rsidRPr="006B37A9" w:rsidRDefault="006B37A9" w:rsidP="006B37A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B37A9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6B37A9" w:rsidRPr="006B37A9" w:rsidRDefault="006B37A9" w:rsidP="006B37A9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6B37A9">
        <w:rPr>
          <w:color w:val="000000"/>
          <w:szCs w:val="20"/>
        </w:rPr>
        <w:t>Zgodnie z miejscowym planem zagospodarowania przestrzennego „Fort IX” w Poznaniu, zatwierdzonym uchwałą Nr LXII/1139/VII/2018 Rady Miasta Poznania z dnia 6 lutego 2018 r. (</w:t>
      </w:r>
      <w:proofErr w:type="spellStart"/>
      <w:r w:rsidRPr="006B37A9">
        <w:rPr>
          <w:color w:val="000000"/>
          <w:szCs w:val="20"/>
        </w:rPr>
        <w:t>Dz.U.W.W</w:t>
      </w:r>
      <w:proofErr w:type="spellEnd"/>
      <w:r w:rsidRPr="006B37A9">
        <w:rPr>
          <w:color w:val="000000"/>
          <w:szCs w:val="20"/>
        </w:rPr>
        <w:t>. z 2018 r. poz. 1448), przedmiotowa nieruchomość znajduje się na obszarze oznaczonym symbolem:</w:t>
      </w:r>
      <w:r w:rsidRPr="006B37A9">
        <w:rPr>
          <w:b/>
          <w:bCs/>
          <w:i/>
          <w:iCs/>
          <w:color w:val="000000"/>
          <w:szCs w:val="20"/>
        </w:rPr>
        <w:t xml:space="preserve"> 24 MN - teren zabudowy mieszkaniowej jednorodzinnej</w:t>
      </w:r>
      <w:r w:rsidRPr="006B37A9">
        <w:rPr>
          <w:i/>
          <w:iCs/>
          <w:color w:val="000000"/>
          <w:szCs w:val="20"/>
        </w:rPr>
        <w:t>.</w:t>
      </w:r>
      <w:r w:rsidRPr="006B37A9">
        <w:rPr>
          <w:b/>
          <w:bCs/>
          <w:i/>
          <w:iCs/>
          <w:color w:val="000000"/>
          <w:szCs w:val="20"/>
        </w:rPr>
        <w:t xml:space="preserve"> </w:t>
      </w:r>
    </w:p>
    <w:p w:rsidR="006B37A9" w:rsidRPr="006B37A9" w:rsidRDefault="006B37A9" w:rsidP="006B37A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B37A9">
        <w:rPr>
          <w:color w:val="000000"/>
          <w:szCs w:val="20"/>
        </w:rPr>
        <w:t>Powyższe potwierdził Wydział Urbanistyki i Architektury Urzędu Miasta Poznania w piśmie nr UA-IV.670.14.2021 z dnia 5 marca 2021 r.</w:t>
      </w:r>
    </w:p>
    <w:p w:rsidR="006B37A9" w:rsidRPr="006B37A9" w:rsidRDefault="006B37A9" w:rsidP="006B37A9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6B37A9">
        <w:rPr>
          <w:color w:val="000000"/>
          <w:szCs w:val="20"/>
        </w:rPr>
        <w:t xml:space="preserve">Zgodnie z art. 37 ust. 2 pkt 6 ustawy z dnia 21 sierpnia 1997 r. o gospodarce nieruchomościami (Dz. U. z 2023 r. poz. 344) </w:t>
      </w:r>
      <w:r w:rsidRPr="006B37A9">
        <w:rPr>
          <w:i/>
          <w:iCs/>
          <w:color w:val="000000"/>
          <w:szCs w:val="20"/>
        </w:rPr>
        <w:t xml:space="preserve">nieruchomość jest zbywana w drodze bezprzetargowej, jeżeli </w:t>
      </w:r>
      <w:r w:rsidRPr="006B37A9">
        <w:rPr>
          <w:color w:val="000000"/>
          <w:szCs w:val="20"/>
        </w:rPr>
        <w:t>(...)</w:t>
      </w:r>
      <w:r w:rsidRPr="006B37A9">
        <w:rPr>
          <w:i/>
          <w:iCs/>
          <w:color w:val="000000"/>
          <w:szCs w:val="20"/>
        </w:rPr>
        <w:t xml:space="preserve"> 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6B37A9" w:rsidRPr="006B37A9" w:rsidRDefault="006B37A9" w:rsidP="006B37A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B37A9">
        <w:rPr>
          <w:color w:val="000000"/>
          <w:szCs w:val="20"/>
        </w:rPr>
        <w:t>Prezydent Miasta Poznania wydał zarządzenie Nr 243/2019/P z dnia 11 marca 2019 r. w</w:t>
      </w:r>
      <w:r w:rsidR="008654A1">
        <w:rPr>
          <w:color w:val="000000"/>
          <w:szCs w:val="20"/>
        </w:rPr>
        <w:t> </w:t>
      </w:r>
      <w:r w:rsidRPr="006B37A9">
        <w:rPr>
          <w:color w:val="000000"/>
          <w:szCs w:val="20"/>
        </w:rPr>
        <w:t>sprawie określenia zasad realizacji art. 37 ust. 2 pkt 6 ustawy z dnia 21 sierpnia 1997 r. o</w:t>
      </w:r>
      <w:r w:rsidR="008654A1">
        <w:rPr>
          <w:color w:val="000000"/>
          <w:szCs w:val="20"/>
        </w:rPr>
        <w:t> </w:t>
      </w:r>
      <w:r w:rsidRPr="006B37A9">
        <w:rPr>
          <w:color w:val="000000"/>
          <w:szCs w:val="20"/>
        </w:rPr>
        <w:t>gospodarce nieruchomościami.</w:t>
      </w:r>
    </w:p>
    <w:p w:rsidR="006B37A9" w:rsidRPr="006B37A9" w:rsidRDefault="006B37A9" w:rsidP="006B37A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B37A9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6B37A9">
        <w:rPr>
          <w:b/>
          <w:bCs/>
          <w:color w:val="000000"/>
          <w:szCs w:val="20"/>
        </w:rPr>
        <w:t>–</w:t>
      </w:r>
      <w:r w:rsidRPr="006B37A9">
        <w:rPr>
          <w:color w:val="000000"/>
          <w:szCs w:val="20"/>
        </w:rPr>
        <w:t xml:space="preserve"> tzw. masek budowlanych. </w:t>
      </w:r>
    </w:p>
    <w:p w:rsidR="006B37A9" w:rsidRPr="006B37A9" w:rsidRDefault="006B37A9" w:rsidP="006B37A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B37A9">
        <w:rPr>
          <w:color w:val="000000"/>
          <w:szCs w:val="20"/>
        </w:rPr>
        <w:t>Zespół ds. masek budowlanych ustalił, że:</w:t>
      </w:r>
    </w:p>
    <w:p w:rsidR="006B37A9" w:rsidRPr="006B37A9" w:rsidRDefault="006B37A9" w:rsidP="006B37A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B37A9">
        <w:rPr>
          <w:b/>
          <w:bCs/>
          <w:color w:val="000000"/>
          <w:szCs w:val="20"/>
        </w:rPr>
        <w:lastRenderedPageBreak/>
        <w:t>–</w:t>
      </w:r>
      <w:r w:rsidRPr="006B37A9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6B37A9" w:rsidRPr="006B37A9" w:rsidRDefault="006B37A9" w:rsidP="006B37A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B37A9">
        <w:rPr>
          <w:b/>
          <w:bCs/>
          <w:color w:val="000000"/>
          <w:szCs w:val="20"/>
        </w:rPr>
        <w:t>–</w:t>
      </w:r>
      <w:r w:rsidRPr="006B37A9">
        <w:rPr>
          <w:color w:val="000000"/>
          <w:szCs w:val="20"/>
        </w:rPr>
        <w:t xml:space="preserve"> nieruchomość miejska jest niezbędna do poprawienia warunków zagospodarowania nieruchomości przyległej.</w:t>
      </w:r>
    </w:p>
    <w:p w:rsidR="006B37A9" w:rsidRPr="006B37A9" w:rsidRDefault="006B37A9" w:rsidP="006B37A9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6B37A9">
        <w:rPr>
          <w:color w:val="000000"/>
          <w:szCs w:val="20"/>
        </w:rPr>
        <w:t>Powyższe ustalenia Zespołu zaakceptował Zastępca Dyrektora Wydziału Gospodarki Nieruchomościami.</w:t>
      </w:r>
    </w:p>
    <w:p w:rsidR="006B37A9" w:rsidRPr="006B37A9" w:rsidRDefault="006B37A9" w:rsidP="006B37A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B37A9">
        <w:rPr>
          <w:color w:val="000000"/>
          <w:szCs w:val="20"/>
        </w:rPr>
        <w:t>Właściciel działki sąsiedniej jest zainteresowany nabyciem działki miejskiej, tj. 40/135, w</w:t>
      </w:r>
      <w:r w:rsidR="008654A1">
        <w:rPr>
          <w:color w:val="000000"/>
          <w:szCs w:val="20"/>
        </w:rPr>
        <w:t> </w:t>
      </w:r>
      <w:r w:rsidRPr="006B37A9">
        <w:rPr>
          <w:color w:val="000000"/>
          <w:szCs w:val="20"/>
        </w:rPr>
        <w:t>formie rat rocznych  na okres 5 lat.</w:t>
      </w:r>
    </w:p>
    <w:p w:rsidR="006B37A9" w:rsidRPr="006B37A9" w:rsidRDefault="006B37A9" w:rsidP="006B37A9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6B37A9">
        <w:rPr>
          <w:color w:val="000000"/>
          <w:szCs w:val="20"/>
        </w:rPr>
        <w:t xml:space="preserve">Na podstawie art. 70 ust. 2 ustawy z dnia 21 sierpnia 1997  r. o gospodarce nieruchomościami (Dz. U. z 2023 r. poz. 344): </w:t>
      </w:r>
      <w:r w:rsidRPr="006B37A9">
        <w:rPr>
          <w:i/>
          <w:iCs/>
          <w:color w:val="000000"/>
          <w:szCs w:val="20"/>
        </w:rPr>
        <w:t>Cena nieruchomości sprzedawanej w drodze bezprzetargowej lub w drodze rokowań, o których mowa w art. 37 ust. 2 i 3 oraz w art. 39 ust. 2, może zostać rozłożona na raty, na czas nie dłuższy niż 10 lat. Wierzytelność Skarbu Państwa lub jednostki samorządu terytorialnego w stosunku do nabywcy z tego tytułu podlega zabezpieczeniu, w</w:t>
      </w:r>
      <w:r w:rsidR="008654A1">
        <w:rPr>
          <w:i/>
          <w:iCs/>
          <w:color w:val="000000"/>
          <w:szCs w:val="20"/>
        </w:rPr>
        <w:t> </w:t>
      </w:r>
      <w:r w:rsidRPr="006B37A9">
        <w:rPr>
          <w:i/>
          <w:iCs/>
          <w:color w:val="000000"/>
          <w:szCs w:val="20"/>
        </w:rPr>
        <w:t>szczególności przez ustanowienie hipoteki. Pierwsza rata podlega zapłacie nie później niż do dnia zawarcia umowy przenoszącej własność nieruchomości, a następne raty wraz z</w:t>
      </w:r>
      <w:r w:rsidR="008654A1">
        <w:rPr>
          <w:i/>
          <w:iCs/>
          <w:color w:val="000000"/>
          <w:szCs w:val="20"/>
        </w:rPr>
        <w:t> </w:t>
      </w:r>
      <w:r w:rsidRPr="006B37A9">
        <w:rPr>
          <w:i/>
          <w:iCs/>
          <w:color w:val="000000"/>
          <w:szCs w:val="20"/>
        </w:rPr>
        <w:t xml:space="preserve">oprocentowaniem podlegają zapłacie w terminach ustalonych przez strony w umowie. </w:t>
      </w:r>
    </w:p>
    <w:p w:rsidR="006B37A9" w:rsidRPr="006B37A9" w:rsidRDefault="006B37A9" w:rsidP="006B37A9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6B37A9">
        <w:rPr>
          <w:color w:val="000000"/>
          <w:szCs w:val="20"/>
        </w:rPr>
        <w:t>Natomiast art. 70 ust. 3 ww. ustawy stanowi:</w:t>
      </w:r>
      <w:r w:rsidRPr="006B37A9">
        <w:rPr>
          <w:i/>
          <w:iCs/>
          <w:color w:val="000000"/>
          <w:szCs w:val="20"/>
        </w:rPr>
        <w:t xml:space="preserve"> Rozłożona na raty niespłacona część ceny podlega oprocentowaniu przy zastosowaniu stopy procentowej równej stopie redyskonta weksli  stosowanej przez Narodowy Bank Polski. </w:t>
      </w:r>
    </w:p>
    <w:p w:rsidR="006B37A9" w:rsidRPr="006B37A9" w:rsidRDefault="006B37A9" w:rsidP="006B37A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B37A9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6B37A9" w:rsidRPr="006B37A9" w:rsidRDefault="006B37A9" w:rsidP="006B37A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B37A9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8654A1">
        <w:rPr>
          <w:color w:val="000000"/>
          <w:szCs w:val="20"/>
        </w:rPr>
        <w:t> </w:t>
      </w:r>
      <w:r w:rsidRPr="006B37A9">
        <w:rPr>
          <w:color w:val="000000"/>
          <w:szCs w:val="20"/>
        </w:rPr>
        <w:t>zamieszczeniu tego wykazu podaje się do publicznej wiadomości poprzez ogłoszenie w</w:t>
      </w:r>
      <w:r w:rsidR="008654A1">
        <w:rPr>
          <w:color w:val="000000"/>
          <w:szCs w:val="20"/>
        </w:rPr>
        <w:t> </w:t>
      </w:r>
      <w:r w:rsidRPr="006B37A9">
        <w:rPr>
          <w:color w:val="000000"/>
          <w:szCs w:val="20"/>
        </w:rPr>
        <w:t>prasie lokalnej o zasięgu obejmującym co najmniej powiat, na terenie którego położona jest nieruchomość.</w:t>
      </w:r>
    </w:p>
    <w:p w:rsidR="006B37A9" w:rsidRDefault="006B37A9" w:rsidP="006B37A9">
      <w:pPr>
        <w:spacing w:line="360" w:lineRule="auto"/>
        <w:jc w:val="both"/>
        <w:rPr>
          <w:color w:val="000000"/>
          <w:szCs w:val="20"/>
        </w:rPr>
      </w:pPr>
      <w:r w:rsidRPr="006B37A9">
        <w:rPr>
          <w:color w:val="000000"/>
          <w:szCs w:val="20"/>
        </w:rPr>
        <w:t>Z uwagi na powyższe wydanie zarządzenia jest słuszne i uzasadnione.</w:t>
      </w:r>
    </w:p>
    <w:p w:rsidR="006B37A9" w:rsidRDefault="006B37A9" w:rsidP="006B37A9">
      <w:pPr>
        <w:spacing w:line="360" w:lineRule="auto"/>
        <w:jc w:val="both"/>
      </w:pPr>
    </w:p>
    <w:p w:rsidR="006B37A9" w:rsidRDefault="006B37A9" w:rsidP="006B37A9">
      <w:pPr>
        <w:keepNext/>
        <w:spacing w:line="360" w:lineRule="auto"/>
        <w:jc w:val="center"/>
      </w:pPr>
      <w:r>
        <w:t>DYREKTOR WYDZIAŁU</w:t>
      </w:r>
    </w:p>
    <w:p w:rsidR="006B37A9" w:rsidRPr="006B37A9" w:rsidRDefault="006B37A9" w:rsidP="006B37A9">
      <w:pPr>
        <w:keepNext/>
        <w:spacing w:line="360" w:lineRule="auto"/>
        <w:jc w:val="center"/>
      </w:pPr>
      <w:r>
        <w:t>(-) Magda Albińska</w:t>
      </w:r>
    </w:p>
    <w:sectPr w:rsidR="006B37A9" w:rsidRPr="006B37A9" w:rsidSect="006B37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7A9" w:rsidRDefault="006B37A9">
      <w:r>
        <w:separator/>
      </w:r>
    </w:p>
  </w:endnote>
  <w:endnote w:type="continuationSeparator" w:id="0">
    <w:p w:rsidR="006B37A9" w:rsidRDefault="006B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7A9" w:rsidRDefault="006B37A9">
      <w:r>
        <w:separator/>
      </w:r>
    </w:p>
  </w:footnote>
  <w:footnote w:type="continuationSeparator" w:id="0">
    <w:p w:rsidR="006B37A9" w:rsidRDefault="006B3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Rawickiej, przeznaczonej do sprzedaży w trybie bezprzetargowym."/>
  </w:docVars>
  <w:rsids>
    <w:rsidRoot w:val="006B37A9"/>
    <w:rsid w:val="000607A3"/>
    <w:rsid w:val="001B1D53"/>
    <w:rsid w:val="0022095A"/>
    <w:rsid w:val="002946C5"/>
    <w:rsid w:val="002C29F3"/>
    <w:rsid w:val="006B37A9"/>
    <w:rsid w:val="00796326"/>
    <w:rsid w:val="008654A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539</Words>
  <Characters>3392</Characters>
  <Application>Microsoft Office Word</Application>
  <DocSecurity>0</DocSecurity>
  <Lines>65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2023-06-01T10:37:00Z</dcterms:created>
  <dcterms:modified xsi:type="dcterms:W3CDTF">2023-06-01T10:37:00Z</dcterms:modified>
</cp:coreProperties>
</file>