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3C" w:rsidRDefault="0095243C" w:rsidP="0095243C">
      <w:pPr>
        <w:spacing w:after="0"/>
        <w:ind w:left="5664"/>
        <w:jc w:val="right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>Załącznik do zarządzenia Nr</w:t>
      </w:r>
      <w:r w:rsidR="00231AE8">
        <w:rPr>
          <w:rFonts w:ascii="Times New Roman" w:hAnsi="Times New Roman" w:cs="Times New Roman"/>
          <w:b/>
          <w:sz w:val="16"/>
          <w:szCs w:val="20"/>
        </w:rPr>
        <w:t xml:space="preserve"> 846/2023/P</w:t>
      </w:r>
    </w:p>
    <w:p w:rsidR="0095243C" w:rsidRDefault="0095243C" w:rsidP="0095243C">
      <w:pPr>
        <w:spacing w:after="0"/>
        <w:ind w:left="5664"/>
        <w:jc w:val="right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>PREZYDENTA MIASTA POZNANIA</w:t>
      </w:r>
    </w:p>
    <w:p w:rsidR="0095243C" w:rsidRDefault="0095243C" w:rsidP="0095243C">
      <w:pPr>
        <w:spacing w:after="0"/>
        <w:ind w:left="5664"/>
        <w:jc w:val="right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>z dnia</w:t>
      </w:r>
      <w:r w:rsidR="00231AE8">
        <w:rPr>
          <w:rFonts w:ascii="Times New Roman" w:hAnsi="Times New Roman" w:cs="Times New Roman"/>
          <w:b/>
          <w:sz w:val="16"/>
          <w:szCs w:val="20"/>
        </w:rPr>
        <w:t xml:space="preserve"> 10.11.2023 r.</w:t>
      </w:r>
      <w:bookmarkStart w:id="0" w:name="_GoBack"/>
      <w:bookmarkEnd w:id="0"/>
    </w:p>
    <w:p w:rsidR="0095243C" w:rsidRDefault="0095243C" w:rsidP="0095243C">
      <w:pPr>
        <w:ind w:left="5664"/>
        <w:rPr>
          <w:rFonts w:ascii="Times New Roman" w:hAnsi="Times New Roman" w:cs="Times New Roman"/>
          <w:b/>
          <w:sz w:val="20"/>
          <w:szCs w:val="20"/>
        </w:rPr>
      </w:pPr>
    </w:p>
    <w:p w:rsidR="0095243C" w:rsidRDefault="0095243C" w:rsidP="009524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</w:t>
      </w:r>
    </w:p>
    <w:p w:rsidR="0095243C" w:rsidRDefault="0095243C" w:rsidP="00952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nieruchomości położonej w Poznaniu,</w:t>
      </w:r>
    </w:p>
    <w:p w:rsidR="0095243C" w:rsidRDefault="0095243C" w:rsidP="00952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przeznaczonej do oddania w użytkowanie</w:t>
      </w:r>
    </w:p>
    <w:p w:rsidR="0095243C" w:rsidRDefault="0095243C" w:rsidP="009524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="0095243C" w:rsidTr="009524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nieruchomości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Poznań, ul. Lutycka </w:t>
            </w:r>
          </w:p>
        </w:tc>
      </w:tr>
      <w:tr w:rsidR="0095243C" w:rsidTr="009524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Oznaczenie nieruchomości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obręb: Golęcin</w:t>
            </w: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arkusz mapy: 09</w:t>
            </w: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działka nr: 2/2 </w:t>
            </w: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powierzchnia: 3275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 PO1P/00292111/8 </w:t>
            </w: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 ustanawianiu prawa użytkowania działka nr 2/2 zostanie odłączona z KW PO1P/00292111/8.</w:t>
            </w:r>
          </w:p>
        </w:tc>
      </w:tr>
      <w:tr w:rsidR="0095243C" w:rsidTr="009524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własności nieruchomości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Właścicielem nieruchomości jest Miasto Poznań.</w:t>
            </w: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Działka pismem nr GN-XX.6845.2.51.2014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grudnia 2014 r. została powierzona Zarządowi Dróg Miejskich.</w:t>
            </w:r>
          </w:p>
        </w:tc>
      </w:tr>
      <w:tr w:rsidR="0095243C" w:rsidTr="009524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nieruchomości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Nieruchomość zlokalizowana jest w strefie pośredniej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Poznania, przy ul. Lutyckiej. W sąsiedztwie dominują zabudowania przemysłowe. W pobliżu znajduje się również m.in. Fort VI Twierdzy Poznań.</w:t>
            </w: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Działka o wydłużonym, wąskim kształcie i płaskiej powierzchni. Stanowi część drogi dojazdowej, prowadzącej od ul. Lutyckiej w kierunku dawnego fortu. Droga jest utwardzona – nawierzchnia asfaltowa. Teren po obu stronach drogi jest porośnięty trawą i drzewami.</w:t>
            </w:r>
          </w:p>
        </w:tc>
      </w:tr>
      <w:tr w:rsidR="0095243C" w:rsidTr="009524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nieruchomości w planie zagospodarowania przestrzennego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Nieruchomość znajduje się na terenie, na którym obowiązuje miejscowy plan zagospodarowania przestrzennego „Podolany Południe” – część A w Poznaniu zatwierdzony uchwałą Nr XLI/710/VIII/2021 z dnia 2 lutego 2021 r. </w:t>
            </w: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rysunkiem ww. planu działka nr 2/2 oznaczona jest symbolem 3KD-D – są to tereny dróg publicznych.</w:t>
            </w:r>
          </w:p>
        </w:tc>
      </w:tr>
      <w:tr w:rsidR="0095243C" w:rsidTr="009524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opłat z tytułu użytkowania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Opłata jednorazowa na podstawie operatu szacunkowego sporządzonego w dniu 27 kwietnia 2023 r. wynosi:</w:t>
            </w:r>
          </w:p>
          <w:p w:rsidR="0095243C" w:rsidRDefault="0095243C" w:rsidP="0095243C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59 454 zł netto + podatek VAT w wysokości 13 674,42 zł, tj. 73 128,42 zł brutto, płatna najpóźniej na trzy dni przed terminem zawarcia aktu notarialnego.</w:t>
            </w:r>
          </w:p>
        </w:tc>
      </w:tr>
      <w:tr w:rsidR="0095243C" w:rsidTr="009524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C" w:rsidRDefault="0095243C" w:rsidP="007A499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dodatkowe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C" w:rsidRDefault="0095243C" w:rsidP="00952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Wykonywanie przedmiotowego prawa użytkowania na rzecz spółki Aquanet S.A. ogranicza się do korzystania z pasa gruntu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 łącznej powierzchni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907 m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wzdłuż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sieci wodociągowej o średnicy 180 mm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granice pasa gruntu zaznaczone są na mapie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informacyjnej, stanowiącej załącznik nr 2 do zarządzenia), które to korzystanie polegać będzie na: </w:t>
            </w:r>
          </w:p>
          <w:p w:rsidR="0095243C" w:rsidRDefault="0095243C" w:rsidP="009524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18" w:hanging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utrzymaniu zlokalizowanego w tym pasie urządzenia przesyłowego, tj. sieci wodociągowej o średnicy 180 mm,</w:t>
            </w:r>
          </w:p>
          <w:p w:rsidR="0095243C" w:rsidRDefault="0095243C" w:rsidP="009524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20" w:hanging="3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doprowadzeniu wody za pomocą ww. urządzenia przesyłowego,</w:t>
            </w:r>
          </w:p>
          <w:p w:rsidR="0095243C" w:rsidRDefault="0095243C" w:rsidP="009524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20" w:hanging="3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prawie dostępu i dojazdu do ww. urządzenia przesyłowego w celu prowadzenia prac eksploatacyjnych, konserwacyjnych, remontowych, modernizacyjnych, dokonywania kontroli i przeglądów, usuwania awarii oraz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wymiany tego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 będzie się wiązało z obowiązkiem spółki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Aquanet S.A.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jej następców prawnych przywrócenia nieruchomości do stanu sprzed przeprowadzenia wymienionych prac. Obowiązek przywrócenia nieruchomości do stanu sprzed przeprowadzenia prac nie dotyczy ewentualnej wycinki drzew i krzewów występujących w pasie gruntu objętego prawem użytkowania.</w:t>
            </w:r>
          </w:p>
          <w:p w:rsidR="0095243C" w:rsidRDefault="0095243C" w:rsidP="00952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Właściciel nieruchomości zobowiązuje się do ograniczenia swoich uprawnień właścicielskich poprzez powstrzymanie się od dokonywania zabudowy stałej i tymczasowej w powyższym pasie gruntu, z wyłączeniem możliwości realizacji dróg i ciągów komunikacyjnych oraz poprzez powstrzymanie się od dokonywania nowych nasadzeń drzew i krzewów.</w:t>
            </w:r>
          </w:p>
          <w:p w:rsidR="0095243C" w:rsidRDefault="0095243C" w:rsidP="00952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Ustanowienie prawa użytkowania następuje na czas nieoznaczony.</w:t>
            </w:r>
          </w:p>
          <w:p w:rsidR="0095243C" w:rsidRDefault="0095243C" w:rsidP="00952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43C" w:rsidRDefault="0095243C" w:rsidP="009524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AD6" w:rsidRDefault="00810AD6"/>
    <w:sectPr w:rsidR="0081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A79"/>
    <w:multiLevelType w:val="hybridMultilevel"/>
    <w:tmpl w:val="A8C2B4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E22726"/>
    <w:multiLevelType w:val="hybridMultilevel"/>
    <w:tmpl w:val="0AFA7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3C"/>
    <w:rsid w:val="00231AE8"/>
    <w:rsid w:val="00810AD6"/>
    <w:rsid w:val="009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6AAA"/>
  <w15:chartTrackingRefBased/>
  <w15:docId w15:val="{0DC02C35-387D-4816-B1A6-C42E6B15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4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43C"/>
    <w:pPr>
      <w:ind w:left="720"/>
      <w:contextualSpacing/>
    </w:pPr>
  </w:style>
  <w:style w:type="table" w:styleId="Tabela-Siatka">
    <w:name w:val="Table Grid"/>
    <w:basedOn w:val="Standardowy"/>
    <w:uiPriority w:val="39"/>
    <w:rsid w:val="00952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Drosik</dc:creator>
  <cp:keywords/>
  <dc:description/>
  <cp:lastModifiedBy>ŁW</cp:lastModifiedBy>
  <cp:revision>3</cp:revision>
  <dcterms:created xsi:type="dcterms:W3CDTF">2023-10-27T08:30:00Z</dcterms:created>
  <dcterms:modified xsi:type="dcterms:W3CDTF">2023-11-10T13:08:00Z</dcterms:modified>
</cp:coreProperties>
</file>