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3C" w:rsidRDefault="0095243C" w:rsidP="0095243C">
      <w:pPr>
        <w:spacing w:after="0"/>
        <w:ind w:left="5664"/>
        <w:jc w:val="right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  <w:szCs w:val="20"/>
        </w:rPr>
        <w:t>Załącznik do zarządzenia Nr</w:t>
      </w:r>
      <w:r w:rsidR="00231AE8">
        <w:rPr>
          <w:rFonts w:ascii="Times New Roman" w:hAnsi="Times New Roman" w:cs="Times New Roman"/>
          <w:b/>
          <w:sz w:val="16"/>
          <w:szCs w:val="20"/>
        </w:rPr>
        <w:t xml:space="preserve"> 846/2023/P</w:t>
      </w:r>
    </w:p>
    <w:p w:rsidR="0095243C" w:rsidRDefault="0095243C" w:rsidP="0095243C">
      <w:pPr>
        <w:spacing w:after="0"/>
        <w:ind w:left="5664"/>
        <w:jc w:val="right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  <w:szCs w:val="20"/>
        </w:rPr>
        <w:t>PREZYDENTA MIASTA POZNANIA</w:t>
      </w:r>
    </w:p>
    <w:p w:rsidR="0095243C" w:rsidRDefault="0095243C" w:rsidP="0095243C">
      <w:pPr>
        <w:spacing w:after="0"/>
        <w:ind w:left="5664"/>
        <w:jc w:val="right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  <w:szCs w:val="20"/>
        </w:rPr>
        <w:t>z dnia</w:t>
      </w:r>
      <w:r w:rsidR="00231AE8">
        <w:rPr>
          <w:rFonts w:ascii="Times New Roman" w:hAnsi="Times New Roman" w:cs="Times New Roman"/>
          <w:b/>
          <w:sz w:val="16"/>
          <w:szCs w:val="20"/>
        </w:rPr>
        <w:t xml:space="preserve"> 10.11.2023 r.</w:t>
      </w:r>
      <w:bookmarkStart w:id="0" w:name="_GoBack"/>
      <w:bookmarkEnd w:id="0"/>
    </w:p>
    <w:p w:rsidR="0095243C" w:rsidRDefault="0095243C" w:rsidP="0095243C">
      <w:pPr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95243C" w:rsidRDefault="0095243C" w:rsidP="00952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</w:t>
      </w:r>
    </w:p>
    <w:p w:rsidR="0095243C" w:rsidRDefault="0095243C" w:rsidP="00952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nieruchomości położonej w Poznaniu,</w:t>
      </w:r>
    </w:p>
    <w:p w:rsidR="0095243C" w:rsidRDefault="0095243C" w:rsidP="00952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przeznaczonej do oddania w użytkowanie</w:t>
      </w:r>
    </w:p>
    <w:p w:rsidR="0095243C" w:rsidRDefault="0095243C" w:rsidP="00952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95243C" w:rsidTr="009524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C" w:rsidRDefault="0095243C" w:rsidP="007A499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nieruchomości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C" w:rsidRDefault="009524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Poznań, ul. Lutycka </w:t>
            </w:r>
          </w:p>
        </w:tc>
      </w:tr>
      <w:tr w:rsidR="0095243C" w:rsidTr="009524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C" w:rsidRDefault="0095243C" w:rsidP="007A499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Oznaczenie nieruchomości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obręb: Golęcin</w:t>
            </w:r>
          </w:p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arkusz mapy: 09</w:t>
            </w:r>
          </w:p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działka nr: 2/2 </w:t>
            </w:r>
          </w:p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powierzchnia: 3275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 PO1P/00292111/8 </w:t>
            </w:r>
          </w:p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ustanawianiu prawa użytkowania działka nr 2/2 zostanie odłączona z KW PO1P/00292111/8.</w:t>
            </w:r>
          </w:p>
        </w:tc>
      </w:tr>
      <w:tr w:rsidR="0095243C" w:rsidTr="009524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C" w:rsidRDefault="0095243C" w:rsidP="007A499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własności nieruchomości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Właścicielem nieruchomości jest Miasto Poznań.</w:t>
            </w:r>
          </w:p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Działka pismem nr GN-XX.6845.2.51.2014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grudnia 2014 r. została powierzona Zarządowi Dróg Miejskich.</w:t>
            </w:r>
          </w:p>
        </w:tc>
      </w:tr>
      <w:tr w:rsidR="0095243C" w:rsidTr="009524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C" w:rsidRDefault="0095243C" w:rsidP="007A499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nieruchomości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Nieruchomość zlokalizowana jest w strefie pośredniej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Poznania, przy ul. Lutyckiej. W sąsiedztwie dominują zabudowania przemysłowe. W pobliżu znajduje się również m.in. Fort VI Twierdzy Poznań.</w:t>
            </w:r>
          </w:p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Działka o wydłużonym, wąskim kształcie i płaskiej powierzchni. Stanowi część drogi dojazdowej, prowadzącej od ul. Lutyckiej w kierunku dawnego fortu. Droga jest utwardzona – nawierzchnia asfaltowa. Teren po obu stronach drogi jest porośnięty trawą i drzewami.</w:t>
            </w:r>
          </w:p>
        </w:tc>
      </w:tr>
      <w:tr w:rsidR="0095243C" w:rsidTr="009524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C" w:rsidRDefault="0095243C" w:rsidP="007A499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nieruchomości w planie zagospodarowania przestrzennego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Nieruchomość znajduje się na terenie, na którym obowiązuje miejscowy plan zagospodarowania przestrzennego „Podolany Południe” – część A w Poznaniu zatwierdzony uchwałą Nr XLI/710/VIII/2021 z dnia 2 lutego 2021 r. </w:t>
            </w:r>
          </w:p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rysunkiem ww. planu działka nr 2/2 oznaczona jest symbolem 3KD-D – są to tereny dróg publicznych.</w:t>
            </w:r>
          </w:p>
        </w:tc>
      </w:tr>
      <w:tr w:rsidR="0095243C" w:rsidTr="009524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C" w:rsidRDefault="0095243C" w:rsidP="007A499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opłat z tytułu użytkowania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jednorazowa na podstawie operatu szacunkowego sporządzonego w dniu 27 kwietnia 2023 r. wynosi:</w:t>
            </w:r>
          </w:p>
          <w:p w:rsidR="0095243C" w:rsidRDefault="0095243C" w:rsidP="0095243C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59 454 zł netto + podatek VAT w wysokości 13 674,42 zł, tj. 73 128,42 zł brutto, płatna najpóźniej na trzy dni przed terminem zawarcia aktu notarialnego.</w:t>
            </w:r>
          </w:p>
        </w:tc>
      </w:tr>
      <w:tr w:rsidR="0095243C" w:rsidTr="009524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C" w:rsidRDefault="0095243C" w:rsidP="007A499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C" w:rsidRDefault="0095243C" w:rsidP="0095243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Wykonywanie przedmiotowego prawa użytkowania na rzecz spółki Aquanet S.A. ogranicza się do korzystania z pasa gruntu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 łącznej powierzchni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907 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wzdłuż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sieci wodociągowej o średnicy 180 mm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granice pasa gruntu zaznaczone są na mapie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informacyjnej, stanowiącej załącznik nr 2 do zarządzenia), które to korzystanie polegać będzie na: </w:t>
            </w:r>
          </w:p>
          <w:p w:rsidR="0095243C" w:rsidRDefault="0095243C" w:rsidP="009524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318" w:hanging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utrzymaniu zlokalizowanego w tym pasie urządzenia przesyłowego, tj. sieci wodociągowej o średnicy 180 mm,</w:t>
            </w:r>
          </w:p>
          <w:p w:rsidR="0095243C" w:rsidRDefault="0095243C" w:rsidP="009524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320" w:hanging="3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doprowadzeniu wody za pomocą ww. urządzenia przesyłowego,</w:t>
            </w:r>
          </w:p>
          <w:p w:rsidR="0095243C" w:rsidRDefault="0095243C" w:rsidP="009524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320" w:hanging="3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prawie dostępu i dojazdu do ww. urządzenia przesyłowego w celu prowadzenia prac eksploatacyjnych, konserwacyjnych, remontowych, modernizacyjnych, dokonywania kontroli i przeglądów, usuwania awarii oraz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wymiany tego urządzenia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 będzie się wiązało z obowiązkiem spółki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Aquanet S.A.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następców prawnych przywrócenia nieruchomości do stanu sprzed przeprowadzenia wymienionych prac. Obowiązek przywrócenia nieruchomości do stanu sprzed przeprowadzenia prac nie dotyczy ewentualnej wycinki drzew i krzewów występujących w pasie gruntu objętego prawem użytkowania.</w:t>
            </w:r>
          </w:p>
          <w:p w:rsidR="0095243C" w:rsidRDefault="0095243C" w:rsidP="0095243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Właściciel nieruchomości zobowiązuje się do ograniczenia swoich uprawnień właścicielskich poprzez powstrzymanie się od dokonywania zabudowy stałej i tymczasowej w powyższym pasie gruntu, z wyłączeniem możliwości realizacji dróg i ciągów komunikacyjnych oraz poprzez powstrzymanie się od dokonywania nowych nasadzeń drzew i krzewów.</w:t>
            </w:r>
          </w:p>
          <w:p w:rsidR="0095243C" w:rsidRDefault="0095243C" w:rsidP="0095243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Ustanowienie prawa użytkowania następuje na czas nieoznaczony.</w:t>
            </w:r>
          </w:p>
          <w:p w:rsidR="0095243C" w:rsidRDefault="0095243C" w:rsidP="0095243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243C" w:rsidRDefault="0095243C" w:rsidP="009524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AD6" w:rsidRDefault="00810AD6"/>
    <w:sectPr w:rsidR="0081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A79"/>
    <w:multiLevelType w:val="hybridMultilevel"/>
    <w:tmpl w:val="A8C2B4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E22726"/>
    <w:multiLevelType w:val="hybridMultilevel"/>
    <w:tmpl w:val="0AFA7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3C"/>
    <w:rsid w:val="00231AE8"/>
    <w:rsid w:val="00810AD6"/>
    <w:rsid w:val="009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6AAA"/>
  <w15:chartTrackingRefBased/>
  <w15:docId w15:val="{0DC02C35-387D-4816-B1A6-C42E6B15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43C"/>
    <w:pPr>
      <w:ind w:left="720"/>
      <w:contextualSpacing/>
    </w:pPr>
  </w:style>
  <w:style w:type="table" w:styleId="Tabela-Siatka">
    <w:name w:val="Table Grid"/>
    <w:basedOn w:val="Standardowy"/>
    <w:uiPriority w:val="39"/>
    <w:rsid w:val="00952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Drosik</dc:creator>
  <cp:keywords/>
  <dc:description/>
  <cp:lastModifiedBy>ŁW</cp:lastModifiedBy>
  <cp:revision>3</cp:revision>
  <dcterms:created xsi:type="dcterms:W3CDTF">2023-10-27T08:30:00Z</dcterms:created>
  <dcterms:modified xsi:type="dcterms:W3CDTF">2023-11-10T13:08:00Z</dcterms:modified>
</cp:coreProperties>
</file>