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64EC4" w14:textId="2D51ADE4" w:rsidR="00CB2F80" w:rsidRDefault="00CB2F80" w:rsidP="001D11AA">
      <w:pPr>
        <w:jc w:val="right"/>
        <w:rPr>
          <w:rFonts w:ascii="Arial" w:hAnsi="Arial" w:cs="Arial"/>
          <w:sz w:val="22"/>
          <w:szCs w:val="22"/>
        </w:rPr>
      </w:pPr>
    </w:p>
    <w:p w14:paraId="716B5941" w14:textId="4E6597C8" w:rsidR="00B10969" w:rsidRPr="00CB2F80" w:rsidRDefault="00B10969" w:rsidP="00B10969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CB2F80">
        <w:rPr>
          <w:rFonts w:ascii="Arial" w:hAnsi="Arial" w:cs="Arial"/>
          <w:b/>
          <w:bCs/>
          <w:sz w:val="18"/>
          <w:szCs w:val="18"/>
        </w:rPr>
        <w:t xml:space="preserve">Załącznik nr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CB2F80">
        <w:rPr>
          <w:rFonts w:ascii="Arial" w:hAnsi="Arial" w:cs="Arial"/>
          <w:b/>
          <w:bCs/>
          <w:sz w:val="18"/>
          <w:szCs w:val="18"/>
        </w:rPr>
        <w:t xml:space="preserve"> do zarządzenia Nr </w:t>
      </w:r>
      <w:r w:rsidR="00EB5692">
        <w:rPr>
          <w:rFonts w:ascii="Arial" w:hAnsi="Arial" w:cs="Arial"/>
          <w:b/>
          <w:bCs/>
          <w:sz w:val="18"/>
          <w:szCs w:val="18"/>
        </w:rPr>
        <w:t>926</w:t>
      </w:r>
      <w:r w:rsidRPr="00CB2F80">
        <w:rPr>
          <w:rFonts w:ascii="Arial" w:hAnsi="Arial" w:cs="Arial"/>
          <w:b/>
          <w:bCs/>
          <w:sz w:val="18"/>
          <w:szCs w:val="18"/>
        </w:rPr>
        <w:t>/2023/P</w:t>
      </w:r>
    </w:p>
    <w:p w14:paraId="3E4BFE5C" w14:textId="77777777" w:rsidR="00B10969" w:rsidRPr="00CB2F80" w:rsidRDefault="00B10969" w:rsidP="00B10969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CB2F80">
        <w:rPr>
          <w:rFonts w:ascii="Arial" w:hAnsi="Arial" w:cs="Arial"/>
          <w:b/>
          <w:bCs/>
          <w:sz w:val="18"/>
          <w:szCs w:val="18"/>
        </w:rPr>
        <w:t>PREZYDENTA MIASTA POZNANIA</w:t>
      </w:r>
    </w:p>
    <w:p w14:paraId="0469F10F" w14:textId="57C9927A" w:rsidR="00B10969" w:rsidRPr="00CB2F80" w:rsidRDefault="00B10969" w:rsidP="00B10969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CB2F80">
        <w:rPr>
          <w:rFonts w:ascii="Arial" w:hAnsi="Arial" w:cs="Arial"/>
          <w:b/>
          <w:bCs/>
          <w:sz w:val="18"/>
          <w:szCs w:val="18"/>
        </w:rPr>
        <w:t xml:space="preserve">z dnia </w:t>
      </w:r>
      <w:r w:rsidR="00EB5692">
        <w:rPr>
          <w:rFonts w:ascii="Arial" w:hAnsi="Arial" w:cs="Arial"/>
          <w:b/>
          <w:bCs/>
          <w:sz w:val="18"/>
          <w:szCs w:val="18"/>
        </w:rPr>
        <w:t>14.12.</w:t>
      </w:r>
      <w:bookmarkStart w:id="0" w:name="_GoBack"/>
      <w:bookmarkEnd w:id="0"/>
      <w:r w:rsidRPr="00CB2F80">
        <w:rPr>
          <w:rFonts w:ascii="Arial" w:hAnsi="Arial" w:cs="Arial"/>
          <w:b/>
          <w:bCs/>
          <w:sz w:val="18"/>
          <w:szCs w:val="18"/>
        </w:rPr>
        <w:t xml:space="preserve">2023 r. </w:t>
      </w:r>
    </w:p>
    <w:p w14:paraId="6F51738F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22CB2E1C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67B4B712" w14:textId="77777777" w:rsidR="00B10969" w:rsidRDefault="00B10969" w:rsidP="00B10969">
      <w:pPr>
        <w:jc w:val="both"/>
        <w:rPr>
          <w:rFonts w:ascii="Arial" w:hAnsi="Arial" w:cs="Arial"/>
          <w:b/>
          <w:sz w:val="22"/>
          <w:szCs w:val="22"/>
        </w:rPr>
      </w:pPr>
      <w:r w:rsidRPr="003D7066">
        <w:rPr>
          <w:rFonts w:ascii="Arial" w:hAnsi="Arial" w:cs="Arial"/>
          <w:b/>
          <w:sz w:val="22"/>
          <w:szCs w:val="22"/>
        </w:rPr>
        <w:t xml:space="preserve">Zasady i priorytety w zakresie ocen potencjalnych obiektów przeznaczonych </w:t>
      </w:r>
      <w:r>
        <w:rPr>
          <w:rFonts w:ascii="Arial" w:hAnsi="Arial" w:cs="Arial"/>
          <w:b/>
          <w:sz w:val="22"/>
          <w:szCs w:val="22"/>
        </w:rPr>
        <w:br/>
      </w:r>
      <w:r w:rsidRPr="003D7066">
        <w:rPr>
          <w:rFonts w:ascii="Arial" w:hAnsi="Arial" w:cs="Arial"/>
          <w:b/>
          <w:sz w:val="22"/>
          <w:szCs w:val="22"/>
        </w:rPr>
        <w:t>do iluminacji świetlnej</w:t>
      </w:r>
    </w:p>
    <w:p w14:paraId="1AE011A5" w14:textId="77777777" w:rsidR="00B10969" w:rsidRDefault="00B10969" w:rsidP="00B10969">
      <w:pPr>
        <w:jc w:val="both"/>
        <w:rPr>
          <w:rFonts w:ascii="Arial" w:hAnsi="Arial" w:cs="Arial"/>
          <w:b/>
          <w:sz w:val="22"/>
          <w:szCs w:val="22"/>
        </w:rPr>
      </w:pPr>
    </w:p>
    <w:p w14:paraId="2111B432" w14:textId="77777777" w:rsidR="00B10969" w:rsidRDefault="00B10969" w:rsidP="00B10969">
      <w:pPr>
        <w:jc w:val="both"/>
        <w:rPr>
          <w:rFonts w:ascii="Arial" w:hAnsi="Arial" w:cs="Arial"/>
          <w:b/>
          <w:sz w:val="22"/>
          <w:szCs w:val="22"/>
        </w:rPr>
      </w:pPr>
    </w:p>
    <w:p w14:paraId="3F3AA00E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 w:rsidRPr="003D7066">
        <w:rPr>
          <w:rFonts w:ascii="Arial" w:hAnsi="Arial" w:cs="Arial"/>
          <w:sz w:val="22"/>
          <w:szCs w:val="22"/>
        </w:rPr>
        <w:t xml:space="preserve">Zasady i priorytety </w:t>
      </w:r>
      <w:r>
        <w:rPr>
          <w:rFonts w:ascii="Arial" w:hAnsi="Arial" w:cs="Arial"/>
          <w:sz w:val="22"/>
          <w:szCs w:val="22"/>
        </w:rPr>
        <w:t>oceny przyjmowania</w:t>
      </w:r>
      <w:r w:rsidRPr="003D7066">
        <w:rPr>
          <w:rFonts w:ascii="Arial" w:hAnsi="Arial" w:cs="Arial"/>
          <w:sz w:val="22"/>
          <w:szCs w:val="22"/>
        </w:rPr>
        <w:t xml:space="preserve"> obiektów do iluminacji świetlnej</w:t>
      </w:r>
      <w:r>
        <w:rPr>
          <w:rFonts w:ascii="Arial" w:hAnsi="Arial" w:cs="Arial"/>
          <w:sz w:val="22"/>
          <w:szCs w:val="22"/>
        </w:rPr>
        <w:t>:</w:t>
      </w:r>
    </w:p>
    <w:p w14:paraId="471B1446" w14:textId="77777777" w:rsidR="00B10969" w:rsidRDefault="00B10969" w:rsidP="00B10969">
      <w:pPr>
        <w:jc w:val="both"/>
        <w:rPr>
          <w:rFonts w:ascii="Arial" w:hAnsi="Arial" w:cs="Arial"/>
          <w:b/>
          <w:sz w:val="22"/>
          <w:szCs w:val="22"/>
        </w:rPr>
      </w:pPr>
    </w:p>
    <w:p w14:paraId="74E59D70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K1 – spodziewany efekt wizualny iluminacji obiektu;</w:t>
      </w:r>
    </w:p>
    <w:p w14:paraId="27D5D3FD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513265F4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K2 – położenie – możliwość częstego oglądania obiektu przez turystów i przechodniów;</w:t>
      </w:r>
    </w:p>
    <w:p w14:paraId="157E21B4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22DFA4A0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K3 – perspektywa obserwacji obiektu;</w:t>
      </w:r>
    </w:p>
    <w:p w14:paraId="78BB445F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433ADDD5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K4 – atrakcyjna forma architektoniczna obiektu lub atrakcyjny wystrój elewacji;</w:t>
      </w:r>
    </w:p>
    <w:p w14:paraId="445D0ED1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410E4AFB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K5 – znaczenie obiektu (historyczne, polityczne, przestrzenne);</w:t>
      </w:r>
    </w:p>
    <w:p w14:paraId="5C5F5DF7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51A4C451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K6 – techniczne uwarunkowania realizacji;</w:t>
      </w:r>
    </w:p>
    <w:p w14:paraId="390C2D5F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2335561A" w14:textId="59AA4EA2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K7 – spodziewane koszty: energii elektrycznej, konserwacji, wykonania iluminacji;</w:t>
      </w:r>
    </w:p>
    <w:p w14:paraId="5034ECF3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19730763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K8 – wkomponowanie w istniejącą „mapę” obiektów iluminowanych miasta.</w:t>
      </w:r>
    </w:p>
    <w:p w14:paraId="6CEF2406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2D45E9D3" w14:textId="086A335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Skala ocen: </w:t>
      </w:r>
      <w:r>
        <w:rPr>
          <w:rFonts w:ascii="Arial" w:hAnsi="Arial" w:cs="Arial"/>
          <w:sz w:val="22"/>
          <w:szCs w:val="22"/>
        </w:rPr>
        <w:tab/>
        <w:t>współczynniki K1 i K8: 0-1</w:t>
      </w:r>
      <w:r w:rsidR="00DD4CA3">
        <w:rPr>
          <w:rFonts w:ascii="Arial" w:hAnsi="Arial" w:cs="Arial"/>
          <w:sz w:val="22"/>
          <w:szCs w:val="22"/>
        </w:rPr>
        <w:t xml:space="preserve"> pkt</w:t>
      </w:r>
      <w:r>
        <w:rPr>
          <w:rFonts w:ascii="Arial" w:hAnsi="Arial" w:cs="Arial"/>
          <w:sz w:val="22"/>
          <w:szCs w:val="22"/>
        </w:rPr>
        <w:t>,</w:t>
      </w:r>
    </w:p>
    <w:p w14:paraId="6E281000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11FAD3BA" w14:textId="4A504FD7" w:rsidR="00B10969" w:rsidRDefault="00B10969" w:rsidP="00FD69B6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współczynniki K2-K7: 1-3</w:t>
      </w:r>
      <w:r w:rsidR="00DD4CA3">
        <w:rPr>
          <w:rFonts w:ascii="Arial" w:hAnsi="Arial" w:cs="Arial"/>
          <w:sz w:val="22"/>
          <w:szCs w:val="22"/>
        </w:rPr>
        <w:t xml:space="preserve"> pkt</w:t>
      </w:r>
      <w:r>
        <w:rPr>
          <w:rFonts w:ascii="Arial" w:hAnsi="Arial" w:cs="Arial"/>
          <w:sz w:val="22"/>
          <w:szCs w:val="22"/>
        </w:rPr>
        <w:t xml:space="preserve"> (3</w:t>
      </w:r>
      <w:r w:rsidR="00775E80">
        <w:rPr>
          <w:rFonts w:ascii="Arial" w:hAnsi="Arial" w:cs="Arial"/>
          <w:sz w:val="22"/>
          <w:szCs w:val="22"/>
        </w:rPr>
        <w:t xml:space="preserve"> </w:t>
      </w:r>
      <w:r w:rsidR="00DD4CA3">
        <w:rPr>
          <w:rFonts w:ascii="Arial" w:hAnsi="Arial" w:cs="Arial"/>
          <w:sz w:val="22"/>
          <w:szCs w:val="22"/>
        </w:rPr>
        <w:t xml:space="preserve">pkt </w:t>
      </w:r>
      <w:r w:rsidR="000C481F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obiekt predysponowany pod danym względem)</w:t>
      </w:r>
    </w:p>
    <w:p w14:paraId="5E9946A2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39379A4E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</w:p>
    <w:p w14:paraId="252779EE" w14:textId="77777777" w:rsidR="00B10969" w:rsidRDefault="00B10969" w:rsidP="00B10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Uzyskana suma punktów ≥ 14 jest granicą, od której wnioski będą oceniane pozytywnie.</w:t>
      </w:r>
    </w:p>
    <w:p w14:paraId="46077ED0" w14:textId="20A7A58A" w:rsidR="00B727F7" w:rsidRPr="003D7066" w:rsidRDefault="00B10969" w:rsidP="00CB2F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Uzyskana suma punktów pozwala na obiektywne ocenienie wniosków. Stanowić ma ona jednak tylko pomoc przy wyborze najwłaściwszego obiektu iluminacji. </w:t>
      </w:r>
      <w:r w:rsidR="00B727F7">
        <w:rPr>
          <w:rFonts w:ascii="Arial" w:hAnsi="Arial" w:cs="Arial"/>
          <w:sz w:val="22"/>
          <w:szCs w:val="22"/>
        </w:rPr>
        <w:t xml:space="preserve"> </w:t>
      </w:r>
    </w:p>
    <w:sectPr w:rsidR="00B727F7" w:rsidRPr="003D7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D4DC7C" w16cid:durableId="290F30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743"/>
    <w:multiLevelType w:val="hybridMultilevel"/>
    <w:tmpl w:val="491AB85E"/>
    <w:lvl w:ilvl="0" w:tplc="FB2E9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FC3"/>
    <w:multiLevelType w:val="hybridMultilevel"/>
    <w:tmpl w:val="6B00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E73E2"/>
    <w:multiLevelType w:val="hybridMultilevel"/>
    <w:tmpl w:val="87C411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662EE7"/>
    <w:multiLevelType w:val="hybridMultilevel"/>
    <w:tmpl w:val="4F5C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7558F"/>
    <w:multiLevelType w:val="hybridMultilevel"/>
    <w:tmpl w:val="878A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8B"/>
    <w:rsid w:val="000C481F"/>
    <w:rsid w:val="001D11AA"/>
    <w:rsid w:val="003D7066"/>
    <w:rsid w:val="0043467D"/>
    <w:rsid w:val="00706A57"/>
    <w:rsid w:val="00775E80"/>
    <w:rsid w:val="00783173"/>
    <w:rsid w:val="00847B8B"/>
    <w:rsid w:val="00885102"/>
    <w:rsid w:val="009C376C"/>
    <w:rsid w:val="00A65960"/>
    <w:rsid w:val="00B10969"/>
    <w:rsid w:val="00B727F7"/>
    <w:rsid w:val="00CB2F80"/>
    <w:rsid w:val="00DD4CA3"/>
    <w:rsid w:val="00EB5692"/>
    <w:rsid w:val="00FD69B6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A975"/>
  <w15:chartTrackingRefBased/>
  <w15:docId w15:val="{0FCF3EBC-66FB-4A1E-8C48-BD229E86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102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1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09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9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969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9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969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B0D-F188-45E6-94F7-D6618933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Adamska</dc:creator>
  <cp:keywords/>
  <dc:description/>
  <cp:lastModifiedBy>ŁW</cp:lastModifiedBy>
  <cp:revision>5</cp:revision>
  <cp:lastPrinted>2023-11-21T12:08:00Z</cp:lastPrinted>
  <dcterms:created xsi:type="dcterms:W3CDTF">2023-11-28T08:26:00Z</dcterms:created>
  <dcterms:modified xsi:type="dcterms:W3CDTF">2023-12-14T11:42:00Z</dcterms:modified>
</cp:coreProperties>
</file>