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77A17">
          <w:t>198/2024/P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77A17">
        <w:rPr>
          <w:b/>
          <w:sz w:val="28"/>
        </w:rPr>
        <w:fldChar w:fldCharType="separate"/>
      </w:r>
      <w:r w:rsidR="00477A17">
        <w:rPr>
          <w:b/>
          <w:sz w:val="28"/>
        </w:rPr>
        <w:t>19 lutego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77A17">
              <w:rPr>
                <w:b/>
                <w:sz w:val="24"/>
                <w:szCs w:val="24"/>
              </w:rPr>
              <w:fldChar w:fldCharType="separate"/>
            </w:r>
            <w:r w:rsidR="00477A17">
              <w:rPr>
                <w:b/>
                <w:sz w:val="24"/>
                <w:szCs w:val="24"/>
              </w:rPr>
              <w:t>określenia celów zarządczych stanowiących podstawę do przyznania wynagrodzenia zmiennego za rok 2024 członkom Zarządu Spółki Poznańskie Inwestycje Miejskie sp. z o.o.</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77A17" w:rsidP="00477A17">
      <w:pPr>
        <w:spacing w:line="360" w:lineRule="auto"/>
        <w:jc w:val="both"/>
        <w:rPr>
          <w:color w:val="000000"/>
          <w:sz w:val="24"/>
        </w:rPr>
      </w:pPr>
      <w:bookmarkStart w:id="2" w:name="p0"/>
      <w:bookmarkEnd w:id="2"/>
      <w:r w:rsidRPr="00477A17">
        <w:rPr>
          <w:color w:val="000000"/>
          <w:sz w:val="24"/>
        </w:rPr>
        <w:t>Na podstawie art. 30 ust. 1, w związku z art. 30 ust. 2 pkt 3 i 4, ustawy z dnia 8 marca 1990 r. o samorządzie gminnym (tekst jednolity Dz. U. z 2023 r. poz. 40), art. 2 ustawy z dnia 20 grudnia 1996 r. o gospodarce komunalnej (tekst jednolity Dz. U. z 2021 r. poz. 679)</w:t>
      </w:r>
      <w:r w:rsidRPr="00477A17">
        <w:rPr>
          <w:color w:val="FF0000"/>
          <w:sz w:val="24"/>
        </w:rPr>
        <w:t xml:space="preserve"> </w:t>
      </w:r>
      <w:r w:rsidRPr="00477A17">
        <w:rPr>
          <w:color w:val="000000"/>
          <w:sz w:val="24"/>
        </w:rPr>
        <w:t>oraz uchwałą Nr LXII/959/VI/2014 Rady Miasta Poznania z dnia 28 stycznia 2014 r. w sprawie utworzenia spółki dotyczącej realizacji inwestycji miejskich zarządza się, co następuje:</w:t>
      </w:r>
    </w:p>
    <w:p w:rsidR="00477A17" w:rsidRDefault="00477A17" w:rsidP="00477A17">
      <w:pPr>
        <w:spacing w:line="360" w:lineRule="auto"/>
        <w:jc w:val="both"/>
        <w:rPr>
          <w:sz w:val="24"/>
        </w:rPr>
      </w:pPr>
    </w:p>
    <w:p w:rsidR="00477A17" w:rsidRDefault="00477A17" w:rsidP="00477A17">
      <w:pPr>
        <w:keepNext/>
        <w:spacing w:line="360" w:lineRule="auto"/>
        <w:jc w:val="center"/>
        <w:rPr>
          <w:b/>
          <w:color w:val="000000"/>
          <w:sz w:val="24"/>
        </w:rPr>
      </w:pPr>
      <w:r>
        <w:rPr>
          <w:b/>
          <w:color w:val="000000"/>
          <w:sz w:val="24"/>
        </w:rPr>
        <w:t>§ 1</w:t>
      </w:r>
    </w:p>
    <w:p w:rsidR="00477A17" w:rsidRDefault="00477A17" w:rsidP="00477A17">
      <w:pPr>
        <w:keepNext/>
        <w:spacing w:line="360" w:lineRule="auto"/>
        <w:rPr>
          <w:color w:val="000000"/>
          <w:sz w:val="24"/>
        </w:rPr>
      </w:pPr>
    </w:p>
    <w:p w:rsidR="00477A17" w:rsidRPr="00477A17" w:rsidRDefault="00477A17" w:rsidP="00477A17">
      <w:pPr>
        <w:autoSpaceDE w:val="0"/>
        <w:autoSpaceDN w:val="0"/>
        <w:adjustRightInd w:val="0"/>
        <w:spacing w:line="360" w:lineRule="auto"/>
        <w:jc w:val="both"/>
        <w:rPr>
          <w:color w:val="000000"/>
          <w:sz w:val="24"/>
          <w:szCs w:val="24"/>
        </w:rPr>
      </w:pPr>
      <w:bookmarkStart w:id="3" w:name="z1"/>
      <w:bookmarkEnd w:id="3"/>
      <w:r w:rsidRPr="00477A17">
        <w:rPr>
          <w:color w:val="000000"/>
          <w:sz w:val="24"/>
          <w:szCs w:val="24"/>
        </w:rPr>
        <w:t>Mając na uwadze cel zawiązania spółki działającej pod firmą Poznańskie Inwestycje Miejskie sp. z o.o. z siedzibą w Poznaniu, której przedmiotem działalności jest realizowanie zadań użyteczności publicznej na warunkach określonych przepisami ustawy z dnia 20 grudnia 1996 r. o gospodarce komunalnej, w szczególności zadań własnych gminy w rozumieniu ustawy z</w:t>
      </w:r>
      <w:r w:rsidR="001479D5">
        <w:rPr>
          <w:color w:val="000000"/>
          <w:sz w:val="24"/>
          <w:szCs w:val="24"/>
        </w:rPr>
        <w:t> </w:t>
      </w:r>
      <w:r w:rsidRPr="00477A17">
        <w:rPr>
          <w:color w:val="000000"/>
          <w:sz w:val="24"/>
          <w:szCs w:val="24"/>
        </w:rPr>
        <w:t>dnia 8 marca 1990 r. o samorządzie gminnym, z zakresu budowy, przebudowy, modernizacji lub remontu gminnych budynków, budowli, dróg, ulic, infrastruktury tramwajowej, obiektów inżynierskich, obiektów kubaturowych, placów, parkingów, obiektów sportowych i obiektów oświatowych na obszarze miasta Poznania, na zasadach zastępstwa inwestorskiego, ustala się następujące zadania inwestycyjne jako kluczowe dla Miasta Poznania na potrzeby weryfikacji realizacji przez Zarząd Spółki celów zarządczych stanowiących podstawę do przyznania jego członkom wynagrodzenia zmiennego za rok 2024 oraz kryteria oceny realizacji tych zadań:</w:t>
      </w:r>
    </w:p>
    <w:p w:rsidR="00477A17" w:rsidRPr="00477A17" w:rsidRDefault="00477A17" w:rsidP="00477A17">
      <w:pPr>
        <w:autoSpaceDE w:val="0"/>
        <w:autoSpaceDN w:val="0"/>
        <w:adjustRightInd w:val="0"/>
        <w:spacing w:line="360" w:lineRule="auto"/>
        <w:ind w:left="680" w:hanging="340"/>
        <w:jc w:val="both"/>
        <w:rPr>
          <w:color w:val="000000"/>
          <w:sz w:val="24"/>
          <w:szCs w:val="24"/>
        </w:rPr>
      </w:pPr>
      <w:r w:rsidRPr="00477A17">
        <w:rPr>
          <w:color w:val="000000"/>
          <w:sz w:val="24"/>
          <w:szCs w:val="24"/>
        </w:rPr>
        <w:t xml:space="preserve">1) „Budowa pływalni krytej przy ul. Taborowej”. </w:t>
      </w:r>
    </w:p>
    <w:p w:rsidR="00477A17" w:rsidRPr="00477A17" w:rsidRDefault="00477A17" w:rsidP="00477A17">
      <w:pPr>
        <w:autoSpaceDE w:val="0"/>
        <w:autoSpaceDN w:val="0"/>
        <w:adjustRightInd w:val="0"/>
        <w:spacing w:line="360" w:lineRule="auto"/>
        <w:jc w:val="both"/>
        <w:rPr>
          <w:color w:val="000000"/>
          <w:sz w:val="24"/>
          <w:szCs w:val="24"/>
        </w:rPr>
      </w:pPr>
      <w:r w:rsidRPr="00477A17">
        <w:rPr>
          <w:color w:val="000000"/>
          <w:sz w:val="24"/>
          <w:szCs w:val="24"/>
        </w:rPr>
        <w:lastRenderedPageBreak/>
        <w:t>Ocena: rozstrzygnięcie postępowania na roboty budowlane do dnia 30 czerwca 2024 r. –</w:t>
      </w:r>
      <w:r w:rsidR="001479D5">
        <w:rPr>
          <w:color w:val="000000"/>
          <w:sz w:val="24"/>
          <w:szCs w:val="24"/>
        </w:rPr>
        <w:t> </w:t>
      </w:r>
      <w:r w:rsidRPr="00477A17">
        <w:rPr>
          <w:color w:val="000000"/>
          <w:sz w:val="24"/>
          <w:szCs w:val="24"/>
        </w:rPr>
        <w:t>8</w:t>
      </w:r>
      <w:r w:rsidR="001479D5">
        <w:rPr>
          <w:color w:val="000000"/>
          <w:sz w:val="24"/>
          <w:szCs w:val="24"/>
        </w:rPr>
        <w:t> </w:t>
      </w:r>
      <w:r w:rsidRPr="00477A17">
        <w:rPr>
          <w:color w:val="000000"/>
          <w:sz w:val="24"/>
          <w:szCs w:val="24"/>
        </w:rPr>
        <w:t>punktów i o jeden punkt mniej za każdy rozpoczęty miesiąc opóźnienia;</w:t>
      </w:r>
    </w:p>
    <w:p w:rsidR="00477A17" w:rsidRPr="00477A17" w:rsidRDefault="00477A17" w:rsidP="00477A17">
      <w:pPr>
        <w:autoSpaceDE w:val="0"/>
        <w:autoSpaceDN w:val="0"/>
        <w:adjustRightInd w:val="0"/>
        <w:spacing w:line="360" w:lineRule="auto"/>
        <w:ind w:left="680" w:hanging="340"/>
        <w:jc w:val="both"/>
        <w:rPr>
          <w:color w:val="000000"/>
          <w:sz w:val="24"/>
          <w:szCs w:val="24"/>
        </w:rPr>
      </w:pPr>
      <w:r w:rsidRPr="00477A17">
        <w:rPr>
          <w:color w:val="000000"/>
          <w:sz w:val="24"/>
          <w:szCs w:val="24"/>
        </w:rPr>
        <w:t xml:space="preserve">2) „Budowa kładki pieszo-rowerowej nad rzeką Wartą oraz Cybinką pomiędzy </w:t>
      </w:r>
      <w:proofErr w:type="spellStart"/>
      <w:r w:rsidRPr="00477A17">
        <w:rPr>
          <w:color w:val="000000"/>
          <w:sz w:val="24"/>
          <w:szCs w:val="24"/>
        </w:rPr>
        <w:t>Berdychowem</w:t>
      </w:r>
      <w:proofErr w:type="spellEnd"/>
      <w:r w:rsidRPr="00477A17">
        <w:rPr>
          <w:color w:val="000000"/>
          <w:sz w:val="24"/>
          <w:szCs w:val="24"/>
        </w:rPr>
        <w:t xml:space="preserve">, Ostrowem Tumskim oraz Chwaliszewem”. </w:t>
      </w:r>
    </w:p>
    <w:p w:rsidR="00477A17" w:rsidRPr="00477A17" w:rsidRDefault="00477A17" w:rsidP="00477A17">
      <w:pPr>
        <w:autoSpaceDE w:val="0"/>
        <w:autoSpaceDN w:val="0"/>
        <w:adjustRightInd w:val="0"/>
        <w:spacing w:line="360" w:lineRule="auto"/>
        <w:jc w:val="both"/>
        <w:rPr>
          <w:color w:val="000000"/>
          <w:sz w:val="24"/>
          <w:szCs w:val="24"/>
        </w:rPr>
      </w:pPr>
      <w:r w:rsidRPr="00477A17">
        <w:rPr>
          <w:color w:val="000000"/>
          <w:sz w:val="24"/>
          <w:szCs w:val="24"/>
        </w:rPr>
        <w:t>Ocena: wykonanie (montaż) konstrukcji stalowej jednego z mostów, potwierdzone pisemnym zgłoszeniem Wykonawcy i potwierdzeniem Inżyniera Kontraktu, do dnia 31 października 2024 r. – 12 punktów i o dwa punkty mniej za każdy rozpoczęty miesiąc opóźnienia, ale nie dłużej niż do 31 stycznia 2025 r. – po przekroczeniu tego terminu – 0 punktów;</w:t>
      </w:r>
    </w:p>
    <w:p w:rsidR="00477A17" w:rsidRPr="00477A17" w:rsidRDefault="00477A17" w:rsidP="00477A17">
      <w:pPr>
        <w:autoSpaceDE w:val="0"/>
        <w:autoSpaceDN w:val="0"/>
        <w:adjustRightInd w:val="0"/>
        <w:spacing w:line="360" w:lineRule="auto"/>
        <w:ind w:left="680" w:hanging="340"/>
        <w:jc w:val="both"/>
        <w:rPr>
          <w:color w:val="000000"/>
          <w:sz w:val="24"/>
          <w:szCs w:val="24"/>
        </w:rPr>
      </w:pPr>
      <w:r w:rsidRPr="00477A17">
        <w:rPr>
          <w:color w:val="000000"/>
          <w:sz w:val="24"/>
          <w:szCs w:val="24"/>
        </w:rPr>
        <w:t xml:space="preserve">3) „Budowa Szkoły na Strzeszynie”. </w:t>
      </w:r>
    </w:p>
    <w:p w:rsidR="00477A17" w:rsidRPr="00477A17" w:rsidRDefault="00477A17" w:rsidP="00477A17">
      <w:pPr>
        <w:autoSpaceDE w:val="0"/>
        <w:autoSpaceDN w:val="0"/>
        <w:adjustRightInd w:val="0"/>
        <w:spacing w:line="360" w:lineRule="auto"/>
        <w:jc w:val="both"/>
        <w:rPr>
          <w:color w:val="000000"/>
          <w:sz w:val="24"/>
          <w:szCs w:val="24"/>
        </w:rPr>
      </w:pPr>
      <w:r w:rsidRPr="00477A17">
        <w:rPr>
          <w:color w:val="000000"/>
          <w:sz w:val="24"/>
          <w:szCs w:val="24"/>
        </w:rPr>
        <w:t>Ocena: wykonanie obiektu szkoły do stanu surowego zamkniętego, potwierdzone oświadczeniem Wykonawcy oraz Inżyniera Kontraktu, do dnia 30 listopada 2024 r. – 12 punktów i o dwa punkty mniej za każdy rozpoczęty miesiąc opóźnienia, ale nie dłużej niż do 31 stycznia 2025 r. – po przekroczeniu tego terminu – 0 punktów;</w:t>
      </w:r>
    </w:p>
    <w:p w:rsidR="00477A17" w:rsidRPr="00477A17" w:rsidRDefault="00477A17" w:rsidP="00477A17">
      <w:pPr>
        <w:autoSpaceDE w:val="0"/>
        <w:autoSpaceDN w:val="0"/>
        <w:adjustRightInd w:val="0"/>
        <w:spacing w:line="360" w:lineRule="auto"/>
        <w:ind w:left="680" w:hanging="340"/>
        <w:jc w:val="both"/>
        <w:rPr>
          <w:color w:val="000000"/>
          <w:sz w:val="24"/>
          <w:szCs w:val="24"/>
        </w:rPr>
      </w:pPr>
      <w:r w:rsidRPr="00477A17">
        <w:rPr>
          <w:color w:val="000000"/>
          <w:sz w:val="24"/>
          <w:szCs w:val="24"/>
        </w:rPr>
        <w:t xml:space="preserve">4) „Utworzenie i funkcjonowanie Branżowego Centrum Umiejętności w dziedzinie piekarstwa”. </w:t>
      </w:r>
    </w:p>
    <w:p w:rsidR="00477A17" w:rsidRPr="00477A17" w:rsidRDefault="00477A17" w:rsidP="00477A17">
      <w:pPr>
        <w:autoSpaceDE w:val="0"/>
        <w:autoSpaceDN w:val="0"/>
        <w:adjustRightInd w:val="0"/>
        <w:spacing w:line="360" w:lineRule="auto"/>
        <w:jc w:val="both"/>
        <w:rPr>
          <w:color w:val="000000"/>
          <w:sz w:val="24"/>
          <w:szCs w:val="24"/>
        </w:rPr>
      </w:pPr>
      <w:r w:rsidRPr="00477A17">
        <w:rPr>
          <w:color w:val="000000"/>
          <w:sz w:val="24"/>
          <w:szCs w:val="24"/>
        </w:rPr>
        <w:t>Ocena: uzyskanie pozwolenia na użytkowanie lub dokonanie skutecznego zgłoszenia zakończenia budowy, do dnia 15 grudnia 2024 r. – 8 punktów i o jeden punkt mniej za każdy rozpoczęty miesiąc opóźnienia, ale nie dłużej niż do 31 stycznia 2025 r. – po przekroczeniu tego terminu – 0 punktów;</w:t>
      </w:r>
    </w:p>
    <w:p w:rsidR="00477A17" w:rsidRPr="00477A17" w:rsidRDefault="00477A17" w:rsidP="00477A17">
      <w:pPr>
        <w:autoSpaceDE w:val="0"/>
        <w:autoSpaceDN w:val="0"/>
        <w:adjustRightInd w:val="0"/>
        <w:spacing w:line="360" w:lineRule="auto"/>
        <w:ind w:left="680" w:hanging="340"/>
        <w:jc w:val="both"/>
        <w:rPr>
          <w:color w:val="000000"/>
          <w:sz w:val="24"/>
          <w:szCs w:val="24"/>
        </w:rPr>
      </w:pPr>
      <w:r w:rsidRPr="00477A17">
        <w:rPr>
          <w:color w:val="000000"/>
          <w:sz w:val="24"/>
          <w:szCs w:val="24"/>
        </w:rPr>
        <w:t>5) „Budowa trasy tramwajowej w ul. Ratajczaka na odcinku od ul. Św. Marcin do ul. Królowej Jadwigi wraz ze skrzyżowaniem z ulicami Matyi i Wierzbięcice w ramach projektu „Program Centrum – etap II – budowa trasy tramwajowej wraz z</w:t>
      </w:r>
      <w:r w:rsidR="001479D5">
        <w:rPr>
          <w:color w:val="000000"/>
          <w:sz w:val="24"/>
          <w:szCs w:val="24"/>
        </w:rPr>
        <w:t> </w:t>
      </w:r>
      <w:r w:rsidRPr="00477A17">
        <w:rPr>
          <w:color w:val="000000"/>
          <w:sz w:val="24"/>
          <w:szCs w:val="24"/>
        </w:rPr>
        <w:t xml:space="preserve">uspokojeniem ruchu samochodowego w ulicy Ratajczaka" (PC zakres 3) – roboty budowlane”. </w:t>
      </w:r>
    </w:p>
    <w:p w:rsidR="00477A17" w:rsidRPr="00477A17" w:rsidRDefault="00477A17" w:rsidP="00477A17">
      <w:pPr>
        <w:autoSpaceDE w:val="0"/>
        <w:autoSpaceDN w:val="0"/>
        <w:adjustRightInd w:val="0"/>
        <w:spacing w:line="360" w:lineRule="auto"/>
        <w:jc w:val="both"/>
        <w:rPr>
          <w:color w:val="000000"/>
          <w:sz w:val="24"/>
          <w:szCs w:val="24"/>
        </w:rPr>
      </w:pPr>
      <w:r w:rsidRPr="00477A17">
        <w:rPr>
          <w:color w:val="000000"/>
          <w:sz w:val="24"/>
          <w:szCs w:val="24"/>
        </w:rPr>
        <w:t>Ocena:</w:t>
      </w:r>
    </w:p>
    <w:p w:rsidR="00477A17" w:rsidRPr="00477A17" w:rsidRDefault="00477A17" w:rsidP="00477A17">
      <w:pPr>
        <w:autoSpaceDE w:val="0"/>
        <w:autoSpaceDN w:val="0"/>
        <w:adjustRightInd w:val="0"/>
        <w:spacing w:line="360" w:lineRule="auto"/>
        <w:ind w:left="1020" w:hanging="340"/>
        <w:jc w:val="both"/>
        <w:rPr>
          <w:color w:val="000000"/>
          <w:sz w:val="24"/>
          <w:szCs w:val="24"/>
        </w:rPr>
      </w:pPr>
      <w:r w:rsidRPr="00477A17">
        <w:rPr>
          <w:color w:val="000000"/>
          <w:sz w:val="24"/>
          <w:szCs w:val="24"/>
        </w:rPr>
        <w:t>a) w przypadku przekazania wskazania do realizacji przez Dysponenta do dnia 28 lutego 2024 r. ogłoszenie przetargu na roboty budowlane do dnia 31 grudnia 2024 r. – 10 punktów i o jeden punkt mniej za każdy rozpoczęty miesiąc opóźnienia, ale nie dłużej niż do 31 stycznia 2025 r. – po przekroczeniu tego terminu – 0 punktów,</w:t>
      </w:r>
    </w:p>
    <w:p w:rsidR="00477A17" w:rsidRDefault="00477A17" w:rsidP="00477A17">
      <w:pPr>
        <w:spacing w:line="360" w:lineRule="auto"/>
        <w:ind w:left="1020" w:hanging="340"/>
        <w:jc w:val="both"/>
        <w:rPr>
          <w:color w:val="000000"/>
          <w:sz w:val="24"/>
          <w:szCs w:val="24"/>
        </w:rPr>
      </w:pPr>
      <w:r w:rsidRPr="00477A17">
        <w:rPr>
          <w:color w:val="000000"/>
          <w:sz w:val="24"/>
          <w:szCs w:val="24"/>
        </w:rPr>
        <w:t>b) w przypadku przekazania wskazania do realizacji przez Dysponenta po dniu 28 lutego 2024 r. punktacja z zadań 1-4 uznawana jest za 100% zadań poleconych do realizacji i podlega proporcjonalnemu przeliczeniu, a zadanie 5 nie będzie brane pod uwagę do oceny.</w:t>
      </w:r>
    </w:p>
    <w:p w:rsidR="00477A17" w:rsidRDefault="00477A17" w:rsidP="00477A17">
      <w:pPr>
        <w:spacing w:line="360" w:lineRule="auto"/>
        <w:jc w:val="both"/>
        <w:rPr>
          <w:color w:val="000000"/>
          <w:sz w:val="24"/>
        </w:rPr>
      </w:pPr>
    </w:p>
    <w:p w:rsidR="00477A17" w:rsidRDefault="00477A17" w:rsidP="00477A17">
      <w:pPr>
        <w:keepNext/>
        <w:spacing w:line="360" w:lineRule="auto"/>
        <w:jc w:val="center"/>
        <w:rPr>
          <w:b/>
          <w:color w:val="000000"/>
          <w:sz w:val="24"/>
        </w:rPr>
      </w:pPr>
      <w:r>
        <w:rPr>
          <w:b/>
          <w:color w:val="000000"/>
          <w:sz w:val="24"/>
        </w:rPr>
        <w:lastRenderedPageBreak/>
        <w:t>§ 2</w:t>
      </w:r>
    </w:p>
    <w:p w:rsidR="00477A17" w:rsidRDefault="00477A17" w:rsidP="00477A17">
      <w:pPr>
        <w:keepNext/>
        <w:spacing w:line="360" w:lineRule="auto"/>
        <w:rPr>
          <w:color w:val="000000"/>
          <w:sz w:val="24"/>
        </w:rPr>
      </w:pPr>
    </w:p>
    <w:p w:rsidR="00477A17" w:rsidRPr="00477A17" w:rsidRDefault="00477A17" w:rsidP="00477A17">
      <w:pPr>
        <w:autoSpaceDE w:val="0"/>
        <w:autoSpaceDN w:val="0"/>
        <w:adjustRightInd w:val="0"/>
        <w:spacing w:line="360" w:lineRule="auto"/>
        <w:ind w:left="340" w:hanging="340"/>
        <w:jc w:val="both"/>
        <w:rPr>
          <w:color w:val="000000"/>
          <w:sz w:val="24"/>
          <w:szCs w:val="24"/>
        </w:rPr>
      </w:pPr>
      <w:bookmarkStart w:id="4" w:name="z2"/>
      <w:bookmarkEnd w:id="4"/>
      <w:r w:rsidRPr="00477A17">
        <w:rPr>
          <w:color w:val="000000"/>
          <w:sz w:val="24"/>
          <w:szCs w:val="24"/>
        </w:rPr>
        <w:t>1. Zobowiązuje się Zarząd Spółki do przedstawienia Radzie Nadzorczej, Prezydentowi Miasta Poznania i miejskim jednostkom organizacyjnym – dysponentom zadań, o których mowa w § 1 – pisemnego sprawozdania z realizacji inwestycji wymienionych w § 1 w terminie do 15 lutego 2025 r.</w:t>
      </w:r>
    </w:p>
    <w:p w:rsidR="00477A17" w:rsidRDefault="00477A17" w:rsidP="00477A17">
      <w:pPr>
        <w:spacing w:line="360" w:lineRule="auto"/>
        <w:ind w:left="340" w:hanging="340"/>
        <w:jc w:val="both"/>
        <w:rPr>
          <w:color w:val="000000"/>
          <w:sz w:val="24"/>
          <w:szCs w:val="24"/>
        </w:rPr>
      </w:pPr>
      <w:r w:rsidRPr="00477A17">
        <w:rPr>
          <w:color w:val="000000"/>
          <w:sz w:val="24"/>
          <w:szCs w:val="24"/>
        </w:rPr>
        <w:t>2. Zobowiązuje się dyrektorów miejskich jednostek organizacyjnych – dysponentów zadań, o</w:t>
      </w:r>
      <w:r w:rsidR="001479D5">
        <w:rPr>
          <w:color w:val="000000"/>
          <w:sz w:val="24"/>
          <w:szCs w:val="24"/>
        </w:rPr>
        <w:t> </w:t>
      </w:r>
      <w:r w:rsidRPr="00477A17">
        <w:rPr>
          <w:color w:val="000000"/>
          <w:sz w:val="24"/>
          <w:szCs w:val="24"/>
        </w:rPr>
        <w:t>których mowa w § 1 – do przedstawienia Prezydentowi Miasta Poznania pisemnego ustosunkowania się do sprawozdania Zarządu Spółki, o którym mowa w ust. 1, w terminie do 3 marca 2025 r.</w:t>
      </w:r>
    </w:p>
    <w:p w:rsidR="00477A17" w:rsidRDefault="00477A17" w:rsidP="00477A17">
      <w:pPr>
        <w:spacing w:line="360" w:lineRule="auto"/>
        <w:jc w:val="both"/>
        <w:rPr>
          <w:color w:val="000000"/>
          <w:sz w:val="24"/>
        </w:rPr>
      </w:pPr>
    </w:p>
    <w:p w:rsidR="00477A17" w:rsidRDefault="00477A17" w:rsidP="00477A17">
      <w:pPr>
        <w:keepNext/>
        <w:spacing w:line="360" w:lineRule="auto"/>
        <w:jc w:val="center"/>
        <w:rPr>
          <w:b/>
          <w:color w:val="000000"/>
          <w:sz w:val="24"/>
        </w:rPr>
      </w:pPr>
      <w:r>
        <w:rPr>
          <w:b/>
          <w:color w:val="000000"/>
          <w:sz w:val="24"/>
        </w:rPr>
        <w:t>§ 3</w:t>
      </w:r>
    </w:p>
    <w:p w:rsidR="00477A17" w:rsidRDefault="00477A17" w:rsidP="00477A17">
      <w:pPr>
        <w:keepNext/>
        <w:spacing w:line="360" w:lineRule="auto"/>
        <w:rPr>
          <w:color w:val="000000"/>
          <w:sz w:val="24"/>
        </w:rPr>
      </w:pPr>
    </w:p>
    <w:p w:rsidR="00477A17" w:rsidRDefault="00477A17" w:rsidP="00477A17">
      <w:pPr>
        <w:spacing w:line="360" w:lineRule="auto"/>
        <w:jc w:val="both"/>
        <w:rPr>
          <w:color w:val="000000"/>
          <w:sz w:val="24"/>
          <w:szCs w:val="24"/>
        </w:rPr>
      </w:pPr>
      <w:bookmarkStart w:id="5" w:name="z3"/>
      <w:bookmarkEnd w:id="5"/>
      <w:r w:rsidRPr="00477A17">
        <w:rPr>
          <w:color w:val="000000"/>
          <w:sz w:val="24"/>
          <w:szCs w:val="24"/>
        </w:rPr>
        <w:t>Zarządzenie wchodzi w życie z dniem podpisania.</w:t>
      </w:r>
    </w:p>
    <w:p w:rsidR="00477A17" w:rsidRDefault="00477A17" w:rsidP="00477A17">
      <w:pPr>
        <w:spacing w:line="360" w:lineRule="auto"/>
        <w:jc w:val="both"/>
        <w:rPr>
          <w:color w:val="000000"/>
          <w:sz w:val="24"/>
        </w:rPr>
      </w:pPr>
    </w:p>
    <w:p w:rsidR="00477A17" w:rsidRDefault="00477A17" w:rsidP="00477A17">
      <w:pPr>
        <w:keepNext/>
        <w:spacing w:line="360" w:lineRule="auto"/>
        <w:jc w:val="center"/>
        <w:rPr>
          <w:color w:val="000000"/>
          <w:sz w:val="24"/>
        </w:rPr>
      </w:pPr>
      <w:r>
        <w:rPr>
          <w:color w:val="000000"/>
          <w:sz w:val="24"/>
        </w:rPr>
        <w:t>PREZYDENT MIASTA POZNANIA</w:t>
      </w:r>
    </w:p>
    <w:p w:rsidR="00477A17" w:rsidRPr="00477A17" w:rsidRDefault="00477A17" w:rsidP="00477A17">
      <w:pPr>
        <w:keepNext/>
        <w:spacing w:line="360" w:lineRule="auto"/>
        <w:jc w:val="center"/>
        <w:rPr>
          <w:color w:val="000000"/>
          <w:sz w:val="24"/>
        </w:rPr>
      </w:pPr>
      <w:r>
        <w:rPr>
          <w:color w:val="000000"/>
          <w:sz w:val="24"/>
        </w:rPr>
        <w:t>(-) Jacek Jaśkowiak</w:t>
      </w:r>
    </w:p>
    <w:sectPr w:rsidR="00477A17" w:rsidRPr="00477A17" w:rsidSect="00477A1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17" w:rsidRDefault="00477A17">
      <w:r>
        <w:separator/>
      </w:r>
    </w:p>
  </w:endnote>
  <w:endnote w:type="continuationSeparator" w:id="0">
    <w:p w:rsidR="00477A17" w:rsidRDefault="0047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17" w:rsidRDefault="00477A17">
      <w:r>
        <w:separator/>
      </w:r>
    </w:p>
  </w:footnote>
  <w:footnote w:type="continuationSeparator" w:id="0">
    <w:p w:rsidR="00477A17" w:rsidRDefault="00477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lutego 2024r."/>
    <w:docVar w:name="AktNr" w:val="198/2024/P"/>
    <w:docVar w:name="Sprawa" w:val="określenia celów zarządczych stanowiących podstawę do przyznania wynagrodzenia zmiennego za rok 2024 członkom Zarządu Spółki Poznańskie Inwestycje Miejskie sp. z o.o."/>
  </w:docVars>
  <w:rsids>
    <w:rsidRoot w:val="00477A17"/>
    <w:rsid w:val="00072485"/>
    <w:rsid w:val="000C07FF"/>
    <w:rsid w:val="000E2E12"/>
    <w:rsid w:val="001479D5"/>
    <w:rsid w:val="00167A3B"/>
    <w:rsid w:val="002C4925"/>
    <w:rsid w:val="003679C6"/>
    <w:rsid w:val="00373368"/>
    <w:rsid w:val="00451FF2"/>
    <w:rsid w:val="00477A17"/>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710</Words>
  <Characters>4077</Characters>
  <Application>Microsoft Office Word</Application>
  <DocSecurity>0</DocSecurity>
  <Lines>86</Lines>
  <Paragraphs>32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2024-02-20T10:39:00Z</dcterms:created>
  <dcterms:modified xsi:type="dcterms:W3CDTF">2024-02-20T10:39:00Z</dcterms:modified>
</cp:coreProperties>
</file>