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64" w:rsidRPr="00982764" w:rsidRDefault="00982764" w:rsidP="00982764">
      <w:pPr>
        <w:keepNext/>
        <w:spacing w:after="0" w:line="240" w:lineRule="auto"/>
        <w:ind w:right="-739" w:firstLine="6"/>
        <w:jc w:val="right"/>
        <w:outlineLvl w:val="0"/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Załącznik </w:t>
      </w:r>
      <w:r w:rsidRPr="00982764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  <w:t xml:space="preserve">do zarządzenia Nr </w:t>
      </w:r>
      <w:r w:rsidR="00AA3EFE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  <w:t>236</w:t>
      </w:r>
      <w:r w:rsidRPr="00982764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  <w:t>/202</w:t>
      </w:r>
      <w:r w:rsidR="00EC604B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  <w:t>4</w:t>
      </w:r>
      <w:r w:rsidRPr="00982764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pl-PL"/>
        </w:rPr>
        <w:t>/P</w:t>
      </w:r>
    </w:p>
    <w:p w:rsidR="00982764" w:rsidRPr="00982764" w:rsidRDefault="00982764" w:rsidP="00982764">
      <w:pPr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PREZYDENTA MIASTA POZNANIA</w:t>
      </w:r>
    </w:p>
    <w:p w:rsidR="00982764" w:rsidRPr="00982764" w:rsidRDefault="00982764" w:rsidP="00AA3EFE">
      <w:pPr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         </w:t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</w:r>
      <w:r w:rsidRPr="0098276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ab/>
        <w:t xml:space="preserve">z dnia </w:t>
      </w:r>
      <w:r w:rsidR="00AA3EF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29.02.2024 r.</w:t>
      </w:r>
    </w:p>
    <w:p w:rsidR="00982764" w:rsidRPr="00982764" w:rsidRDefault="00982764" w:rsidP="00982764">
      <w:pPr>
        <w:keepNext/>
        <w:spacing w:after="0" w:line="240" w:lineRule="auto"/>
        <w:ind w:firstLine="5"/>
        <w:jc w:val="center"/>
        <w:outlineLvl w:val="1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eastAsia="pl-PL"/>
        </w:rPr>
      </w:pPr>
    </w:p>
    <w:p w:rsidR="00982764" w:rsidRPr="00982764" w:rsidRDefault="00982764" w:rsidP="00982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982764" w:rsidRPr="00982764" w:rsidRDefault="00982764" w:rsidP="00982764">
      <w:pPr>
        <w:keepNext/>
        <w:spacing w:after="0" w:line="240" w:lineRule="auto"/>
        <w:ind w:firstLine="6"/>
        <w:jc w:val="center"/>
        <w:outlineLvl w:val="1"/>
        <w:rPr>
          <w:rFonts w:ascii="Times New Roman" w:eastAsia="Times New Roman" w:hAnsi="Times New Roman" w:cs="Times New Roman"/>
          <w:b/>
          <w:noProof/>
          <w:snapToGrid w:val="0"/>
          <w:sz w:val="28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b/>
          <w:noProof/>
          <w:snapToGrid w:val="0"/>
          <w:sz w:val="28"/>
          <w:szCs w:val="20"/>
          <w:lang w:eastAsia="pl-PL"/>
        </w:rPr>
        <w:t>WYKAZ</w:t>
      </w:r>
    </w:p>
    <w:p w:rsidR="00982764" w:rsidRPr="00982764" w:rsidRDefault="00982764" w:rsidP="00982764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nieruchomości przeznaczonej do sprzedaży w trybie bezprzetargowym</w:t>
      </w:r>
    </w:p>
    <w:tbl>
      <w:tblPr>
        <w:tblW w:w="10647" w:type="dxa"/>
        <w:tblInd w:w="-49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7"/>
        <w:gridCol w:w="8460"/>
      </w:tblGrid>
      <w:tr w:rsidR="00982764" w:rsidRPr="00982764" w:rsidTr="00205EA5"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13"/>
              </w:tabs>
              <w:spacing w:before="60" w:after="0" w:line="240" w:lineRule="auto"/>
              <w:ind w:left="351" w:right="-68" w:hanging="357"/>
              <w:jc w:val="both"/>
              <w:rPr>
                <w:rFonts w:ascii="Times New Roman" w:eastAsia="Times New Roman" w:hAnsi="Times New Roman" w:cs="Times New Roman"/>
                <w:caps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Adres nieruchomości</w:t>
            </w:r>
          </w:p>
        </w:tc>
        <w:tc>
          <w:tcPr>
            <w:tcW w:w="8460" w:type="dxa"/>
            <w:vAlign w:val="center"/>
          </w:tcPr>
          <w:p w:rsidR="00982764" w:rsidRPr="00982764" w:rsidRDefault="00982764" w:rsidP="00982764">
            <w:pPr>
              <w:keepNext/>
              <w:spacing w:before="60" w:after="6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Poznań, </w:t>
            </w:r>
            <w:r w:rsidR="006F15F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rejon </w:t>
            </w:r>
            <w:r w:rsidRPr="0098276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ul. </w:t>
            </w:r>
            <w:r w:rsidR="00F65FCC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Czarnkowsk</w:t>
            </w:r>
            <w:r w:rsidR="006F15F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iej</w:t>
            </w:r>
          </w:p>
        </w:tc>
      </w:tr>
      <w:tr w:rsidR="00982764" w:rsidRPr="00982764" w:rsidTr="00205EA5">
        <w:trPr>
          <w:trHeight w:val="753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110"/>
                <w:tab w:val="num" w:pos="213"/>
              </w:tabs>
              <w:spacing w:before="140" w:after="0" w:line="240" w:lineRule="auto"/>
              <w:ind w:left="351" w:right="-68" w:hanging="357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  <w:lang w:eastAsia="pl-PL"/>
              </w:rPr>
              <w:t>Oznaczenia geodezyjne</w:t>
            </w:r>
          </w:p>
        </w:tc>
        <w:tc>
          <w:tcPr>
            <w:tcW w:w="8460" w:type="dxa"/>
            <w:vAlign w:val="center"/>
          </w:tcPr>
          <w:p w:rsidR="00982764" w:rsidRPr="00982764" w:rsidRDefault="00982764" w:rsidP="0098276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obręb </w:t>
            </w:r>
            <w:r w:rsidR="00F65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Golęcin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arkusz </w:t>
            </w:r>
            <w:r w:rsidR="00F65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działka </w:t>
            </w:r>
            <w:r w:rsidR="00F65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/7 (B) pow. 1 m² KW PO1P/00</w:t>
            </w:r>
            <w:r w:rsidR="00F65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115865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="00F65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982764" w:rsidRPr="00982764" w:rsidRDefault="00982764" w:rsidP="0098276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 KW PO1P/00</w:t>
            </w:r>
            <w:r w:rsidR="00F65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115865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F65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właściciel: Miasto Poznań</w:t>
            </w:r>
          </w:p>
        </w:tc>
      </w:tr>
      <w:tr w:rsidR="00982764" w:rsidRPr="00982764" w:rsidTr="00205EA5">
        <w:trPr>
          <w:trHeight w:val="691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13"/>
                <w:tab w:val="left" w:pos="2194"/>
              </w:tabs>
              <w:spacing w:before="60" w:after="0" w:line="240" w:lineRule="auto"/>
              <w:ind w:left="351" w:right="45" w:hanging="3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8460" w:type="dxa"/>
          </w:tcPr>
          <w:p w:rsidR="00982764" w:rsidRDefault="00982764" w:rsidP="00982764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before="60"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położona w zachodniej części miasta, </w:t>
            </w:r>
          </w:p>
          <w:p w:rsidR="00A964EA" w:rsidRPr="00982764" w:rsidRDefault="00A964EA" w:rsidP="00982764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before="60"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kształt regularny, zbliżony do prostokąta,</w:t>
            </w:r>
          </w:p>
          <w:p w:rsidR="00762E8A" w:rsidRPr="00982764" w:rsidRDefault="00982764" w:rsidP="00762E8A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before="60"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dojazd drogą publiczną o nawierzchni asfaltowej (ul. </w:t>
            </w:r>
            <w:r w:rsidR="0067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Czarnkowska</w:t>
            </w: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 w:rsidR="000F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67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96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dostęp do nieruchomości odbywa się przez działki 5/9, 5/11, 5/13, </w:t>
            </w:r>
          </w:p>
          <w:p w:rsidR="00762E8A" w:rsidRDefault="00762E8A" w:rsidP="00982764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całości zabudowana fragmentem budynku mieszkalnego jednorodzinnego dwulokalowego</w:t>
            </w:r>
            <w:r w:rsidR="006F1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południowo</w:t>
            </w:r>
            <w:r w:rsidR="00BF6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wschodnią ścianą budynku,</w:t>
            </w:r>
            <w:r w:rsidR="006F1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pow. zabudowy wynosi 1 m</w:t>
            </w:r>
            <w:r w:rsidR="006F1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="006F1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82764" w:rsidRPr="00982764" w:rsidRDefault="00982764" w:rsidP="00982764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after="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najbliższym sąsiedztwie nieruchomości znajdują się: zabudowa mieszkaniowa jednorodzinna </w:t>
            </w: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76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 zabudowa usługowa</w:t>
            </w: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76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dalszym otoczeniu </w:t>
            </w:r>
            <w:r w:rsidR="00762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występuje zróżnicowana zabudowa mieszkaniowa osiedla Krzyżowniki-Smochowice oraz zabudowa handlowo-usługowa rozciągająca się wzdłuż ulicy Dąbrowskiego,</w:t>
            </w: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7020A" w:rsidRPr="006F15F7" w:rsidRDefault="00762E8A" w:rsidP="006F15F7">
            <w:pPr>
              <w:numPr>
                <w:ilvl w:val="0"/>
                <w:numId w:val="3"/>
              </w:numPr>
              <w:tabs>
                <w:tab w:val="clear" w:pos="360"/>
                <w:tab w:val="num" w:pos="290"/>
              </w:tabs>
              <w:spacing w:after="60" w:line="240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rejon uzbrojony jest w sieć energetyczną, wodociągową, kanalizacyjną, gazową i telekomunikacyjną.</w:t>
            </w:r>
          </w:p>
        </w:tc>
      </w:tr>
      <w:tr w:rsidR="00982764" w:rsidRPr="00982764" w:rsidTr="00205EA5">
        <w:trPr>
          <w:trHeight w:val="688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num" w:pos="216"/>
                <w:tab w:val="num" w:pos="1440"/>
              </w:tabs>
              <w:spacing w:before="60" w:after="0" w:line="240" w:lineRule="auto"/>
              <w:ind w:left="216" w:right="-68" w:hanging="216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  <w:sz w:val="20"/>
                <w:szCs w:val="20"/>
                <w:lang w:eastAsia="pl-PL"/>
              </w:rPr>
              <w:t>Przeznaczenie</w:t>
            </w:r>
            <w:r w:rsidRPr="0098276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76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br/>
            </w:r>
            <w:r w:rsidRPr="00982764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  <w:sz w:val="20"/>
                <w:szCs w:val="20"/>
                <w:lang w:eastAsia="pl-PL"/>
              </w:rPr>
              <w:t>nieruchomości</w:t>
            </w:r>
            <w:r w:rsidRPr="0098276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 i sposób zagospodarowania</w:t>
            </w:r>
          </w:p>
        </w:tc>
        <w:tc>
          <w:tcPr>
            <w:tcW w:w="8460" w:type="dxa"/>
          </w:tcPr>
          <w:p w:rsidR="00982764" w:rsidRPr="00982764" w:rsidRDefault="000F0D16" w:rsidP="0098276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Działka p</w:t>
            </w:r>
            <w:r w:rsidR="00982764"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ołożona jest na terenie, na którym obecnie nie obowiązuje żaden miejscowy plan zagospodarowania przestrzennego. </w:t>
            </w:r>
          </w:p>
          <w:p w:rsidR="00982764" w:rsidRPr="00982764" w:rsidRDefault="00982764" w:rsidP="0098276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Zgodnie ze Studium uwarunkowań i kierunków zagospodarowania przestrzennego miasta Poznania, zatwierdzonym uchwałą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LXXXVIII/1670/VIII/2023 r. Rady Miasta Poznania z dnia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11 lipca 2023 r., nieruchomość znajduje się na obszarze oznaczonym symbolem: </w:t>
            </w:r>
          </w:p>
          <w:p w:rsidR="00982764" w:rsidRPr="00982764" w:rsidRDefault="00982764" w:rsidP="0098276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MN</w:t>
            </w:r>
            <w:r w:rsidR="00F00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/U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</w:t>
            </w:r>
            <w:r w:rsidR="00F00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tereny zabudowy mieszkaniowej jednorodzinnej lub zabudowy usługowej, dla których określa się wiodący kierunek przeznaczenia – zabudowę mieszkaniową jednorodzinną lub zabudowę usługową, uzupełniający kierunek przeznaczenia – zieleń (np. parki, skwery), tereny sportu i rekreacji, tereny komunikacji i infrastruktury technicznej. 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982764" w:rsidRDefault="00982764" w:rsidP="00F0051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Powyższe potwierdził Wydział Urbanistyki i Architektury Urzędu Miasta Poznania w piśmie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nr UA-IV.6724.</w:t>
            </w:r>
            <w:r w:rsidR="00F00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2452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.2023 z dnia 1</w:t>
            </w:r>
            <w:r w:rsidR="00F00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00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grudnia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2023 r.</w:t>
            </w:r>
          </w:p>
          <w:p w:rsidR="00971AA6" w:rsidRPr="00971AA6" w:rsidRDefault="00971AA6" w:rsidP="00971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971AA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Sposób zagospodarowania:</w:t>
            </w:r>
          </w:p>
          <w:p w:rsidR="00971AA6" w:rsidRDefault="00971AA6" w:rsidP="00971A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971AA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nie istnieje możliwość zagospodarowania nieruchomości miejskiej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, tj. działki 6/7,</w:t>
            </w:r>
            <w:r w:rsidRPr="00971AA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 jako odrębnej nieruchomości,</w:t>
            </w:r>
          </w:p>
          <w:p w:rsidR="00971AA6" w:rsidRPr="00982764" w:rsidRDefault="00971AA6" w:rsidP="00971A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istnieje możliwość </w:t>
            </w:r>
            <w:r w:rsidRPr="00971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poprawienia warunków zagospodarowania nieruchomości przyległej, tj. dział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971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5/4 i 5/12</w:t>
            </w:r>
            <w:r w:rsidRPr="00971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82764" w:rsidRPr="00982764" w:rsidTr="00205EA5">
        <w:trPr>
          <w:trHeight w:val="154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84"/>
                <w:tab w:val="left" w:pos="1490"/>
              </w:tabs>
              <w:spacing w:before="60" w:after="0" w:line="240" w:lineRule="auto"/>
              <w:ind w:left="351" w:right="-68" w:hanging="3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Forma i tryb zbycia</w:t>
            </w:r>
          </w:p>
        </w:tc>
        <w:tc>
          <w:tcPr>
            <w:tcW w:w="8460" w:type="dxa"/>
            <w:vAlign w:val="center"/>
          </w:tcPr>
          <w:p w:rsidR="00982764" w:rsidRPr="00982764" w:rsidRDefault="00982764" w:rsidP="0098276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Sprzedaż w trybie bezprzetargowym.</w:t>
            </w:r>
          </w:p>
        </w:tc>
      </w:tr>
      <w:tr w:rsidR="00982764" w:rsidRPr="00982764" w:rsidTr="00205EA5">
        <w:trPr>
          <w:trHeight w:val="75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84"/>
                <w:tab w:val="left" w:pos="1490"/>
              </w:tabs>
              <w:spacing w:before="60" w:after="60" w:line="240" w:lineRule="auto"/>
              <w:ind w:left="351" w:right="-68" w:hanging="3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Cena nieruchomości</w:t>
            </w:r>
          </w:p>
        </w:tc>
        <w:tc>
          <w:tcPr>
            <w:tcW w:w="8460" w:type="dxa"/>
          </w:tcPr>
          <w:p w:rsidR="0047020A" w:rsidRPr="00831D76" w:rsidRDefault="006F15F7" w:rsidP="00982764">
            <w:pPr>
              <w:tabs>
                <w:tab w:val="num" w:pos="470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9</w:t>
            </w:r>
            <w:r w:rsidR="00A71388" w:rsidRPr="00831D7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2</w:t>
            </w:r>
            <w:r w:rsidR="00971AA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4</w:t>
            </w:r>
            <w:r w:rsidR="00EE5CD2" w:rsidRPr="00831D7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 xml:space="preserve">,- zł (słownie: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 xml:space="preserve">dziewięćset dwadzieścia cztery </w:t>
            </w:r>
            <w:r w:rsidR="00EE5CD2" w:rsidRPr="00831D7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złot</w:t>
            </w:r>
            <w:r w:rsidR="0010235E" w:rsidRPr="00831D7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e</w:t>
            </w:r>
            <w:r w:rsidR="00EE5CD2" w:rsidRPr="00831D7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 xml:space="preserve"> 00/100).</w:t>
            </w:r>
          </w:p>
          <w:p w:rsidR="00331CC4" w:rsidRPr="006F15F7" w:rsidRDefault="00331CC4" w:rsidP="00982764">
            <w:pPr>
              <w:tabs>
                <w:tab w:val="num" w:pos="470"/>
              </w:tabs>
              <w:spacing w:before="60" w:after="12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F15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831D76" w:rsidRPr="006F15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uwagi na to, że z</w:t>
            </w:r>
            <w:r w:rsidRPr="006F15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ostały spełnione przesłanki z art. 231 </w:t>
            </w:r>
            <w:r w:rsidRPr="006F15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§ 1 Kodeksu </w:t>
            </w:r>
            <w:r w:rsidR="00BF677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</w:t>
            </w:r>
            <w:r w:rsidRPr="006F15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ywilnego, zgodnie z którym: </w:t>
            </w:r>
            <w:r w:rsidRPr="006F15F7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Samoistny posiadacz gruntu w dobrej wierze, który wzniósł na powierzchni lub pod powierzchnia gruntu</w:t>
            </w:r>
            <w:r w:rsidRPr="006F15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6F15F7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budynek lub inne urządzenie o wartości przenoszącej znacznie wartość zajętej na ten cel działki, może żądać, aby właściciel przeniósł na niego własność zajętej działki za odpowiednim wynagrodzeniem</w:t>
            </w:r>
            <w:r w:rsidR="006F15F7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.</w:t>
            </w:r>
          </w:p>
          <w:p w:rsidR="00982764" w:rsidRPr="00831D76" w:rsidRDefault="00982764" w:rsidP="00982764">
            <w:pPr>
              <w:tabs>
                <w:tab w:val="left" w:pos="-90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1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Udziela się 50% bonifikaty od ceny sprzedaży ww. nieruchomości</w:t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 podstawie uchwały                            Nr LXXXIV/1572/VIII/2023 z dnia 6 czerwca 2023 r. w sprawie warunków udzielenia bonifikaty i wysokości stawki procentowej przy sprzedaży nieruchomości stanowiących własność Miasta </w:t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Poznania, o których mowa w art. 37 ust. 2 pkt 6 ustawy z dnia 21 sierpnia 1997 r. o gospodarce </w:t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nieruchomościami. </w:t>
            </w:r>
          </w:p>
          <w:p w:rsidR="00982764" w:rsidRPr="00831D76" w:rsidRDefault="00982764" w:rsidP="00982764">
            <w:pPr>
              <w:tabs>
                <w:tab w:val="left" w:pos="-90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uwzględnieniu powyższej bonifikaty cena sprzedaży nieruchomości wynosi:</w:t>
            </w:r>
          </w:p>
          <w:p w:rsidR="00982764" w:rsidRPr="00831D76" w:rsidRDefault="000F0D16" w:rsidP="00982764">
            <w:pPr>
              <w:spacing w:before="60" w:after="4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83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462</w:t>
            </w:r>
            <w:r w:rsidR="00982764" w:rsidRPr="0083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,- zł</w:t>
            </w:r>
            <w:r w:rsidR="00982764"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(słownie: </w:t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czterysta sześćdziesiąt dwa złote</w:t>
            </w:r>
            <w:r w:rsidR="00982764"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00/100</w:t>
            </w:r>
            <w:r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82764" w:rsidRPr="00831D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tym 23% podatku VAT.</w:t>
            </w:r>
          </w:p>
        </w:tc>
      </w:tr>
      <w:tr w:rsidR="00982764" w:rsidRPr="00982764" w:rsidTr="00205EA5">
        <w:trPr>
          <w:trHeight w:val="296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84"/>
                <w:tab w:val="left" w:pos="1490"/>
              </w:tabs>
              <w:spacing w:before="60" w:after="60" w:line="240" w:lineRule="auto"/>
              <w:ind w:left="351" w:right="110" w:hanging="35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lastRenderedPageBreak/>
              <w:t xml:space="preserve">Termin płatności </w:t>
            </w:r>
          </w:p>
        </w:tc>
        <w:tc>
          <w:tcPr>
            <w:tcW w:w="8460" w:type="dxa"/>
          </w:tcPr>
          <w:p w:rsidR="00982764" w:rsidRPr="00982764" w:rsidRDefault="00982764" w:rsidP="0098276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Cena nieruchomości podlega zapłacie nie później niż do dnia zawarcia umowy przenoszącej własność.</w:t>
            </w:r>
          </w:p>
        </w:tc>
      </w:tr>
      <w:tr w:rsidR="00982764" w:rsidRPr="00982764" w:rsidTr="00205EA5">
        <w:trPr>
          <w:trHeight w:val="65"/>
        </w:trPr>
        <w:tc>
          <w:tcPr>
            <w:tcW w:w="2187" w:type="dxa"/>
          </w:tcPr>
          <w:p w:rsidR="00982764" w:rsidRPr="00982764" w:rsidRDefault="00982764" w:rsidP="00982764">
            <w:pPr>
              <w:numPr>
                <w:ilvl w:val="0"/>
                <w:numId w:val="2"/>
              </w:numPr>
              <w:tabs>
                <w:tab w:val="left" w:pos="284"/>
                <w:tab w:val="left" w:pos="1490"/>
              </w:tabs>
              <w:spacing w:before="60" w:after="0" w:line="240" w:lineRule="auto"/>
              <w:ind w:left="351" w:right="-68" w:hanging="357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</w:t>
            </w:r>
            <w:r w:rsidRPr="009827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ormacje dodatkowe</w:t>
            </w:r>
          </w:p>
        </w:tc>
        <w:tc>
          <w:tcPr>
            <w:tcW w:w="8460" w:type="dxa"/>
          </w:tcPr>
          <w:p w:rsidR="00982764" w:rsidRPr="00982764" w:rsidRDefault="00982764" w:rsidP="0098276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</w:pPr>
            <w:r w:rsidRPr="00831D7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pl-PL"/>
              </w:rPr>
              <w:t>1</w:t>
            </w:r>
            <w:r w:rsidRPr="0098276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 xml:space="preserve">. </w:t>
            </w:r>
            <w:r w:rsidRPr="00831D7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pl-PL"/>
              </w:rPr>
              <w:t>Wyznacza się</w:t>
            </w:r>
            <w:r w:rsidRPr="0098276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98276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pl-PL"/>
              </w:rPr>
              <w:t xml:space="preserve">termin 6 tygodni, licząc od dnia wywieszenia wykazu, do złożenia wniosku przez osoby, którym przysługuje pierwszeństwo w nabyciu nieruchomości, </w:t>
            </w:r>
            <w:r w:rsidRPr="00831D7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 xml:space="preserve">na podstawie </w:t>
            </w:r>
            <w:r w:rsidRPr="00831D7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br/>
              <w:t>art. 34 ust. 1 pkt 1 i 2 ustawy z dnia 21 sierpnia 1997 r. o gospodarce nieruchomościam</w:t>
            </w:r>
            <w:r w:rsidRPr="0098276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>i.</w:t>
            </w:r>
          </w:p>
          <w:p w:rsidR="00982764" w:rsidRPr="00982764" w:rsidRDefault="00982764" w:rsidP="00982764">
            <w:pPr>
              <w:spacing w:before="60" w:after="0" w:line="240" w:lineRule="auto"/>
              <w:ind w:hanging="43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 xml:space="preserve">        Osoby, o których mowa powyżej,</w:t>
            </w:r>
            <w:r w:rsidRPr="0098276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pl-PL"/>
              </w:rPr>
              <w:t xml:space="preserve"> korzystają z pierwszeństwa w nabyciu nieruchomości, jeżeli złożą oświadczenie, że wyrażają zgodę na cenę ustaloną w sposób określony w ustawie </w:t>
            </w:r>
            <w:r w:rsidRPr="0098276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>(zgodnie z art. 34 ust. 5 ustawy z dnia 21 sierpnia 1997 r. o gospodarce nieruchomościami).</w:t>
            </w:r>
          </w:p>
          <w:p w:rsidR="00982764" w:rsidRPr="00982764" w:rsidRDefault="00982764" w:rsidP="00831D7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Nabywca nieruchomości:</w:t>
            </w:r>
          </w:p>
          <w:p w:rsidR="00982764" w:rsidRPr="00982764" w:rsidRDefault="00982764" w:rsidP="00982764">
            <w:pPr>
              <w:numPr>
                <w:ilvl w:val="0"/>
                <w:numId w:val="5"/>
              </w:numPr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podstawie art. 3 ustawy z dnia 12 stycznia 1991 r. o podatkach i opłatach lokalnych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zobowiązany będzie do zapłaty podatku od nieruchomości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82764" w:rsidRPr="00982764" w:rsidRDefault="00982764" w:rsidP="00982764">
            <w:pPr>
              <w:numPr>
                <w:ilvl w:val="0"/>
                <w:numId w:val="5"/>
              </w:numPr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zobowiązany będzie do ustanowienia na rzecz Miasta Poznania hipoteki do kwoty </w:t>
            </w:r>
            <w:r w:rsidR="0081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55</w:t>
            </w:r>
            <w:r w:rsidR="00971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zł</w:t>
            </w: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(słownie: </w:t>
            </w:r>
            <w:r w:rsidR="008109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pięćset pięćdziesiąt </w:t>
            </w:r>
            <w:r w:rsidR="00971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cztery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złot</w:t>
            </w:r>
            <w:r w:rsidR="00971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00/100) w celu zabezpieczenia zwrotu Miastu Poznań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bonifikaty po jej waloryzacji;</w:t>
            </w:r>
          </w:p>
          <w:p w:rsidR="00982764" w:rsidRPr="00982764" w:rsidRDefault="00982764" w:rsidP="00982764">
            <w:pPr>
              <w:numPr>
                <w:ilvl w:val="0"/>
                <w:numId w:val="5"/>
              </w:numPr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ponosi koszty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notarialne i sądowe, których wysokość określi notariusz.</w:t>
            </w:r>
          </w:p>
          <w:p w:rsidR="00982764" w:rsidRPr="00982764" w:rsidRDefault="00982764" w:rsidP="00831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27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 Kwestię własności urządzeń podziemnych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reguluje art. 49 Kodeksu cywilnego (</w:t>
            </w:r>
            <w:proofErr w:type="spellStart"/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Dz. U.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202</w:t>
            </w:r>
            <w:r w:rsidR="00BB7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poz. 1</w:t>
            </w:r>
            <w:r w:rsidR="00BB7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610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zm.), a kwestię ustanowienia służebności </w:t>
            </w:r>
            <w:proofErr w:type="spellStart"/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</w:t>
            </w:r>
            <w:r w:rsidR="0019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esyłu</w:t>
            </w:r>
            <w:proofErr w:type="spellEnd"/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rzecz 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gestorów sieci reg</w:t>
            </w:r>
            <w:r w:rsidR="0019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lują art. 305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-305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9827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Kodeksu cywilnego.</w:t>
            </w:r>
          </w:p>
        </w:tc>
      </w:tr>
    </w:tbl>
    <w:p w:rsidR="00982764" w:rsidRPr="00982764" w:rsidRDefault="00982764" w:rsidP="00982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8276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146B75" w:rsidRDefault="00146B75"/>
    <w:p w:rsidR="005C2B69" w:rsidRDefault="005C2B69"/>
    <w:sectPr w:rsidR="005C2B69" w:rsidSect="006F15F7">
      <w:footerReference w:type="default" r:id="rId9"/>
      <w:pgSz w:w="11906" w:h="16838"/>
      <w:pgMar w:top="1276" w:right="1304" w:bottom="2127" w:left="1418" w:header="708" w:footer="9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A4" w:rsidRDefault="00A03EA4">
      <w:pPr>
        <w:spacing w:after="0" w:line="240" w:lineRule="auto"/>
      </w:pPr>
      <w:r>
        <w:separator/>
      </w:r>
    </w:p>
  </w:endnote>
  <w:endnote w:type="continuationSeparator" w:id="0">
    <w:p w:rsidR="00A03EA4" w:rsidRDefault="00A0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46" w:rsidRDefault="000F0D16">
    <w:pPr>
      <w:pStyle w:val="Stopka"/>
      <w:jc w:val="center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A3EF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A4" w:rsidRDefault="00A03EA4">
      <w:pPr>
        <w:spacing w:after="0" w:line="240" w:lineRule="auto"/>
      </w:pPr>
      <w:r>
        <w:separator/>
      </w:r>
    </w:p>
  </w:footnote>
  <w:footnote w:type="continuationSeparator" w:id="0">
    <w:p w:rsidR="00A03EA4" w:rsidRDefault="00A0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C15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B2C426A"/>
    <w:multiLevelType w:val="hybridMultilevel"/>
    <w:tmpl w:val="60D892F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67CE7"/>
    <w:multiLevelType w:val="hybridMultilevel"/>
    <w:tmpl w:val="1CCAC1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64B60"/>
    <w:multiLevelType w:val="hybridMultilevel"/>
    <w:tmpl w:val="CFCEB412"/>
    <w:lvl w:ilvl="0" w:tplc="D3CCE7AC">
      <w:start w:val="1"/>
      <w:numFmt w:val="bullet"/>
      <w:lvlText w:val="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70275147"/>
    <w:multiLevelType w:val="hybridMultilevel"/>
    <w:tmpl w:val="8C6EE1B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83A76"/>
    <w:multiLevelType w:val="hybridMultilevel"/>
    <w:tmpl w:val="6616DBBE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4D1451"/>
    <w:multiLevelType w:val="hybridMultilevel"/>
    <w:tmpl w:val="3D6492CC"/>
    <w:lvl w:ilvl="0" w:tplc="3BAA4BC2">
      <w:start w:val="1"/>
      <w:numFmt w:val="bullet"/>
      <w:lvlText w:val="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64"/>
    <w:rsid w:val="0006443D"/>
    <w:rsid w:val="000F0D16"/>
    <w:rsid w:val="0010235E"/>
    <w:rsid w:val="00146B75"/>
    <w:rsid w:val="00194E36"/>
    <w:rsid w:val="001B7EC1"/>
    <w:rsid w:val="001D20C5"/>
    <w:rsid w:val="00221F70"/>
    <w:rsid w:val="00222467"/>
    <w:rsid w:val="00330F50"/>
    <w:rsid w:val="00331CC4"/>
    <w:rsid w:val="003802A2"/>
    <w:rsid w:val="0047020A"/>
    <w:rsid w:val="0049140F"/>
    <w:rsid w:val="004E15DD"/>
    <w:rsid w:val="00541DC8"/>
    <w:rsid w:val="00571A62"/>
    <w:rsid w:val="005C2B69"/>
    <w:rsid w:val="006240D5"/>
    <w:rsid w:val="00666E3D"/>
    <w:rsid w:val="00673B6E"/>
    <w:rsid w:val="006F15F7"/>
    <w:rsid w:val="00723035"/>
    <w:rsid w:val="00762E8A"/>
    <w:rsid w:val="007C6F11"/>
    <w:rsid w:val="00810913"/>
    <w:rsid w:val="00810E38"/>
    <w:rsid w:val="00831D76"/>
    <w:rsid w:val="00971AA6"/>
    <w:rsid w:val="00982764"/>
    <w:rsid w:val="0099142D"/>
    <w:rsid w:val="00A03EA4"/>
    <w:rsid w:val="00A71388"/>
    <w:rsid w:val="00A964EA"/>
    <w:rsid w:val="00AA3EFE"/>
    <w:rsid w:val="00BB7F4E"/>
    <w:rsid w:val="00BF677B"/>
    <w:rsid w:val="00E37598"/>
    <w:rsid w:val="00EC604B"/>
    <w:rsid w:val="00EE5CD2"/>
    <w:rsid w:val="00EF047F"/>
    <w:rsid w:val="00F0051C"/>
    <w:rsid w:val="00F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827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827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05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7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827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827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05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8CB9-14B1-4972-86B1-263F83B6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Szymczak</dc:creator>
  <cp:keywords/>
  <dc:description/>
  <cp:lastModifiedBy>..</cp:lastModifiedBy>
  <cp:revision>19</cp:revision>
  <cp:lastPrinted>2024-01-16T09:41:00Z</cp:lastPrinted>
  <dcterms:created xsi:type="dcterms:W3CDTF">2023-12-28T06:43:00Z</dcterms:created>
  <dcterms:modified xsi:type="dcterms:W3CDTF">2024-02-29T09:38:00Z</dcterms:modified>
</cp:coreProperties>
</file>