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4386">
              <w:rPr>
                <w:b/>
              </w:rPr>
              <w:fldChar w:fldCharType="separate"/>
            </w:r>
            <w:r w:rsidR="00134386">
              <w:rPr>
                <w:b/>
              </w:rPr>
              <w:t>ogłoszenia wykazu nr DXXVII lokali mieszkalnych przeznaczonych do sprzedaży</w:t>
            </w:r>
            <w:r w:rsidR="00C71C59">
              <w:rPr>
                <w:b/>
              </w:rPr>
              <w:t xml:space="preserve"> z </w:t>
            </w:r>
            <w:r w:rsidR="00134386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4386" w:rsidRDefault="00FA63B5" w:rsidP="00134386">
      <w:pPr>
        <w:spacing w:line="360" w:lineRule="auto"/>
        <w:jc w:val="both"/>
      </w:pPr>
      <w:bookmarkStart w:id="2" w:name="z1"/>
      <w:bookmarkEnd w:id="2"/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Lokale mieszkalne przeznaczone do sprzedaży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równoczesną sprzedażą udziału we współwłasności nieruchomości gruntowej, wymienione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wykazie stanowiącym załącznik do zarządzenia, usytuowane są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budynkach będących współwłasnością Miasta Poznania. Lokale te pozostawały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dyspozycji Policji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rozumieniu art. 90 ustawy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6 kwietnia 1990 r.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Policji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zostały zwolnione 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tej dyspozycji na podstawie porozumienia zawartego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dniu 8 kwietnia 2015 r.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porozumienia zawartego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dniu 2 lipca 2019 r. pomiędzy Miastem Poznań</w:t>
      </w:r>
      <w:r w:rsidR="00C71C59" w:rsidRPr="00134386">
        <w:rPr>
          <w:color w:val="000000"/>
          <w:szCs w:val="20"/>
        </w:rPr>
        <w:t xml:space="preserve"> a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Komendantem Wojewódzkim Policji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Poznaniu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Komendantem Miejskim Policji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Poznaniu. 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Najemcy zbywanych lokali uzyskali tytuł prawny do zajmowanych lokali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drodze przekształcenia istniejącego stosunku prawnego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najem na czas nieokreślony,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rozumieniu ustawy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21 czerwca 2001 r.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ochronie praw lokatorów, mieszkaniowym zasobie gminy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="00C71C59" w:rsidRPr="00134386">
        <w:rPr>
          <w:color w:val="000000"/>
          <w:szCs w:val="20"/>
        </w:rPr>
        <w:t>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zmianie Kodeksu cywilnego, lub zawarli nową umowę najmu. 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Pierwszeństwo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nabyciu wskazanego lokalu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udziału we współwłasności nieruchomości gruntowej przysługuje jego najemcom na podstawie art. 34 ust. 1 pkt 3 ustawy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21 sierpnia 1997 r.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gospodarce nieruchomościami (t.j. Dz. U.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2024 r. poz. 1145 ze zm.). 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Zgodnie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§ 2 pkt 1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3 uchwały Nr XIX/321/VIII/2019 Rady Miasta Poznania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19 listopada 2019 r.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sprawie warunków udzielenia bonifikat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wysokości stawek procentowych przy sprzedaży lokali mieszkalnych, bonifikaty przysługują najemcom lokali mieszkalnych, którzy: 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1) wniosek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sprzedaż lokalu mieszkalnego złożyli do dnia wejścia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życie niniejszej uchwały lub złożą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terminie do 31 grudnia 2022 roku;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3) nie są</w:t>
      </w:r>
      <w:r w:rsidR="00C71C59" w:rsidRPr="00134386">
        <w:rPr>
          <w:color w:val="000000"/>
          <w:szCs w:val="20"/>
        </w:rPr>
        <w:t xml:space="preserve"> i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nie byli 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okresie 5 lat kalendarzowych poprzedzających zawarcie umowy sprzedaży lokalu właścicielami innego lokalu lub domu mieszkalnego,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którym mogliby realizować potrzeby mieszkaniowe. Dotyczy to również małżonków najemców, nawet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przypadku pozostawania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sądownie orzeczonej separacji.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Wniosek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nabycie lokalu nr 55 na os. Powstańców Warszawy 4 złożony został po upływie ww.  terminu,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związku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czym przy sprzedaży przedmiotowego lokalu nie będą przysługiwały bonifikaty.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Nabywca lokalu nr 9 przy przy ul. Marcelińskiej 74 jest właścicielem innego lokalu mieszkalnego,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którym może realizować potrzeby mieszkaniowe, więc zgodnie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§ 2 pkt 3 ww. uchwały przy sprzedaży przedmiotowego lokalu nie będą przysługiwały bonifikaty.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Ujęte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wykazie lokale mieszkalne są lokalami samodzielnymi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rozumieniu art. 2 ust. 2 ustawy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24 czerwca 1994 r.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własności lokali (t.j. Dz. U.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2021 r. poz. 1048), co zostało potwierdzone przez Prezydenta Miasta Poznania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formie zaświadczenia.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Szczegółowe warunki nabycia lokalu, wraz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udziałem we współwłasności nieruchomości gruntowej, zgodnie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postanowieniami uchwały Nr LXI/842/V/2009 Rady Miasta Poznania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13 października 2009 r.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sprawie określenia zasad sprzedaży na rzecz najemców komunalnych lokali mieszkalnych, określone zostaną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protokole uzgodnień, który stanowić będzie podstawę spisania umowy notarialnej.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gruncie,</w:t>
      </w:r>
      <w:r w:rsidR="00C71C59" w:rsidRPr="00134386">
        <w:rPr>
          <w:color w:val="000000"/>
          <w:szCs w:val="20"/>
        </w:rPr>
        <w:t xml:space="preserve"> a</w:t>
      </w:r>
      <w:r w:rsidR="00C71C59">
        <w:rPr>
          <w:color w:val="000000"/>
          <w:szCs w:val="20"/>
        </w:rPr>
        <w:t> </w:t>
      </w:r>
      <w:r w:rsidR="00C71C59" w:rsidRPr="00134386">
        <w:rPr>
          <w:color w:val="000000"/>
          <w:szCs w:val="20"/>
        </w:rPr>
        <w:t>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przypadku sprzedaży na raty </w:t>
      </w:r>
      <w:r w:rsidRPr="00134386">
        <w:rPr>
          <w:color w:val="000000"/>
        </w:rPr>
        <w:t>–</w:t>
      </w:r>
      <w:r w:rsidRPr="00134386">
        <w:rPr>
          <w:color w:val="000000"/>
          <w:szCs w:val="20"/>
        </w:rPr>
        <w:t xml:space="preserve"> pierwszą ratę.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Na podstawie przepisu art. 35 ust. 1 ustawy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dnia 21 sierpnia 1997 r.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gospodarce nieruchomościami (t.j. Dz. U.</w:t>
      </w:r>
      <w:r w:rsidR="00C71C59" w:rsidRPr="00134386">
        <w:rPr>
          <w:color w:val="000000"/>
          <w:szCs w:val="20"/>
        </w:rPr>
        <w:t xml:space="preserve"> z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Wykaz ten podlega wywieszeniu na okres 21 dni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siedzibie właściwego urzędu oraz zamieszczeniu na stronie internetowej właściwego urzędu.</w:t>
      </w:r>
    </w:p>
    <w:p w:rsidR="00134386" w:rsidRPr="00134386" w:rsidRDefault="00134386" w:rsidP="001343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Ponadto informację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zamieszczeniu tego wykazu podaje się do publicznej wiadomości poprzez ogłoszenie</w:t>
      </w:r>
      <w:r w:rsidR="00C71C59" w:rsidRPr="00134386">
        <w:rPr>
          <w:color w:val="000000"/>
          <w:szCs w:val="20"/>
        </w:rPr>
        <w:t xml:space="preserve"> w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>prasie lokalnej</w:t>
      </w:r>
      <w:r w:rsidR="00C71C59" w:rsidRPr="00134386">
        <w:rPr>
          <w:color w:val="000000"/>
          <w:szCs w:val="20"/>
        </w:rPr>
        <w:t xml:space="preserve"> o</w:t>
      </w:r>
      <w:r w:rsidR="00C71C59">
        <w:rPr>
          <w:color w:val="000000"/>
          <w:szCs w:val="20"/>
        </w:rPr>
        <w:t> </w:t>
      </w:r>
      <w:r w:rsidRPr="00134386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134386" w:rsidRDefault="00134386" w:rsidP="00134386">
      <w:pPr>
        <w:spacing w:line="360" w:lineRule="auto"/>
        <w:jc w:val="both"/>
        <w:rPr>
          <w:color w:val="000000"/>
          <w:szCs w:val="20"/>
        </w:rPr>
      </w:pPr>
      <w:r w:rsidRPr="00134386">
        <w:rPr>
          <w:color w:val="000000"/>
          <w:szCs w:val="20"/>
        </w:rPr>
        <w:t>W tym stanie rzeczy wydanie zarządzenia jest uzasadnione.</w:t>
      </w:r>
    </w:p>
    <w:p w:rsidR="00134386" w:rsidRDefault="00134386" w:rsidP="00134386">
      <w:pPr>
        <w:spacing w:line="360" w:lineRule="auto"/>
        <w:jc w:val="both"/>
      </w:pPr>
    </w:p>
    <w:p w:rsidR="00134386" w:rsidRDefault="00134386" w:rsidP="00134386">
      <w:pPr>
        <w:keepNext/>
        <w:spacing w:line="360" w:lineRule="auto"/>
        <w:jc w:val="center"/>
      </w:pPr>
      <w:r>
        <w:t>DYREKTOR WYDZIAŁU</w:t>
      </w:r>
    </w:p>
    <w:p w:rsidR="00134386" w:rsidRPr="00134386" w:rsidRDefault="00134386" w:rsidP="00134386">
      <w:pPr>
        <w:keepNext/>
        <w:spacing w:line="360" w:lineRule="auto"/>
        <w:jc w:val="center"/>
      </w:pPr>
      <w:r>
        <w:t>(-) Magda Albińska</w:t>
      </w:r>
    </w:p>
    <w:sectPr w:rsidR="00134386" w:rsidRPr="00134386" w:rsidSect="00134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86" w:rsidRDefault="00134386">
      <w:r>
        <w:separator/>
      </w:r>
    </w:p>
  </w:endnote>
  <w:endnote w:type="continuationSeparator" w:id="0">
    <w:p w:rsidR="00134386" w:rsidRDefault="0013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86" w:rsidRDefault="00134386">
      <w:r>
        <w:separator/>
      </w:r>
    </w:p>
  </w:footnote>
  <w:footnote w:type="continuationSeparator" w:id="0">
    <w:p w:rsidR="00134386" w:rsidRDefault="0013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r DXXVII lokali mieszkalnych przeznaczonych do sprzedaży z równoczesną sprzedażą udziału we współwłasności nieruchomości gruntowej."/>
  </w:docVars>
  <w:rsids>
    <w:rsidRoot w:val="00134386"/>
    <w:rsid w:val="000607A3"/>
    <w:rsid w:val="00134386"/>
    <w:rsid w:val="001B1D53"/>
    <w:rsid w:val="0022095A"/>
    <w:rsid w:val="002946C5"/>
    <w:rsid w:val="002C29F3"/>
    <w:rsid w:val="00796326"/>
    <w:rsid w:val="00A87E1B"/>
    <w:rsid w:val="00AA04BE"/>
    <w:rsid w:val="00BB1A14"/>
    <w:rsid w:val="00C71C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AAEA8-CAB7-4329-B776-9966F26A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2025-03-06T09:08:00Z</dcterms:created>
  <dcterms:modified xsi:type="dcterms:W3CDTF">2025-03-06T09:08:00Z</dcterms:modified>
</cp:coreProperties>
</file>