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F6686">
        <w:tc>
          <w:tcPr>
            <w:tcW w:w="1368" w:type="dxa"/>
            <w:shd w:val="clear" w:color="auto" w:fill="auto"/>
          </w:tcPr>
          <w:p w:rsidR="00FA63B5" w:rsidRDefault="00FA63B5" w:rsidP="005F668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F6686">
            <w:pPr>
              <w:spacing w:line="360" w:lineRule="auto"/>
              <w:jc w:val="both"/>
            </w:pPr>
            <w:r w:rsidRPr="005F6686">
              <w:rPr>
                <w:b/>
              </w:rPr>
              <w:fldChar w:fldCharType="begin"/>
            </w:r>
            <w:r w:rsidRPr="005F6686">
              <w:rPr>
                <w:b/>
              </w:rPr>
              <w:instrText xml:space="preserve"> DOCVARIABLE  Sprawa  \* MERGEFORMAT </w:instrText>
            </w:r>
            <w:r w:rsidRPr="005F6686">
              <w:rPr>
                <w:b/>
              </w:rPr>
              <w:fldChar w:fldCharType="separate"/>
            </w:r>
            <w:r w:rsidR="00C903AA" w:rsidRPr="005F6686">
              <w:rPr>
                <w:b/>
              </w:rPr>
              <w:t>ogłoszenia wykazu nieruchomości stanowiącej własność Miasta Poznania, położonej</w:t>
            </w:r>
            <w:r w:rsidR="00090E2B" w:rsidRPr="005F6686">
              <w:rPr>
                <w:b/>
              </w:rPr>
              <w:t xml:space="preserve"> w </w:t>
            </w:r>
            <w:r w:rsidR="00C903AA" w:rsidRPr="005F6686">
              <w:rPr>
                <w:b/>
              </w:rPr>
              <w:t>Poznaniu przy ul. Bukowskiej, przeznaczonej do sprzedaży</w:t>
            </w:r>
            <w:r w:rsidR="00090E2B" w:rsidRPr="005F6686">
              <w:rPr>
                <w:b/>
              </w:rPr>
              <w:t xml:space="preserve"> w </w:t>
            </w:r>
            <w:r w:rsidR="00C903AA" w:rsidRPr="005F6686">
              <w:rPr>
                <w:b/>
              </w:rPr>
              <w:t>trybie bezprzetargowym.</w:t>
            </w:r>
            <w:r w:rsidRPr="005F6686">
              <w:rPr>
                <w:b/>
              </w:rPr>
              <w:fldChar w:fldCharType="end"/>
            </w:r>
          </w:p>
        </w:tc>
      </w:tr>
    </w:tbl>
    <w:p w:rsidR="00FA63B5" w:rsidRPr="00C903AA" w:rsidRDefault="00FA63B5" w:rsidP="00C903AA">
      <w:pPr>
        <w:spacing w:line="360" w:lineRule="auto"/>
        <w:jc w:val="both"/>
      </w:pPr>
      <w:bookmarkStart w:id="1" w:name="z1"/>
      <w:bookmarkEnd w:id="1"/>
    </w:p>
    <w:p w:rsidR="00C903AA" w:rsidRPr="00C903AA" w:rsidRDefault="00C903AA" w:rsidP="00C903A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Nieruchomość opisana</w:t>
      </w:r>
      <w:r w:rsidR="00090E2B" w:rsidRPr="00C903AA">
        <w:rPr>
          <w:color w:val="000000"/>
          <w:szCs w:val="20"/>
        </w:rPr>
        <w:t xml:space="preserve"> w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C903AA" w:rsidRPr="00C903AA" w:rsidRDefault="00C903AA" w:rsidP="00C903A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Zgodnie</w:t>
      </w:r>
      <w:r w:rsidR="00090E2B" w:rsidRPr="00C903AA">
        <w:rPr>
          <w:color w:val="000000"/>
          <w:szCs w:val="20"/>
        </w:rPr>
        <w:t xml:space="preserve"> z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miejscowym planem zagospodarowania przestrzennego dla obszaru „MARCELIN” część</w:t>
      </w:r>
      <w:r w:rsidR="00090E2B" w:rsidRPr="00C903AA">
        <w:rPr>
          <w:color w:val="000000"/>
          <w:szCs w:val="20"/>
        </w:rPr>
        <w:t xml:space="preserve"> A</w:t>
      </w:r>
      <w:r w:rsidR="00090E2B">
        <w:rPr>
          <w:color w:val="000000"/>
          <w:szCs w:val="20"/>
        </w:rPr>
        <w:t> </w:t>
      </w:r>
      <w:r w:rsidR="00090E2B" w:rsidRPr="00C903AA">
        <w:rPr>
          <w:color w:val="000000"/>
          <w:szCs w:val="20"/>
        </w:rPr>
        <w:t>w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Poznaniu, zatwierdzonym uchwałą Nr LI/784/VI/2013 Rady Miasta Poznania</w:t>
      </w:r>
      <w:r w:rsidR="00090E2B" w:rsidRPr="00C903AA">
        <w:rPr>
          <w:color w:val="000000"/>
          <w:szCs w:val="20"/>
        </w:rPr>
        <w:t xml:space="preserve"> z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dnia 18 czerwca 2013 r., nieruchomość znajduje się na obszarze oznaczonym</w:t>
      </w:r>
      <w:r w:rsidRPr="00C903AA">
        <w:rPr>
          <w:i/>
          <w:iCs/>
          <w:color w:val="000000"/>
          <w:szCs w:val="20"/>
        </w:rPr>
        <w:t xml:space="preserve"> </w:t>
      </w:r>
      <w:r w:rsidRPr="00C903AA">
        <w:rPr>
          <w:color w:val="000000"/>
          <w:szCs w:val="20"/>
        </w:rPr>
        <w:t>symbolem:</w:t>
      </w:r>
      <w:r w:rsidRPr="00C903AA">
        <w:rPr>
          <w:b/>
          <w:bCs/>
          <w:i/>
          <w:iCs/>
          <w:color w:val="000000"/>
          <w:szCs w:val="20"/>
        </w:rPr>
        <w:t xml:space="preserve"> 1U </w:t>
      </w:r>
      <w:r w:rsidRPr="00C903AA">
        <w:rPr>
          <w:b/>
          <w:bCs/>
          <w:i/>
          <w:iCs/>
          <w:color w:val="000000"/>
          <w:szCs w:val="20"/>
        </w:rPr>
        <w:br/>
        <w:t>– teren zabudowy usługowej</w:t>
      </w:r>
      <w:r w:rsidRPr="00C903AA">
        <w:rPr>
          <w:color w:val="000000"/>
          <w:szCs w:val="20"/>
        </w:rPr>
        <w:t>.</w:t>
      </w:r>
    </w:p>
    <w:p w:rsidR="00C903AA" w:rsidRPr="00C903AA" w:rsidRDefault="00C903AA" w:rsidP="00C903A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Powyższe potwierdził Wydział Urbanistyki</w:t>
      </w:r>
      <w:r w:rsidR="00090E2B" w:rsidRPr="00C903AA">
        <w:rPr>
          <w:color w:val="000000"/>
          <w:szCs w:val="20"/>
        </w:rPr>
        <w:t xml:space="preserve"> i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Architektury Urzędu Miasta Poznania</w:t>
      </w:r>
      <w:r w:rsidR="00090E2B" w:rsidRPr="00C903AA">
        <w:rPr>
          <w:color w:val="000000"/>
          <w:szCs w:val="20"/>
        </w:rPr>
        <w:t xml:space="preserve"> w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piśmie nr  UA-IV.6724.2114.2024</w:t>
      </w:r>
      <w:r w:rsidR="00090E2B" w:rsidRPr="00C903AA">
        <w:rPr>
          <w:color w:val="000000"/>
          <w:szCs w:val="20"/>
        </w:rPr>
        <w:t xml:space="preserve"> z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dnia 18 października 2024 r.</w:t>
      </w:r>
    </w:p>
    <w:p w:rsidR="00C903AA" w:rsidRPr="00C903AA" w:rsidRDefault="00C903AA" w:rsidP="00C903AA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  <w:szCs w:val="20"/>
        </w:rPr>
      </w:pPr>
      <w:r w:rsidRPr="00C903AA">
        <w:rPr>
          <w:color w:val="000000"/>
          <w:szCs w:val="20"/>
        </w:rPr>
        <w:t>Z art. 37 ust. 2 pkt 6 ustawy</w:t>
      </w:r>
      <w:r w:rsidR="00090E2B" w:rsidRPr="00C903AA">
        <w:rPr>
          <w:color w:val="000000"/>
          <w:szCs w:val="20"/>
        </w:rPr>
        <w:t xml:space="preserve"> z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dnia 21 sierpnia 1997 r.</w:t>
      </w:r>
      <w:r w:rsidR="00090E2B" w:rsidRPr="00C903AA">
        <w:rPr>
          <w:color w:val="000000"/>
          <w:szCs w:val="20"/>
        </w:rPr>
        <w:t xml:space="preserve"> o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gospodarce nieruchomościami (Dz. U.</w:t>
      </w:r>
      <w:r w:rsidR="00090E2B" w:rsidRPr="00C903AA">
        <w:rPr>
          <w:color w:val="000000"/>
          <w:szCs w:val="20"/>
        </w:rPr>
        <w:t xml:space="preserve"> z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 xml:space="preserve">2024 r. poz. 1145 ze zm.) wynika, że: </w:t>
      </w:r>
      <w:r w:rsidRPr="00C903AA">
        <w:rPr>
          <w:i/>
          <w:iCs/>
          <w:color w:val="000000"/>
          <w:szCs w:val="20"/>
        </w:rPr>
        <w:t>Nieruchomość jest zbywana</w:t>
      </w:r>
      <w:r w:rsidR="00090E2B" w:rsidRPr="00C903AA">
        <w:rPr>
          <w:i/>
          <w:iCs/>
          <w:color w:val="000000"/>
          <w:szCs w:val="20"/>
        </w:rPr>
        <w:t xml:space="preserve"> w</w:t>
      </w:r>
      <w:r w:rsidR="00090E2B">
        <w:rPr>
          <w:i/>
          <w:iCs/>
          <w:color w:val="000000"/>
          <w:szCs w:val="20"/>
        </w:rPr>
        <w:t> </w:t>
      </w:r>
      <w:r w:rsidRPr="00C903AA">
        <w:rPr>
          <w:i/>
          <w:iCs/>
          <w:color w:val="000000"/>
          <w:szCs w:val="20"/>
        </w:rPr>
        <w:t xml:space="preserve">drodze bezprzetargowej, jeżeli </w:t>
      </w:r>
      <w:r w:rsidRPr="00C903AA">
        <w:rPr>
          <w:color w:val="000000"/>
          <w:szCs w:val="20"/>
        </w:rPr>
        <w:t xml:space="preserve">(...) </w:t>
      </w:r>
      <w:r w:rsidRPr="00C903AA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</w:t>
      </w:r>
      <w:r w:rsidR="00090E2B" w:rsidRPr="00C903AA">
        <w:rPr>
          <w:i/>
          <w:iCs/>
          <w:color w:val="000000"/>
          <w:szCs w:val="20"/>
        </w:rPr>
        <w:t xml:space="preserve"> w</w:t>
      </w:r>
      <w:r w:rsidR="00090E2B">
        <w:rPr>
          <w:i/>
          <w:iCs/>
          <w:color w:val="000000"/>
          <w:szCs w:val="20"/>
        </w:rPr>
        <w:t> </w:t>
      </w:r>
      <w:r w:rsidRPr="00C903AA">
        <w:rPr>
          <w:i/>
          <w:iCs/>
          <w:color w:val="000000"/>
          <w:szCs w:val="20"/>
        </w:rPr>
        <w:t xml:space="preserve">użytkowanie wieczyste osobie, która zamierza tę nieruchomość lub jej części nabyć, jeżeli nie mogą być zagospodarowane jako odrębne nieruchomości. </w:t>
      </w:r>
    </w:p>
    <w:p w:rsidR="00C903AA" w:rsidRPr="00C903AA" w:rsidRDefault="00C903AA" w:rsidP="00C903AA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Prezydent Miasta Poznania wydał zarządzenie Nr 243/2019/P</w:t>
      </w:r>
      <w:r w:rsidR="00090E2B" w:rsidRPr="00C903AA">
        <w:rPr>
          <w:color w:val="000000"/>
          <w:szCs w:val="20"/>
        </w:rPr>
        <w:t xml:space="preserve"> z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dnia 11 marca 2019 r.</w:t>
      </w:r>
      <w:r w:rsidR="00090E2B" w:rsidRPr="00C903AA">
        <w:rPr>
          <w:color w:val="000000"/>
          <w:szCs w:val="20"/>
        </w:rPr>
        <w:t xml:space="preserve"> w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sprawie określenia zasad realizacji art. 37 ust. 2 pkt 6 ustawy</w:t>
      </w:r>
      <w:r w:rsidR="00090E2B" w:rsidRPr="00C903AA">
        <w:rPr>
          <w:color w:val="000000"/>
          <w:szCs w:val="20"/>
        </w:rPr>
        <w:t xml:space="preserve"> z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dnia 21 sierpnia 1997 r.</w:t>
      </w:r>
      <w:r w:rsidR="00090E2B" w:rsidRPr="00C903AA">
        <w:rPr>
          <w:color w:val="000000"/>
          <w:szCs w:val="20"/>
        </w:rPr>
        <w:t xml:space="preserve"> o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gospodarce nieruchomościami.</w:t>
      </w:r>
    </w:p>
    <w:p w:rsidR="00C903AA" w:rsidRPr="00C903AA" w:rsidRDefault="00C903AA" w:rsidP="00115E04">
      <w:pPr>
        <w:tabs>
          <w:tab w:val="left" w:pos="314"/>
        </w:tabs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Pozwala ono realizować</w:t>
      </w:r>
      <w:r w:rsidR="00090E2B" w:rsidRPr="00C903AA">
        <w:rPr>
          <w:color w:val="000000"/>
          <w:szCs w:val="20"/>
        </w:rPr>
        <w:t xml:space="preserve"> w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C903AA">
        <w:rPr>
          <w:b/>
          <w:bCs/>
          <w:color w:val="000000"/>
          <w:szCs w:val="20"/>
        </w:rPr>
        <w:t>–</w:t>
      </w:r>
      <w:r w:rsidRPr="00C903AA">
        <w:rPr>
          <w:color w:val="000000"/>
          <w:szCs w:val="20"/>
        </w:rPr>
        <w:t xml:space="preserve"> tzw. masek budowlanych.</w:t>
      </w:r>
    </w:p>
    <w:p w:rsidR="00C903AA" w:rsidRPr="00C903AA" w:rsidRDefault="00C903AA" w:rsidP="00C903AA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lastRenderedPageBreak/>
        <w:t>Zespół ds. masek budowlanych ustalił, że:</w:t>
      </w:r>
    </w:p>
    <w:p w:rsidR="00C903AA" w:rsidRPr="00C903AA" w:rsidRDefault="00C903AA" w:rsidP="00C903AA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– nie istnieje możliwość zagospodarowania nieruchomości miejskiej, tj. działki 29/2, jako odrębnej nieruchomości,</w:t>
      </w:r>
    </w:p>
    <w:p w:rsidR="00C903AA" w:rsidRPr="00C903AA" w:rsidRDefault="00C903AA" w:rsidP="00C903A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– nieruchomość miejska jest niezbędna do poprawienia warunków zagospodarowania nieruchomości przyległej, tj. działek 6/1, 6/2</w:t>
      </w:r>
      <w:r w:rsidR="00090E2B" w:rsidRPr="00C903AA">
        <w:rPr>
          <w:color w:val="000000"/>
          <w:szCs w:val="20"/>
        </w:rPr>
        <w:t xml:space="preserve"> i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 xml:space="preserve">14, </w:t>
      </w:r>
      <w:bookmarkStart w:id="2" w:name="_GoBack"/>
      <w:bookmarkEnd w:id="2"/>
      <w:r w:rsidRPr="00C903AA">
        <w:rPr>
          <w:color w:val="000000"/>
          <w:szCs w:val="20"/>
        </w:rPr>
        <w:t>po uprzednim podziale geodezyjnym nieruchomości miejskiej.</w:t>
      </w:r>
    </w:p>
    <w:p w:rsidR="00C903AA" w:rsidRPr="00C903AA" w:rsidRDefault="00C903AA" w:rsidP="00C903A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C903AA" w:rsidRPr="00C903AA" w:rsidRDefault="00C903AA" w:rsidP="00C903A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Dyrektor Zarządu Geodezji</w:t>
      </w:r>
      <w:r w:rsidR="00090E2B" w:rsidRPr="00C903AA">
        <w:rPr>
          <w:color w:val="000000"/>
          <w:szCs w:val="20"/>
        </w:rPr>
        <w:t xml:space="preserve"> i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Katastru Miejskiego GEOPOZ decyzją nr ZG-AGP.5040.70.2023</w:t>
      </w:r>
      <w:r w:rsidR="00090E2B" w:rsidRPr="00C903AA">
        <w:rPr>
          <w:color w:val="000000"/>
          <w:szCs w:val="20"/>
        </w:rPr>
        <w:t xml:space="preserve"> z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dnia 4 maja 2023 r. zatwierdził podział działki 29/2,</w:t>
      </w:r>
      <w:r w:rsidR="00090E2B" w:rsidRPr="00C903AA">
        <w:rPr>
          <w:color w:val="000000"/>
          <w:szCs w:val="20"/>
        </w:rPr>
        <w:t xml:space="preserve"> w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 xml:space="preserve">wyniku którego powstały działki: 29/4, </w:t>
      </w:r>
      <w:r w:rsidRPr="00C903AA">
        <w:rPr>
          <w:b/>
          <w:bCs/>
          <w:color w:val="000000"/>
          <w:szCs w:val="20"/>
        </w:rPr>
        <w:t>29/5</w:t>
      </w:r>
      <w:r w:rsidRPr="00C903AA">
        <w:rPr>
          <w:color w:val="000000"/>
          <w:szCs w:val="20"/>
        </w:rPr>
        <w:t>, 29/6, 29/7, 29/8.</w:t>
      </w:r>
    </w:p>
    <w:p w:rsidR="00C903AA" w:rsidRPr="00C903AA" w:rsidRDefault="00C903AA" w:rsidP="00C903A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Właściciel nieruchomości przyległej, tj. działek 6/1, 6/2</w:t>
      </w:r>
      <w:r w:rsidR="00090E2B" w:rsidRPr="00C903AA">
        <w:rPr>
          <w:color w:val="000000"/>
          <w:szCs w:val="20"/>
        </w:rPr>
        <w:t xml:space="preserve"> i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14, jest zainteresowany nabyciem prawa własności nieruchomości miejskiej, tj. działki 29/5.</w:t>
      </w:r>
    </w:p>
    <w:p w:rsidR="00C903AA" w:rsidRPr="00C903AA" w:rsidRDefault="00C903AA" w:rsidP="00C903A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Zgodnie</w:t>
      </w:r>
      <w:r w:rsidR="00090E2B" w:rsidRPr="00C903AA">
        <w:rPr>
          <w:color w:val="000000"/>
          <w:szCs w:val="20"/>
        </w:rPr>
        <w:t xml:space="preserve"> z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art. 35 ust. 1 ustawy</w:t>
      </w:r>
      <w:r w:rsidR="00090E2B" w:rsidRPr="00C903AA">
        <w:rPr>
          <w:color w:val="000000"/>
          <w:szCs w:val="20"/>
        </w:rPr>
        <w:t xml:space="preserve"> z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dnia 21 sierpnia 1997 r.</w:t>
      </w:r>
      <w:r w:rsidR="00090E2B" w:rsidRPr="00C903AA">
        <w:rPr>
          <w:color w:val="000000"/>
          <w:szCs w:val="20"/>
        </w:rPr>
        <w:t xml:space="preserve"> o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gospodarce nieruchomościami prezydent miasta sporządza</w:t>
      </w:r>
      <w:r w:rsidR="00090E2B" w:rsidRPr="00C903AA">
        <w:rPr>
          <w:color w:val="000000"/>
          <w:szCs w:val="20"/>
        </w:rPr>
        <w:t xml:space="preserve"> i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podaje do publicznej wiadomości wykaz nieruchomości przeznaczonych do zbycia.</w:t>
      </w:r>
    </w:p>
    <w:p w:rsidR="00C903AA" w:rsidRPr="00C903AA" w:rsidRDefault="00C903AA" w:rsidP="00C903A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Wykaz ten podlega wywieszeniu na okres 21 dni</w:t>
      </w:r>
      <w:r w:rsidR="00090E2B" w:rsidRPr="00C903AA">
        <w:rPr>
          <w:color w:val="000000"/>
          <w:szCs w:val="20"/>
        </w:rPr>
        <w:t xml:space="preserve"> w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siedzibie właściwego urzędu oraz zamieszczeniu na stronie internetowej właściwego urzędu. Ponadto informację</w:t>
      </w:r>
      <w:r w:rsidR="00090E2B" w:rsidRPr="00C903AA">
        <w:rPr>
          <w:color w:val="000000"/>
          <w:szCs w:val="20"/>
        </w:rPr>
        <w:t xml:space="preserve"> o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zamieszczeniu tego wykazu podaje się do publicznej wiadomości poprzez ogłoszenie</w:t>
      </w:r>
      <w:r w:rsidR="00090E2B" w:rsidRPr="00C903AA">
        <w:rPr>
          <w:color w:val="000000"/>
          <w:szCs w:val="20"/>
        </w:rPr>
        <w:t xml:space="preserve"> w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prasie lokalnej</w:t>
      </w:r>
      <w:r w:rsidR="00090E2B" w:rsidRPr="00C903AA">
        <w:rPr>
          <w:color w:val="000000"/>
          <w:szCs w:val="20"/>
        </w:rPr>
        <w:t xml:space="preserve"> o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zasięgu obejmującym co najmniej powiat, na terenie którego położona jest nieruchomość.</w:t>
      </w:r>
    </w:p>
    <w:p w:rsidR="00C903AA" w:rsidRDefault="00C903AA" w:rsidP="00C903AA">
      <w:pPr>
        <w:spacing w:line="360" w:lineRule="auto"/>
        <w:jc w:val="both"/>
        <w:rPr>
          <w:color w:val="000000"/>
          <w:szCs w:val="20"/>
        </w:rPr>
      </w:pPr>
      <w:r w:rsidRPr="00C903AA">
        <w:rPr>
          <w:color w:val="000000"/>
          <w:szCs w:val="20"/>
        </w:rPr>
        <w:t>Z uwagi na powyższe wydanie zarządzenia jest słuszne</w:t>
      </w:r>
      <w:r w:rsidR="00090E2B" w:rsidRPr="00C903AA">
        <w:rPr>
          <w:color w:val="000000"/>
          <w:szCs w:val="20"/>
        </w:rPr>
        <w:t xml:space="preserve"> i</w:t>
      </w:r>
      <w:r w:rsidR="00090E2B">
        <w:rPr>
          <w:color w:val="000000"/>
          <w:szCs w:val="20"/>
        </w:rPr>
        <w:t> </w:t>
      </w:r>
      <w:r w:rsidRPr="00C903AA">
        <w:rPr>
          <w:color w:val="000000"/>
          <w:szCs w:val="20"/>
        </w:rPr>
        <w:t>uzasadnione.</w:t>
      </w:r>
    </w:p>
    <w:p w:rsidR="00C903AA" w:rsidRDefault="00C903AA" w:rsidP="00C903AA">
      <w:pPr>
        <w:spacing w:line="360" w:lineRule="auto"/>
        <w:jc w:val="both"/>
      </w:pPr>
    </w:p>
    <w:p w:rsidR="00C903AA" w:rsidRDefault="00C903AA" w:rsidP="00C903AA">
      <w:pPr>
        <w:keepNext/>
        <w:spacing w:line="360" w:lineRule="auto"/>
        <w:jc w:val="center"/>
      </w:pPr>
      <w:r>
        <w:t>DYREKTOR WYDZIAŁU</w:t>
      </w:r>
    </w:p>
    <w:p w:rsidR="00C903AA" w:rsidRPr="00C903AA" w:rsidRDefault="00C903AA" w:rsidP="00C903AA">
      <w:pPr>
        <w:keepNext/>
        <w:spacing w:line="360" w:lineRule="auto"/>
        <w:jc w:val="center"/>
      </w:pPr>
      <w:r>
        <w:t>(-) Magda Albińska</w:t>
      </w:r>
    </w:p>
    <w:sectPr w:rsidR="00C903AA" w:rsidRPr="00C903AA" w:rsidSect="00C903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17" w:rsidRDefault="00FE3C17">
      <w:r>
        <w:separator/>
      </w:r>
    </w:p>
  </w:endnote>
  <w:endnote w:type="continuationSeparator" w:id="0">
    <w:p w:rsidR="00FE3C17" w:rsidRDefault="00FE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17" w:rsidRDefault="00FE3C17">
      <w:r>
        <w:separator/>
      </w:r>
    </w:p>
  </w:footnote>
  <w:footnote w:type="continuationSeparator" w:id="0">
    <w:p w:rsidR="00FE3C17" w:rsidRDefault="00FE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ukowskiej, przeznaczonej do sprzedaży w trybie bezprzetargowym."/>
  </w:docVars>
  <w:rsids>
    <w:rsidRoot w:val="00C903AA"/>
    <w:rsid w:val="000560D1"/>
    <w:rsid w:val="000607A3"/>
    <w:rsid w:val="00090E2B"/>
    <w:rsid w:val="00115E04"/>
    <w:rsid w:val="001B1D53"/>
    <w:rsid w:val="0022095A"/>
    <w:rsid w:val="002946C5"/>
    <w:rsid w:val="002C29F3"/>
    <w:rsid w:val="005F6686"/>
    <w:rsid w:val="00796326"/>
    <w:rsid w:val="00A87E1B"/>
    <w:rsid w:val="00AA04BE"/>
    <w:rsid w:val="00BB1A14"/>
    <w:rsid w:val="00C903AA"/>
    <w:rsid w:val="00FA63B5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5CF36-F622-41EC-A8BB-7A2C5956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2025-04-29T08:50:00Z</dcterms:created>
  <dcterms:modified xsi:type="dcterms:W3CDTF">2025-04-29T08:53:00Z</dcterms:modified>
</cp:coreProperties>
</file>